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A1729CC-D666-43B6-8A68-D56BCC0BBE54"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Malta</w:t>
      </w:r>
      <w:r>
        <w:rPr>
          <w:noProof/>
        </w:rPr>
        <w:br/>
      </w:r>
      <w:r>
        <w:rPr>
          <w:noProof/>
        </w:rPr>
        <w:br/>
        <w:t>Report prepared in accordance with Article 126(3) of the Treaty on the Functioning of the European Union</w:t>
      </w:r>
    </w:p>
    <w:p>
      <w:pPr>
        <w:pStyle w:val="ListParagraph"/>
        <w:keepNext/>
        <w:numPr>
          <w:ilvl w:val="0"/>
          <w:numId w:val="45"/>
        </w:numPr>
        <w:tabs>
          <w:tab w:val="left" w:pos="850"/>
        </w:tabs>
        <w:spacing w:before="360" w:after="120"/>
        <w:jc w:val="both"/>
        <w:outlineLvl w:val="0"/>
        <w:rPr>
          <w:rFonts w:eastAsia="Times New Roman"/>
          <w:b/>
          <w:smallCaps/>
          <w:noProof/>
        </w:rPr>
      </w:pPr>
      <w:r>
        <w:rPr>
          <w:rFonts w:eastAsia="Times New Roman"/>
          <w:b/>
          <w:smallCaps/>
          <w:noProof/>
        </w:rPr>
        <w:t xml:space="preserve">Introduction </w:t>
      </w:r>
    </w:p>
    <w:p>
      <w:pPr>
        <w:autoSpaceDE w:val="0"/>
        <w:autoSpaceDN w:val="0"/>
        <w:adjustRightInd w:val="0"/>
        <w:spacing w:before="120" w:line="240" w:lineRule="auto"/>
        <w:jc w:val="both"/>
        <w:rPr>
          <w:rFonts w:eastAsia="Times New Roman" w:cs="Calibri"/>
          <w:noProof/>
          <w:szCs w:val="24"/>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Maltese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deficit in Malta reached 0.5% of GDP in 2019, while general government gross debt stood at 43.1% of GDP. According to the 2020 Stability Programme, Malta plans a deficit of 7.5% of GDP in 2020, while debt is planned at 54.5%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analyses Malta’s compliance with the deficit criterion of the Treaty. Tthe debt criterion can be considered to be met as the debt ratio is below the Treaty reference value of 60% of GDP. It takes into account all relevant factors and gives due consideration to the major economic shock linked to the COVID-19 pandemic. </w:t>
      </w: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General government deficit and debt (% of GDP)</w:t>
      </w:r>
    </w:p>
    <w:tbl>
      <w:tblPr>
        <w:tblStyle w:val="TableGrid"/>
        <w:tblW w:w="0" w:type="auto"/>
        <w:tblLook w:val="04A0" w:firstRow="1" w:lastRow="0" w:firstColumn="1" w:lastColumn="0" w:noHBand="0" w:noVBand="1"/>
      </w:tblPr>
      <w:tblGrid>
        <w:gridCol w:w="1154"/>
        <w:gridCol w:w="1172"/>
        <w:gridCol w:w="1152"/>
        <w:gridCol w:w="1152"/>
        <w:gridCol w:w="1152"/>
        <w:gridCol w:w="1152"/>
        <w:gridCol w:w="1154"/>
        <w:gridCol w:w="1154"/>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1.0</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3.3</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1.9</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0.5</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-6.7</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-2.5</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55.5</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50.3</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45.6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43.1</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50.7</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50.8</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Note: Eurostat, Commission 2020 spring forecast</w:t>
      </w:r>
    </w:p>
    <w:p>
      <w:pPr>
        <w:pStyle w:val="ListParagraph"/>
        <w:keepNext/>
        <w:numPr>
          <w:ilvl w:val="0"/>
          <w:numId w:val="45"/>
        </w:numPr>
        <w:tabs>
          <w:tab w:val="left" w:pos="850"/>
        </w:tabs>
        <w:spacing w:before="360" w:after="120"/>
        <w:jc w:val="both"/>
        <w:outlineLvl w:val="0"/>
        <w:rPr>
          <w:rFonts w:eastAsia="Times New Roman"/>
          <w:b/>
          <w:smallCaps/>
          <w:noProof/>
        </w:rPr>
      </w:pPr>
      <w:r>
        <w:rPr>
          <w:rFonts w:eastAsia="Times New Roman"/>
          <w:b/>
          <w:smallCaps/>
          <w:noProof/>
        </w:rPr>
        <w:t>Deficit</w:t>
      </w:r>
      <w:r>
        <w:rPr>
          <w:noProof/>
        </w:rPr>
        <w:t xml:space="preserve"> </w:t>
      </w:r>
      <w:r>
        <w:rPr>
          <w:rFonts w:eastAsia="Times New Roman"/>
          <w:b/>
          <w:smallCaps/>
          <w:noProof/>
        </w:rPr>
        <w:t>criterion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Stability Programme, Malta’s general government deficit in 2020 is expected to reach 7.5% of GDP, 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the Commission 2020 spring forecast projects a contraction of real GDP in 2020 by 5.8%.</w:t>
      </w:r>
    </w:p>
    <w:p>
      <w:pPr>
        <w:spacing w:before="120" w:after="120" w:line="240" w:lineRule="auto"/>
        <w:jc w:val="both"/>
        <w:rPr>
          <w:rFonts w:ascii="Times New Roman" w:eastAsia="Calibri" w:hAnsi="Times New Roman" w:cs="Times New Roman"/>
          <w:noProof/>
          <w:sz w:val="24"/>
          <w:szCs w:val="24"/>
          <w:highlight w:val="yellow"/>
          <w:lang w:eastAsia="en-GB"/>
        </w:rPr>
      </w:pPr>
      <w:r>
        <w:rPr>
          <w:rFonts w:ascii="Times New Roman" w:eastAsia="Calibri" w:hAnsi="Times New Roman" w:cs="Times New Roman"/>
          <w:noProof/>
          <w:sz w:val="24"/>
          <w:szCs w:val="24"/>
          <w:lang w:eastAsia="en-GB"/>
        </w:rPr>
        <w:t>The planned excess over the Treaty reference value  would be temporary, based on the Commission 2020 spring forecast, which projects the general government deficit to fall under 3% of GDP in 2021. However, those projections are surrounded by an exceptionally high degree of uncertainty.</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sum, the planned deficit for 2020 is above and not close to the 3%-of-GDP Treaty reference value. The planned excess is considered to be exceptional as defined by the Treaty and the Stability and Growth Pact,</w:t>
      </w:r>
      <w:r>
        <w:rPr>
          <w:noProof/>
        </w:rPr>
        <w:t xml:space="preserve"> </w:t>
      </w:r>
      <w:r>
        <w:rPr>
          <w:rFonts w:ascii="Times New Roman" w:eastAsia="Calibri" w:hAnsi="Times New Roman" w:cs="Times New Roman"/>
          <w:noProof/>
          <w:sz w:val="24"/>
          <w:szCs w:val="24"/>
          <w:lang w:eastAsia="en-GB"/>
        </w:rPr>
        <w:t xml:space="preserve">while the nature of the excess is currently considered temporary.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pStyle w:val="ListParagraph"/>
        <w:keepNext/>
        <w:numPr>
          <w:ilvl w:val="0"/>
          <w:numId w:val="45"/>
        </w:numPr>
        <w:tabs>
          <w:tab w:val="left" w:pos="850"/>
        </w:tabs>
        <w:spacing w:before="360" w:after="120"/>
        <w:jc w:val="both"/>
        <w:outlineLvl w:val="0"/>
        <w:rPr>
          <w:rFonts w:eastAsia="Times New Roman"/>
          <w:b/>
          <w:smallCaps/>
          <w:noProof/>
        </w:rPr>
      </w:pPr>
      <w:r>
        <w:rPr>
          <w:rFonts w:eastAsia="Times New Roman"/>
          <w:b/>
          <w:smallCaps/>
          <w:noProof/>
        </w:rPr>
        <w:t>Relevant factors</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pStyle w:val="ListParagraph"/>
        <w:keepNext/>
        <w:numPr>
          <w:ilvl w:val="1"/>
          <w:numId w:val="45"/>
        </w:numPr>
        <w:tabs>
          <w:tab w:val="left" w:pos="850"/>
        </w:tabs>
        <w:spacing w:before="360" w:after="120"/>
        <w:jc w:val="both"/>
        <w:outlineLvl w:val="0"/>
        <w:rPr>
          <w:rFonts w:eastAsia="Times New Roman"/>
          <w:b/>
          <w:noProof/>
        </w:rPr>
      </w:pPr>
      <w:r>
        <w:rPr>
          <w:rFonts w:eastAsia="Times New Roman"/>
          <w:b/>
          <w:noProof/>
        </w:rPr>
        <w:t>COVID-19 pandemic</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pStyle w:val="ListParagraph"/>
        <w:keepNext/>
        <w:numPr>
          <w:ilvl w:val="1"/>
          <w:numId w:val="45"/>
        </w:numPr>
        <w:tabs>
          <w:tab w:val="left" w:pos="850"/>
        </w:tabs>
        <w:spacing w:before="360" w:after="120"/>
        <w:jc w:val="both"/>
        <w:outlineLvl w:val="0"/>
        <w:rPr>
          <w:rFonts w:eastAsia="Times New Roman"/>
          <w:b/>
          <w:noProof/>
        </w:rPr>
      </w:pPr>
      <w:r>
        <w:rPr>
          <w:rFonts w:eastAsia="Times New Roman"/>
          <w:b/>
          <w:noProof/>
        </w:rPr>
        <w:t xml:space="preserve">Medium-term economic position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Malta’s annual real GDP growth of 7.3% in 2018 and 4.4% in 2019 was driven by domestic demand underpinned by robust private consumption and investment. In 2020, Malta’s economy will be severely affected by the COVID-19 pandemic. The Stability Programme assumes the GDP to fall by around 5½% in 2020 before recovering somewhat in 2021. According the Commission 2020 spring forecast GDP is expected to contract by around 5¾%. Private consumption is expected to fall due to the lockdown and closure of nonessential businesses. Investment is also set to fall despite continuation of some large-scale investment projects in health and infrastructure. The weak external environment is projected to translate into a substantial decline in services exports, reflecting also halted tourism. The plunge in imports will be lower reflecting mainly falling domestic demand. This is a mitigating factor in the assessment of Malta’s compliance with the deficit criterion in 2020.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economy is expected to rebound in 2021, as an easing of general restrictions is expected to re-stimulate domestic demand. Nevertheless, Malta is a small open economy and hence its economic outlook is highly sensitive to global uncertainties and performance of its trading partners. In the medium-term, Malta is expected to continue growing more strongly than the Union average. Potential growth in Malta is supported by increasing population, capital accumulation and productivity growth. </w:t>
      </w:r>
    </w:p>
    <w:p>
      <w:pPr>
        <w:pStyle w:val="ListParagraph"/>
        <w:keepNext/>
        <w:numPr>
          <w:ilvl w:val="1"/>
          <w:numId w:val="45"/>
        </w:numPr>
        <w:tabs>
          <w:tab w:val="left" w:pos="850"/>
        </w:tabs>
        <w:spacing w:before="360" w:after="120"/>
        <w:jc w:val="both"/>
        <w:outlineLvl w:val="0"/>
        <w:rPr>
          <w:rFonts w:eastAsia="Times New Roman"/>
          <w:b/>
          <w:noProof/>
          <w:szCs w:val="24"/>
        </w:rPr>
      </w:pPr>
      <w:r>
        <w:rPr>
          <w:rFonts w:eastAsia="Times New Roman"/>
          <w:b/>
          <w:noProof/>
          <w:szCs w:val="24"/>
        </w:rPr>
        <w:t>Medium-term budgetary position</w:t>
      </w:r>
    </w:p>
    <w:p>
      <w:pPr>
        <w:spacing w:before="120" w:after="120" w:line="240" w:lineRule="auto"/>
        <w:jc w:val="both"/>
        <w:rPr>
          <w:rFonts w:ascii="Times New Roman" w:hAnsi="Times New Roman" w:cs="Times New Roman"/>
          <w:noProof/>
          <w:sz w:val="24"/>
          <w:lang w:eastAsia="en-GB"/>
        </w:rPr>
      </w:pPr>
      <w:bookmarkStart w:id="2" w:name="Corrective_arm"/>
      <w:r>
        <w:rPr>
          <w:rFonts w:ascii="Times New Roman" w:eastAsia="Times New Roman" w:hAnsi="Times New Roman" w:cs="Times New Roman"/>
          <w:noProof/>
          <w:sz w:val="24"/>
          <w:szCs w:val="24"/>
          <w:lang w:eastAsia="en-GB"/>
        </w:rPr>
        <w:t>Malta is subject to the preventive arm of the Stability and Growth Pact and in 2019 it was required to ensure ongoing compliance with its medium-term budgetary objective (a balanced budget in structural terms).</w:t>
      </w:r>
      <w:bookmarkEnd w:id="2"/>
      <w:r>
        <w:rPr>
          <w:rFonts w:ascii="Times New Roman" w:eastAsia="Times New Roman" w:hAnsi="Times New Roman" w:cs="Times New Roman"/>
          <w:noProof/>
          <w:sz w:val="24"/>
          <w:szCs w:val="24"/>
          <w:lang w:eastAsia="en-GB"/>
        </w:rPr>
        <w:t xml:space="preserve"> Based on outturn data and the Commission 2020 spring forecast, both pillars point to some deviation. Specifically, the growth of net public expenditure exceeded the rate allowed under the expenditure benchmark pillar and the structural balance in 2019 worsened beyond the allowed structural deterioration. </w:t>
      </w:r>
      <w:r>
        <w:rPr>
          <w:rFonts w:ascii="Times New Roman" w:hAnsi="Times New Roman" w:cs="Times New Roman"/>
          <w:noProof/>
          <w:sz w:val="24"/>
          <w:lang w:eastAsia="en-GB"/>
        </w:rPr>
        <w:t>The overall assessment thus points to some deviation from the requirements of the Stability and Growth Pact in 2019.</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2020 Stability Programme for Malta projects a major worsening of public finances from a surplus of 0.5% of GDP in 2019 to a deficit of 7.5% of GDP amid the COVID-19 pandemic. The fiscal package to tackle the negative impact of the pandemic is estimated to amount to 4.1% of GDP, focussing on wage supplements, special social benefits, and additional healthcare spending. Moreover, the government postponed tax payments and provided guarantees of some 2.8% of GDP, regarding which the statistical authorities are to examine whether there is an immediate budgetary impact at inception or not. The deficit also reflects an expected fall on the revenue side, reflecting mainly falling household consumption. In 2021, the deficit is projected to decline to 3.6% of GDP. That projection depends highly on the assumed modest economic recovery driven mainly by domestic demand, which is expected to support receipts both from direct taxes as consumption recovers and indirect taxes reflecting labour market improvements. Government expenditure is expected to decline as temporary policy support is unwound. In the medium term, the Stability Programme commits to returning the debt-to-GDP ratio to a declining path and to reverting to the medium-term budgetary objective of a balanced budget in structural terms.</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4.4.</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On 12 May 2020, the Malta authorities transmitted a letter with relevant factors in accordance with Article 2(3) of Regulation (EC) No 1467/97. The analysis presented in the previous sections already broadly covers the key factors put forward by the authorities. Additional factors not yet mentioned above are those related to strengthening of the fiscal framework, especially the institutionalisation of spending reviews. </w:t>
      </w:r>
    </w:p>
    <w:p>
      <w:pPr>
        <w:pStyle w:val="ListParagraph"/>
        <w:keepNext/>
        <w:numPr>
          <w:ilvl w:val="0"/>
          <w:numId w:val="45"/>
        </w:numPr>
        <w:tabs>
          <w:tab w:val="left" w:pos="850"/>
        </w:tabs>
        <w:spacing w:before="360" w:after="120"/>
        <w:jc w:val="both"/>
        <w:outlineLvl w:val="0"/>
        <w:rPr>
          <w:rFonts w:eastAsia="Times New Roman"/>
          <w:b/>
          <w:smallCaps/>
          <w:noProof/>
        </w:rPr>
      </w:pPr>
      <w:r>
        <w:rPr>
          <w:rFonts w:eastAsia="Times New Roman"/>
          <w:b/>
          <w:smallCaps/>
          <w:noProof/>
        </w:rPr>
        <w:t xml:space="preserve"> 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According to the Stability Programme, Malta’s general government deficit in 2020 is planned to increase to 7.5% of GDP, above and not close to the 3% of GDP Treaty reference value. The planned excess over the reference value is considered to be exceptional and currently considered to be temporary.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r>
        <w:rPr>
          <w:rFonts w:ascii="Times New Roman" w:eastAsia="Times New Roman" w:hAnsi="Times New Roman" w:cs="Times New Roman"/>
          <w:noProof/>
          <w:sz w:val="24"/>
          <w:lang w:eastAsia="en-GB"/>
        </w:rPr>
        <w:t xml:space="preserve">Overall, since the planned deficit is well above 3% of GDP and taking into account all relevant factors, the analysis suggests that the deficit criterion as defined in the Treaty and in Regulation (EC) No 1467/1997 is not fulfilled.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76033D"/>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935B2"/>
    <w:multiLevelType w:val="multilevel"/>
    <w:tmpl w:val="08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5">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4">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62837930"/>
    <w:multiLevelType w:val="hybridMultilevel"/>
    <w:tmpl w:val="9976D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A953298"/>
    <w:multiLevelType w:val="hybridMultilevel"/>
    <w:tmpl w:val="6BC4A2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8">
    <w:nsid w:val="6DC44E02"/>
    <w:multiLevelType w:val="hybridMultilevel"/>
    <w:tmpl w:val="DF56A64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9">
    <w:nsid w:val="779607FB"/>
    <w:multiLevelType w:val="hybridMultilevel"/>
    <w:tmpl w:val="9CF4B8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0">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5">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8"/>
  </w:num>
  <w:num w:numId="2">
    <w:abstractNumId w:val="41"/>
  </w:num>
  <w:num w:numId="3">
    <w:abstractNumId w:val="10"/>
  </w:num>
  <w:num w:numId="4">
    <w:abstractNumId w:val="2"/>
  </w:num>
  <w:num w:numId="5">
    <w:abstractNumId w:val="1"/>
  </w:num>
  <w:num w:numId="6">
    <w:abstractNumId w:val="35"/>
  </w:num>
  <w:num w:numId="7">
    <w:abstractNumId w:val="5"/>
  </w:num>
  <w:num w:numId="8">
    <w:abstractNumId w:val="14"/>
  </w:num>
  <w:num w:numId="9">
    <w:abstractNumId w:val="45"/>
  </w:num>
  <w:num w:numId="10">
    <w:abstractNumId w:val="15"/>
  </w:num>
  <w:num w:numId="11">
    <w:abstractNumId w:val="30"/>
  </w:num>
  <w:num w:numId="12">
    <w:abstractNumId w:val="23"/>
  </w:num>
  <w:num w:numId="13">
    <w:abstractNumId w:val="40"/>
  </w:num>
  <w:num w:numId="14">
    <w:abstractNumId w:val="44"/>
  </w:num>
  <w:num w:numId="15">
    <w:abstractNumId w:val="27"/>
  </w:num>
  <w:num w:numId="16">
    <w:abstractNumId w:val="17"/>
  </w:num>
  <w:num w:numId="17">
    <w:abstractNumId w:val="34"/>
  </w:num>
  <w:num w:numId="18">
    <w:abstractNumId w:val="12"/>
  </w:num>
  <w:num w:numId="19">
    <w:abstractNumId w:val="18"/>
  </w:num>
  <w:num w:numId="20">
    <w:abstractNumId w:val="9"/>
  </w:num>
  <w:num w:numId="21">
    <w:abstractNumId w:val="32"/>
  </w:num>
  <w:num w:numId="22">
    <w:abstractNumId w:val="7"/>
  </w:num>
  <w:num w:numId="23">
    <w:abstractNumId w:val="19"/>
  </w:num>
  <w:num w:numId="24">
    <w:abstractNumId w:val="25"/>
  </w:num>
  <w:num w:numId="25">
    <w:abstractNumId w:val="26"/>
  </w:num>
  <w:num w:numId="26">
    <w:abstractNumId w:val="11"/>
  </w:num>
  <w:num w:numId="27">
    <w:abstractNumId w:val="22"/>
  </w:num>
  <w:num w:numId="28">
    <w:abstractNumId w:val="43"/>
  </w:num>
  <w:num w:numId="29">
    <w:abstractNumId w:val="0"/>
  </w:num>
  <w:num w:numId="30">
    <w:abstractNumId w:val="20"/>
  </w:num>
  <w:num w:numId="31">
    <w:abstractNumId w:val="31"/>
  </w:num>
  <w:num w:numId="32">
    <w:abstractNumId w:val="13"/>
  </w:num>
  <w:num w:numId="33">
    <w:abstractNumId w:val="24"/>
  </w:num>
  <w:num w:numId="34">
    <w:abstractNumId w:val="6"/>
  </w:num>
  <w:num w:numId="35">
    <w:abstractNumId w:val="21"/>
  </w:num>
  <w:num w:numId="36">
    <w:abstractNumId w:val="33"/>
  </w:num>
  <w:num w:numId="37">
    <w:abstractNumId w:val="15"/>
  </w:num>
  <w:num w:numId="38">
    <w:abstractNumId w:val="42"/>
  </w:num>
  <w:num w:numId="39">
    <w:abstractNumId w:val="16"/>
  </w:num>
  <w:num w:numId="40">
    <w:abstractNumId w:val="3"/>
  </w:num>
  <w:num w:numId="41">
    <w:abstractNumId w:val="4"/>
  </w:num>
  <w:num w:numId="42">
    <w:abstractNumId w:val="38"/>
  </w:num>
  <w:num w:numId="43">
    <w:abstractNumId w:val="39"/>
  </w:num>
  <w:num w:numId="44">
    <w:abstractNumId w:val="36"/>
  </w:num>
  <w:num w:numId="45">
    <w:abstractNumId w:val="8"/>
  </w:num>
  <w:num w:numId="4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A1729CC-D666-43B6-8A68-D56BCC0BBE54"/>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Malta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64395841">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144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AD8A-012B-4480-ABAB-96BCA161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1670</Words>
  <Characters>8986</Characters>
  <Application>Microsoft Office Word</Application>
  <DocSecurity>0</DocSecurity>
  <Lines>169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16</cp:revision>
  <cp:lastPrinted>2019-05-13T14:09:00Z</cp:lastPrinted>
  <dcterms:created xsi:type="dcterms:W3CDTF">2020-05-18T14:53:00Z</dcterms:created>
  <dcterms:modified xsi:type="dcterms:W3CDTF">2020-05-19T16:58:00Z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