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27AA5E-9C47-4F2E-8ECC-030994655FD0"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Lituanie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Introduction</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lituaniennes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budgétaire de la Lituanie a atteint 0,3 % du PIB en 2019, et sa dette publique brute s’est établie à 36,3 % du PIB. Le programme de stabilité de la Lituanie pour 2020 prévoit cette année un déficit de 11,4 % du PIB et une dette de 50,6 %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noProof/>
        </w:rPr>
        <w:t>Le déficit prévu pour 2020 indique à première vue l’existence d’un déficit excessif au sens du pacte de stabilité et de croissance.</w:t>
      </w:r>
    </w:p>
    <w:p>
      <w:pPr>
        <w:autoSpaceDE w:val="0"/>
        <w:autoSpaceDN w:val="0"/>
        <w:adjustRightInd w:val="0"/>
        <w:spacing w:before="12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la Lituanie du critère de déficit prévu par le traité. Le critère de la dette peut être considéré comme rempli puisque le taux d’endettement en 2019 est inférieur à la valeur de référence de 60 % du PIB prévue par le traité. Il tient compte de tous les facteurs pertinents et prend dûment en considération le choc économique majeur lié à la pandémie de COVID-19. </w:t>
      </w:r>
    </w:p>
    <w:p>
      <w:pPr>
        <w:keepNext/>
        <w:spacing w:before="600" w:after="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tbl>
      <w:tblPr>
        <w:tblW w:w="8813" w:type="dxa"/>
        <w:tblInd w:w="108" w:type="dxa"/>
        <w:tblLook w:val="04A0" w:firstRow="1" w:lastRow="0" w:firstColumn="1" w:lastColumn="0" w:noHBand="0" w:noVBand="1"/>
      </w:tblPr>
      <w:tblGrid>
        <w:gridCol w:w="992"/>
        <w:gridCol w:w="1985"/>
        <w:gridCol w:w="972"/>
        <w:gridCol w:w="972"/>
        <w:gridCol w:w="972"/>
        <w:gridCol w:w="972"/>
        <w:gridCol w:w="972"/>
        <w:gridCol w:w="976"/>
      </w:tblGrid>
      <w:tr>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2016</w:t>
            </w:r>
          </w:p>
        </w:tc>
        <w:tc>
          <w:tcPr>
            <w:tcW w:w="97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2017</w:t>
            </w:r>
          </w:p>
        </w:tc>
        <w:tc>
          <w:tcPr>
            <w:tcW w:w="97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2018</w:t>
            </w:r>
          </w:p>
        </w:tc>
        <w:tc>
          <w:tcPr>
            <w:tcW w:w="97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2019</w:t>
            </w:r>
          </w:p>
        </w:tc>
        <w:tc>
          <w:tcPr>
            <w:tcW w:w="97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2020</w:t>
            </w:r>
          </w:p>
        </w:tc>
        <w:tc>
          <w:tcPr>
            <w:tcW w:w="9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2021</w:t>
            </w:r>
          </w:p>
        </w:tc>
      </w:tr>
      <w:tr>
        <w:trPr>
          <w:trHeight w:val="765"/>
        </w:trPr>
        <w:tc>
          <w:tcPr>
            <w:tcW w:w="99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Critère du déficit</w:t>
            </w:r>
          </w:p>
        </w:tc>
        <w:tc>
          <w:tcPr>
            <w:tcW w:w="198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Solde des administrations publiques</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0,2 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0,5 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0,6 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0,3 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-6,9 </w:t>
            </w:r>
          </w:p>
        </w:tc>
        <w:tc>
          <w:tcPr>
            <w:tcW w:w="976"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-2,7 </w:t>
            </w:r>
          </w:p>
        </w:tc>
      </w:tr>
      <w:tr>
        <w:trPr>
          <w:trHeight w:val="1020"/>
        </w:trPr>
        <w:tc>
          <w:tcPr>
            <w:tcW w:w="99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Critère de la dette</w:t>
            </w:r>
          </w:p>
        </w:tc>
        <w:tc>
          <w:tcPr>
            <w:tcW w:w="198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Dette publique brute</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39,7 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39,1 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33,8 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36,3 </w:t>
            </w:r>
          </w:p>
        </w:tc>
        <w:tc>
          <w:tcPr>
            <w:tcW w:w="972"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48,5 </w:t>
            </w:r>
          </w:p>
        </w:tc>
        <w:tc>
          <w:tcPr>
            <w:tcW w:w="976"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48,4 </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la Lituanie devrait enregistrer cette année un déficit public de 11,4 %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et ce dépassement de la valeur de référence du traité prévu pour 2020 est exceptionnel, car il résulte d’une récession économique grave. Les prévisions du printemps 2020 de la Commission, qui tiennent compte de l’impact de la pandémie de COVID-19, annoncent quant à elles une contraction de la croissance du PIB réel de 7,9 %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prévu de la valeur de référence de 3% du PIB est temporaire si l'on se base sur les prévisions du printemps 2020 de la Commission, selon lesquelles le déficit redeviendra inférieur à 3 % du PIB en 2021.</w:t>
      </w:r>
      <w:r>
        <w:rPr>
          <w:noProof/>
        </w:rPr>
        <w:t xml:space="preserve"> </w:t>
      </w:r>
      <w:r>
        <w:rPr>
          <w:rFonts w:ascii="Times New Roman" w:hAnsi="Times New Roman"/>
          <w:noProof/>
          <w:sz w:val="24"/>
          <w:szCs w:val="24"/>
        </w:rPr>
        <w:t>Toutefois, ces projections sont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L’excédent prévu est considéré comme exceptionnel au sens du traité et du pacte de stabilité et de croissance, tandis que sa nature est actuellement considérée comme temporaire. L’analyse effectuée suggère donc,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pPr>
        <w:autoSpaceDE w:val="0"/>
        <w:autoSpaceDN w:val="0"/>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Dans la situation actuelle, un facteur supplémentaire fondamental à prendre en considération est l’impact économique de la pandémie de COVID-19, qui pèse très lourdement sur la situation budgétaire et rend les perspectives très incertaines. La pandémie a également mené à l’activation de la clause dérogatoire générale.</w:t>
      </w:r>
      <w:r>
        <w:rPr>
          <w:rFonts w:ascii="Times New Roman" w:hAnsi="Times New Roman"/>
          <w:noProof/>
          <w:color w:val="FF0000"/>
          <w:sz w:val="24"/>
          <w:szCs w:val="24"/>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tabs>
          <w:tab w:val="left" w:pos="720"/>
          <w:tab w:val="left" w:pos="1440"/>
          <w:tab w:val="left" w:pos="2160"/>
          <w:tab w:val="left" w:pos="2880"/>
          <w:tab w:val="left" w:pos="3600"/>
          <w:tab w:val="left" w:pos="5259"/>
        </w:tabs>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Situation économique à moyen terme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rPr>
        <w:t>En 2019, la croissance économique a atteint 3,9 % et concernait tous les secteurs.</w:t>
      </w:r>
      <w:r>
        <w:rPr>
          <w:rFonts w:ascii="Times New Roman" w:hAnsi="Times New Roman"/>
          <w:bCs/>
          <w:noProof/>
          <w:sz w:val="24"/>
          <w:szCs w:val="24"/>
        </w:rPr>
        <w:t xml:space="preserve"> Dans ses prévisions du printemps 2020, la Commission retient l’hypothèse d’un choc important pour l’économie lituanienne en 2020, en raison de la pandémie de COVID</w:t>
      </w:r>
      <w:r>
        <w:rPr>
          <w:rFonts w:ascii="Times New Roman" w:hAnsi="Times New Roman"/>
          <w:bCs/>
          <w:noProof/>
          <w:sz w:val="24"/>
          <w:szCs w:val="24"/>
        </w:rPr>
        <w:noBreakHyphen/>
        <w:t xml:space="preserve">19. </w:t>
      </w:r>
      <w:r>
        <w:rPr>
          <w:rFonts w:ascii="Times New Roman" w:hAnsi="Times New Roman"/>
          <w:iCs/>
          <w:noProof/>
          <w:sz w:val="24"/>
          <w:szCs w:val="24"/>
        </w:rPr>
        <w:t>Il s’agit d’un facteur d’atténuation dans l’évaluation du respect par la Lituanie du critère du déficit en 2020.</w:t>
      </w:r>
      <w:r>
        <w:rPr>
          <w:rFonts w:ascii="Times New Roman" w:hAnsi="Times New Roman"/>
          <w:i/>
          <w:iCs/>
          <w:noProof/>
          <w:sz w:val="24"/>
          <w:szCs w:val="24"/>
        </w:rPr>
        <w:t xml:space="preserve"> </w:t>
      </w:r>
      <w:r>
        <w:rPr>
          <w:rFonts w:ascii="Times New Roman" w:hAnsi="Times New Roman"/>
          <w:bCs/>
          <w:noProof/>
          <w:sz w:val="24"/>
          <w:szCs w:val="24"/>
        </w:rPr>
        <w:t>La contribution négative à la croissance devrait provenir principalement de la baisse de la demande intérieure et nettement moins des exportations nettes. Malgré un net rebond prévu en 2021, le PIB restera inférieur au niveau de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szCs w:val="24"/>
        </w:rPr>
        <w:t xml:space="preserve">La récession devrait peser sur l’emploi. Le taux de chômage devrait grimper au-delà de 9 % en 2020, puis descendre sous la barre des 8 % en 2021. </w:t>
      </w:r>
      <w:r>
        <w:rPr>
          <w:rFonts w:ascii="Times New Roman" w:hAnsi="Times New Roman"/>
          <w:bCs/>
          <w:noProof/>
          <w:sz w:val="24"/>
        </w:rPr>
        <w:t xml:space="preserve">La réduction des pressions sur le marché du travail et la baisse des prix de l’énergie vont faire passer l’inflation à moins de 2 % à court terme. </w:t>
      </w:r>
      <w:r>
        <w:rPr>
          <w:rFonts w:ascii="Times New Roman" w:hAnsi="Times New Roman"/>
          <w:noProof/>
          <w:sz w:val="24"/>
        </w:rPr>
        <w:t>Il convient toutefois de noter que les prévisions de la Commission sont marquées par un degré exceptionnel d’incertitude quant à la durée de la pandémie et à son impact économique.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Sur la base des chiffres effectifs et des calculs de la Commission, le déficit structurel de la Lituanie s’élevait en 2019 à 1,6 % du PIB et était proche de l’objectif budgétaire à moyen terme (OMT) de -1,0 % du PIB, compte tenu des possibilités octroyées en rapport avec les réformes structurelles de 0,5 % du PIB en 2019 (écart de 0,1 % du PIB). L’évaluation globale met en évidence la conformité avec les exigences du pacte de stabilité et de croissance en 2019 étant donné que le solde structurel de la Lituanie est jugé proche de l’OMT, compte tenu des possibilités octroyées en rapport avec les réformes structurelles.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programme de stabilité de la Lituanie pour 2020 prévoit un déficit de 11,4 % du PIB en 2020, qui devrait tomber à 3,9 % du PIB en 2021. Les niveaux de déficit attendus sont plus élevés que ceux figurant dans les prévisions de la Commission pour 2020. La différence tient au fait que les autorités lituaniennes ont tenu compte de montants plus élevés de dépenses publiques consacrées à des mesures visant à stimuler l’économie et à atténuer les conséquences de la pandémie de COVID-19. Dans l’ensemble, les mesures prises par le gouvernement visent à assurer un financement suffisant du secteur de la santé, à garantir le revenu disponible, à aider les entreprises à conserver leurs liquidités et à stimuler l’économie.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Selon les prévisions de printemps de la Commission, le déficit nominal de la Lituanie devrait s’établir à -6,9 % du PIB en 2020. La pandémie de COVID-19 devrait se traduire par une baisse notable des recettes des administrations publiques, qui devraient se redresser conformément à un fort rebond attendu de l’économie en 2021. Dans le même temps, les dépenses supérieures aux prévisions en matière de soins de santé et les mesures prises par le gouvernement pour soutenir le revenu disponible des ménages et aider les entreprises à conserver leurs liquidités devraient faire augmenter les dépenses publiques. Pour 2021, les dépenses devraient diminuer, étant donné que la plupart des mesures liées au COVID-19 devraient expirer en 2020. En outre, étant donné que le financement de certaines régions est lié au PIB et à la situation économique globale, les projections actualisées en matière de dépenses sont plus faibles que ce qui était prévu auparavant. Par conséquent, le déficit public de la Lituanie devrait tomber à 2,7 % en 2021.</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11 mai 2020, les autorités lituaniennes ont dressé une liste de facteurs pertinents conformément à l’article 2, paragraphe 3, du règlement (CE) nº 1467/97. L’analyse présentée dans les sections précédentes couvre déjà largement les principaux facteurs mis en avant par les autorités.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D’après les projections du programme de stabilité, le déficit public de la Lituanie devrait atteindre 11,4 % du PIB en 2020, ce qui est supérieur à la valeur de référence de 3 % du PIB prévue par le traité et n’en est pas proche. Ce dépassement attendu de la valeur de référence est considéré comme exceptionnel et est actuellement considéré comme temporaire.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l’ensemble, étant donné que le déficit prévu est nettement supérieur à 3 % du PIB et compte tenu de tous les facteurs pertinents, l’analyse suggère que le critère du déficit, tel qu’il est défini dans le traité et dans le règlement (CE) n° 1467/1997, n’est pas respecté.</w:t>
      </w:r>
    </w:p>
    <w:p>
      <w:pPr>
        <w:spacing w:before="120" w:after="120" w:line="240" w:lineRule="auto"/>
        <w:jc w:val="both"/>
        <w:rPr>
          <w:rFonts w:ascii="Times New Roman" w:eastAsia="Times New Roman" w:hAnsi="Times New Roman" w:cs="Calibri"/>
          <w:bCs/>
          <w:noProof/>
          <w:sz w:val="24"/>
          <w:lang w:val="fr-BE"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C27AA5E-9C47-4F2E-8ECC-030994655FD0"/>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ituan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185101301">
      <w:bodyDiv w:val="1"/>
      <w:marLeft w:val="0"/>
      <w:marRight w:val="0"/>
      <w:marTop w:val="0"/>
      <w:marBottom w:val="0"/>
      <w:divBdr>
        <w:top w:val="none" w:sz="0" w:space="0" w:color="auto"/>
        <w:left w:val="none" w:sz="0" w:space="0" w:color="auto"/>
        <w:bottom w:val="none" w:sz="0" w:space="0" w:color="auto"/>
        <w:right w:val="none" w:sz="0" w:space="0" w:color="auto"/>
      </w:divBdr>
    </w:div>
    <w:div w:id="46427336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78241048">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23724772">
      <w:bodyDiv w:val="1"/>
      <w:marLeft w:val="0"/>
      <w:marRight w:val="0"/>
      <w:marTop w:val="0"/>
      <w:marBottom w:val="0"/>
      <w:divBdr>
        <w:top w:val="none" w:sz="0" w:space="0" w:color="auto"/>
        <w:left w:val="none" w:sz="0" w:space="0" w:color="auto"/>
        <w:bottom w:val="none" w:sz="0" w:space="0" w:color="auto"/>
        <w:right w:val="none" w:sz="0" w:space="0" w:color="auto"/>
      </w:divBdr>
    </w:div>
    <w:div w:id="725879848">
      <w:bodyDiv w:val="1"/>
      <w:marLeft w:val="0"/>
      <w:marRight w:val="0"/>
      <w:marTop w:val="0"/>
      <w:marBottom w:val="0"/>
      <w:divBdr>
        <w:top w:val="none" w:sz="0" w:space="0" w:color="auto"/>
        <w:left w:val="none" w:sz="0" w:space="0" w:color="auto"/>
        <w:bottom w:val="none" w:sz="0" w:space="0" w:color="auto"/>
        <w:right w:val="none" w:sz="0" w:space="0" w:color="auto"/>
      </w:divBdr>
    </w:div>
    <w:div w:id="833956947">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56411939">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40384279">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20760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0680-98C2-40EE-A76A-3A6C3F71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1854</Words>
  <Characters>9478</Characters>
  <Application>Microsoft Office Word</Application>
  <DocSecurity>0</DocSecurity>
  <Lines>175</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2019-05-13T14:09:00Z</cp:lastPrinted>
  <dcterms:created xsi:type="dcterms:W3CDTF">2020-05-18T14:46:00Z</dcterms:created>
  <dcterms:modified xsi:type="dcterms:W3CDTF">2020-05-20T09:51:00Z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