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AC1E43-9711-4D71-9D59-96DFF024612F"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Bulgaria</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Bulgarian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Bulgaria reached 2.1% of GDP in 2019, while general government gross debt stood at 20.4% of GDP. According to 2020 Convergence Programme, Bulgaria plans a deficit of 3.1% of GDP in 2020, while debt is planned at 28.5%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Bulgaria’s compliance with the deficit criterion of the Treaty. The debt criterion can be considered to be met as the debt ratio is below the Treaty reference value of 60% of GDP. It takes into account all relevant factors and gives due consideration to the major economic shock linked to the COVID-19 pandemic. </w:t>
      </w: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ayout w:type="fixed"/>
        <w:tblLook w:val="04A0" w:firstRow="1" w:lastRow="0" w:firstColumn="1" w:lastColumn="0" w:noHBand="0" w:noVBand="1"/>
      </w:tblPr>
      <w:tblGrid>
        <w:gridCol w:w="1147"/>
        <w:gridCol w:w="1229"/>
        <w:gridCol w:w="1066"/>
        <w:gridCol w:w="1148"/>
        <w:gridCol w:w="1147"/>
        <w:gridCol w:w="1148"/>
        <w:gridCol w:w="1147"/>
        <w:gridCol w:w="1148"/>
      </w:tblGrid>
      <w:tr>
        <w:trPr>
          <w:trHeight w:val="603"/>
        </w:trPr>
        <w:tc>
          <w:tcPr>
            <w:tcW w:w="1147" w:type="dxa"/>
          </w:tcPr>
          <w:p>
            <w:pPr>
              <w:keepNext/>
              <w:jc w:val="center"/>
              <w:rPr>
                <w:rFonts w:ascii="Times New Roman" w:eastAsia="Times New Roman" w:hAnsi="Times New Roman" w:cs="Calibri"/>
                <w:noProof/>
                <w:sz w:val="20"/>
                <w:szCs w:val="20"/>
                <w:lang w:eastAsia="en-GB"/>
              </w:rPr>
            </w:pPr>
          </w:p>
        </w:tc>
        <w:tc>
          <w:tcPr>
            <w:tcW w:w="1229" w:type="dxa"/>
          </w:tcPr>
          <w:p>
            <w:pPr>
              <w:keepNext/>
              <w:jc w:val="center"/>
              <w:rPr>
                <w:rFonts w:ascii="Times New Roman" w:eastAsia="Times New Roman" w:hAnsi="Times New Roman" w:cs="Calibri"/>
                <w:noProof/>
                <w:sz w:val="20"/>
                <w:szCs w:val="20"/>
                <w:lang w:eastAsia="en-GB"/>
              </w:rPr>
            </w:pPr>
          </w:p>
        </w:tc>
        <w:tc>
          <w:tcPr>
            <w:tcW w:w="1066"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4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47"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4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47"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4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47"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229"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066"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+2.1</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-2.8</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-1.8</w:t>
            </w:r>
          </w:p>
        </w:tc>
      </w:tr>
      <w:tr>
        <w:tc>
          <w:tcPr>
            <w:tcW w:w="1147"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229"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066"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29.3</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25.3</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22.3</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20.4</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25.5</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25.4</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Convergence Programme, Bulgaria’s general government deficit in 2020 is planned to reach 3.1% of GDP, thereby exceeding the 3% of GDP Treaty reference value.</w:t>
      </w:r>
      <w:r>
        <w:rPr>
          <w:noProof/>
        </w:rPr>
        <w:t xml:space="preserve"> </w:t>
      </w:r>
      <w:r>
        <w:rPr>
          <w:rFonts w:ascii="Times New Roman" w:eastAsia="Calibri" w:hAnsi="Times New Roman" w:cs="Times New Roman"/>
          <w:noProof/>
          <w:sz w:val="24"/>
          <w:szCs w:val="24"/>
          <w:lang w:eastAsia="en-GB"/>
        </w:rPr>
        <w:t>Although in excess of 3% of GDP, the general government deficit is planned to remain close to the Treaty reference value. Based on the Commission spring forecast, the general government deficit is expected at 2.8% of GDP in 2020, somewhat below the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excess over the Treaty reference value in 2020 is exceptional, as it results from a severe economic downturn. Taking into account the impact of the COVID-19 pandemic on Bulgaria’s economy, the Commission spring forecast projects a contraction of real GDP by 7.2% in 2020.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excess over the Treaty reference value in the Covergence Programme is temporary as defined by the Treaty and the Stability and Growth Pact. In particular, the Commission 2020 spring forecast projects the deficit to fall below the reference value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sum, the planned deficit for 2020 is above but close to the 3%-of-GDP Treaty reference value. The excess is considered to be exceptional and temporary as defined by the Treaty and the Stability and Growth Pact. Hence, the analysis suggests that the deficit criterion as defined by the Treaty and Regulation (EC) No 1467/97 is fulfilled.</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adopted.Subject to more detailed information, the competent statistical authorities are to examine whether those measures entail an immediate impact on the general government balance or not. Together with the fall in economic activity, the adopted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At the onset of the COVID-19 pandemic, economic conditions in Bulgaria were favourable. At 3.4%, GDP growth in 2019 was robust for the fifth year in a row, mainly driven by growing household consumption. The COVID-19 outbreak interrupted that positive trend. Bulgaria’s real GDP is projected to contract by 7.2% in 2020, largely due to the adverse impact of measures taken to contain the spread of the pandemic following the declaration of a state of emergency on 13 March 2020 and the slowdown of international economic activity during the first quarter of 2020. Private consumption is expected to fall by almost 6% and investment is set to shrink by 18% in 2020.</w:t>
      </w:r>
      <w:r>
        <w:rPr>
          <w:noProof/>
        </w:rPr>
        <w:t xml:space="preserve"> </w:t>
      </w:r>
      <w:r>
        <w:rPr>
          <w:rFonts w:ascii="Times New Roman" w:eastAsia="Times New Roman" w:hAnsi="Times New Roman" w:cs="Calibri"/>
          <w:bCs/>
          <w:noProof/>
          <w:sz w:val="24"/>
          <w:lang w:eastAsia="en-GB"/>
        </w:rPr>
        <w:t>In the same year, exports are set to suffer a broad-based fall of more than 13%  and imports are expected to contract by more than 12%. The projected sharp drop in GDP is a mitigating factor in the assessment of Bulgaria’s compliance with the deficit criterion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2021, growth is forecast to rebound. Private consumption is expected to be the main driving force, as the labour market is set to improve. Growth is also forecast to benefit from a rebound in exports. Investment, however, is expected to follow a slower recovery path, as high uncertainty and still weak business finances are set to supress and postpone investment activity. This macroeconomic outlook is marked by an exceptional degree of uncertainty, on the duration of the pandemic, on their impact on economic activity, consumption patterns and business finances.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Based on outturn data and the Commission forecast, the structural surplus was 1.1% of GDP in 2019, above the medium-term budgetary objective of a deficit of 1% of GDP.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Bulgarian authorities planned a close-to-balanced budget in 2020. The Parliament adopted a revised State budget on 6 April 2020, in order to provide for the new economic outlook and the measures to combat the COVID-19 pandemic. The budget foresees a deficit of 3% of GDP in cash terms, or 3.1% of GDP in ESA terms. These plans are marked by an exceptional degree of uncertainty on the duration of the pandemic and its impact on the fiscal outlook. </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Convergence Programme provides information on substantial new measures to contain the pandemic and support the economy and on the estimated impact of the macroeconomic situation. The Convergence Programme estimates these direct support measures with a budgetary impact at 1.3% of GDP in 2020. The main new measures include higher spending on medical equipment, additional remunerations for security and military staff, and subsidies to business to maintain jobs and tax deferrals. Revenues are estimated to be lower than expected by close to 2.5% of GDP due to the recession. The Convergence Programme also provides information on the State guarantees scheme of 0.6% of GDP and on the reallocation of investment funds of around 0.8% of GDP in order to finance additional remuneration for the medical and non-medical personell, medical equipment and financial support to SMEs. </w:t>
      </w:r>
      <w:r>
        <w:rPr>
          <w:rFonts w:ascii="Times New Roman" w:hAnsi="Times New Roman" w:cs="Times New Roman"/>
          <w:noProof/>
          <w:sz w:val="24"/>
          <w:szCs w:val="24"/>
        </w:rPr>
        <w:t>Subject to more detailed information, the competent statistical authorities are to examine whether those measures entail an immediate impact on the general government balance or not</w:t>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medium-term fiscal strategy of the government has not yet officially been updated. However, the Convergence Programme presents an outline of the budgetary strategy in the medium-term, namely that it will remain focused on the sustainability of the budgetary framework and committed to Bulgaria’s medium-term budgetary objective of an annual structural deficit of 1% of GDP.</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15 May 2020, the Bulgarian authorities transmitted a letter with relevant factors in accordance with Article 2(3) of Regulation (EC) No 1467/97. The analysis presented in the previous sections already broadly covers the key factors put forward by the authorities. The letter highlights that Bulgaria entered the crisis with a very strong fiscal position and that the deviation from the initial budgetary objective is entirely driven by the pandemic outbreak. The letter adds that with the expected economic recovery the government aims at implementing a consolidation step in structural terms of at least 0.5% of GDP in 2021, and rebalancing the budget by 2023.</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highlight w:val="yellow"/>
          <w:lang w:eastAsia="en-GB"/>
        </w:rPr>
        <w:t xml:space="preserve"> </w:t>
      </w: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According to the plans in the Convergence Programme Bulgaria’s headline general government deficit in 2020 is planned to increase to 3.1% of GDP, above but close to the 3% of GDP Treaty reference value. The planned excess over the reference value is considered to be exceptional and temporary. The analysis suggests that the deficit criterion as defined in the Treaty and in Regulation (EC) No 1467/1997 is fulfilled.</w:t>
      </w:r>
    </w:p>
    <w:p>
      <w:pPr>
        <w:spacing w:before="120" w:after="120" w:line="240" w:lineRule="auto"/>
        <w:jc w:val="both"/>
        <w:rPr>
          <w:rFonts w:ascii="Times New Roman" w:eastAsia="Times New Roman" w:hAnsi="Times New Roman" w:cs="Calibri"/>
          <w:bCs/>
          <w:i/>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5AC1E43-9711-4D71-9D59-96DFF024612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Bulgaria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69326582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3FF1-346C-4D22-9F9C-0F3BE954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1767</Words>
  <Characters>9334</Characters>
  <Application>Microsoft Office Word</Application>
  <DocSecurity>0</DocSecurity>
  <Lines>198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2020-05-18T14:56:00Z</dcterms:created>
  <dcterms:modified xsi:type="dcterms:W3CDTF">2020-05-19T17:07:00Z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