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B1BA3B-7CCB-45BA-9289-604E8B1BF897"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Latvia</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Latvian authorities on 31 March 2020 and subsequently validated by Eurostat</w:t>
      </w:r>
      <w:r>
        <w:rPr>
          <w:rStyle w:val="FootnoteReference"/>
          <w:rFonts w:eastAsiaTheme="minorHAnsi"/>
          <w:noProof/>
        </w:rPr>
        <w:footnoteReference w:id="2"/>
      </w:r>
      <w:r>
        <w:rPr>
          <w:rFonts w:ascii="Times New Roman" w:eastAsia="Times New Roman" w:hAnsi="Times New Roman" w:cs="Calibri"/>
          <w:noProof/>
          <w:sz w:val="24"/>
          <w:szCs w:val="24"/>
          <w:lang w:eastAsia="en-GB"/>
        </w:rPr>
        <w:t xml:space="preserve"> show that the general government deficit in Latvia reached 0.2% of GDP in 2019, while general government gross debt stood at 36.9% of GDP. According to the 2020 Stability Programme, Latvia plans a deficit of 9.4% of GDP in 2020, while debt is planned at 51.7%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 he Commission has therefore prepared t</w:t>
      </w:r>
      <w:r>
        <w:rPr>
          <w:rFonts w:ascii="Times New Roman" w:eastAsia="Times New Roman" w:hAnsi="Times New Roman" w:cs="Calibri"/>
          <w:noProof/>
          <w:sz w:val="24"/>
          <w:szCs w:val="24"/>
          <w:lang w:eastAsia="en-GB"/>
        </w:rPr>
        <w:t xml:space="preserve">his report, which analyses Latvia’s compliance with the deficit and debt criteria of the Treaty.The debt criterion can be considered to be met as the debt ratio is below the Treaty reference value of 60% of GDP. It takes into account all relevant factors and gives due consideration to the major economic shock linked to the COVID-19 pandemic. </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0.2</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-0.2</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-7.3</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-4.5</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40.9</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39.3</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37.2</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36.9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43.1</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43.7</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Latvia’s general government deficit in 2020 is planned to reach 9.4%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reference value in 2020 is exceptional, as it results from a severe economic downturn. Taking into account the impact of the COVID-19 pandemic, the Commission 2020 spring forecast projects a contraction of real GDP in 2020 by 7.0%.</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is not temporary based on the Commission 2020 spring forecast, which projects the deficit to remain above 3% of GDP in 2021.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planned excess is considered exceptional but not temporary as defined by the Treaty and the Stability and Growth Pact.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 xml:space="preserve">Relevant factors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Countries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entail an immediate impact on the general government balance or not. Together with the fall in economic activity, those measures will contribute to substantially higher government deficit and debt positions.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Latvia’s real GDP grew by 2.2% in 2019, driven by solid private consumption but with slowing investment and export growth. In 2020, real GDP is projected to decline by 7%, affected by the COVID-19 outbreak and the related containment measures, based on the Commission 2020 spring forecast. Investments and exports are expected to suffer the most amid border closures and declining foreign demand, while consumption is expected to fare better than in other Member States. The sharp drop in GDP is a mitigating factor in the assessment of Latvia’s compliance with the deficit criterion in 2020.</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Macroeconomic projections are highly uncertain, as the impact of the COVID-19 pandemic will depend on the duration and severity of restrictive measures. The pandemic could become more severe and last longer than assumed, requiring more stringent and longer lasting containment measures. There are no supply-side restricitons to manufacturing and construction. As a result, these sectors may prove more resilient than assumed should demand return. However, the Union’s recovery path may not be as robust as projected and may therefore result in a more protracted recovery in Latvia.</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hAnsi="Times New Roman" w:cs="Times New Roman"/>
          <w:noProof/>
          <w:sz w:val="24"/>
          <w:highlight w:val="yellow"/>
          <w:lang w:eastAsia="en-GB"/>
        </w:rPr>
      </w:pPr>
      <w:r>
        <w:rPr>
          <w:rFonts w:ascii="Times New Roman" w:hAnsi="Times New Roman" w:cs="Times New Roman"/>
          <w:noProof/>
          <w:sz w:val="24"/>
          <w:lang w:eastAsia="en-GB"/>
        </w:rPr>
        <w:t>In 2019, based on the outturn data and the Commission 2020 spring forecast, Latvia’s structural deficit</w:t>
      </w:r>
      <w:r>
        <w:rPr>
          <w:noProof/>
        </w:rPr>
        <w:t xml:space="preserve"> </w:t>
      </w:r>
      <w:r>
        <w:rPr>
          <w:rFonts w:ascii="Times New Roman" w:hAnsi="Times New Roman" w:cs="Times New Roman"/>
          <w:noProof/>
          <w:sz w:val="24"/>
          <w:lang w:eastAsia="en-GB"/>
        </w:rPr>
        <w:t>of 1.7% of GDP is assessed to be close to the medium-term budgetary objective of -1.0% of GDP, taking into account the allowance linked to</w:t>
      </w:r>
      <w:r>
        <w:rPr>
          <w:rFonts w:ascii="Times New Roman" w:eastAsia="Times New Roman" w:hAnsi="Times New Roman" w:cs="Times New Roman"/>
          <w:noProof/>
          <w:sz w:val="24"/>
          <w:szCs w:val="24"/>
          <w:lang w:eastAsia="en-GB"/>
        </w:rPr>
        <w:t xml:space="preserve"> the healthcare reform of 0.5% of GDP</w:t>
      </w:r>
      <w:r>
        <w:rPr>
          <w:rFonts w:ascii="Times New Roman" w:hAnsi="Times New Roman" w:cs="Times New Roman"/>
          <w:noProof/>
          <w:sz w:val="24"/>
          <w:lang w:eastAsia="en-GB"/>
        </w:rPr>
        <w:t>, which points to compliance with the requirements of the Stability and Growth Pact.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Stability Programme projects the government deficit to deteriorate to 9.4% in 2020. The economic downturn is expected to reduce government tax and non-tax revenue by some 5% of GDP. A pickup in unemployment numbers and higher demand for sick leave and social assistance benefits is expected to cost some 1% of GDP. Moreover, support measures for businesses and households are estimated to increase the government deficit by 3% of GDP in 2020. The crisis response measures include tax deferral options up to three years, income support for idle workers and unemployed, as well as liquidity and sectoral support measures. Most of the stimulus measures are planned to end in 2021.</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Based on the </w:t>
      </w:r>
      <w:r>
        <w:rPr>
          <w:rFonts w:ascii="Times New Roman" w:eastAsia="Calibri" w:hAnsi="Times New Roman" w:cs="Times New Roman"/>
          <w:noProof/>
          <w:sz w:val="24"/>
          <w:szCs w:val="24"/>
          <w:lang w:eastAsia="en-GB"/>
        </w:rPr>
        <w:t xml:space="preserve">Commission spring forecast, the </w:t>
      </w:r>
      <w:r>
        <w:rPr>
          <w:rFonts w:ascii="Times New Roman" w:eastAsia="Times New Roman" w:hAnsi="Times New Roman" w:cs="Times New Roman"/>
          <w:noProof/>
          <w:sz w:val="24"/>
          <w:szCs w:val="24"/>
          <w:lang w:eastAsia="en-GB"/>
        </w:rPr>
        <w:t xml:space="preserve">government deficit is projected to reach 7.3% of GDP in 2020. This assumes a similar effect of the stimulus measures as in the Stability Programme, but the drop in employment is projected to be lower, as well as automatic stabilisers on the expenditure side are assumed to be lower in 2020. The differences in the macroeconomic and fiscal projections demonstrate the high uncertainty surrounding them.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On 15 May 2020, the Latvian authorities transmitted a letter with relevant factors in accordance with Article 2(3) of Regulation (EC) No 1467/97. The analysis presented in the previous sections already broadly covers the key factors put forward by the authorities. In particular, the excess of the government deficit over the Treaty reference value is exclusively due to the impact of the COVID-19 crisis. </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According to the </w:t>
      </w:r>
      <w:r>
        <w:rPr>
          <w:rFonts w:ascii="Times New Roman" w:eastAsia="Calibri" w:hAnsi="Times New Roman" w:cs="Times New Roman"/>
          <w:noProof/>
          <w:sz w:val="24"/>
          <w:szCs w:val="24"/>
          <w:lang w:eastAsia="en-GB"/>
        </w:rPr>
        <w:t>Stability Programme, Latvia’s general government deficit in 2020 is planned to increase to 9.4% of GDP</w:t>
      </w:r>
      <w:r>
        <w:rPr>
          <w:rFonts w:ascii="Times New Roman" w:eastAsia="Times New Roman" w:hAnsi="Times New Roman" w:cs="Calibri"/>
          <w:bCs/>
          <w:noProof/>
          <w:sz w:val="24"/>
          <w:lang w:eastAsia="en-GB"/>
        </w:rPr>
        <w:t xml:space="preserve">, above and not close to the 3% of GDP Treaty reference value. The planned excess over the reference value is considered to be exceptional but not temporary.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line with the Treaty and the Stability and Growth Pact, this report also examined 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Overall, since the planned deficit is well above 3% of GDP,the excess is not temporary and taking into account all relevant factors, the analysis suggests that the deficit criterion as defined in the Treaty and in Regulation (EC) No 1467/1997 is not fulfilled.</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B1BA3B-7CCB-45BA-9289-604E8B1BF89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atvia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41772581">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7183265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77AD-4B28-418D-A7B5-64A2E8E5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8220</Characters>
  <Application>Microsoft Office Word</Application>
  <DocSecurity>0</DocSecurity>
  <Lines>164</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2020-05-18T14:51:00Z</dcterms:created>
  <dcterms:modified xsi:type="dcterms:W3CDTF">2020-05-19T17:19:00Z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