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E7C4A8B-F4C9-4FE2-89AB-5A209CBBA7FA"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The Netherlands</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On 20 March 2020, the Commission adopted a Communication on the activation of the general escape clause of the Stability and Growth Pact.  The clause, as set out in </w:t>
      </w:r>
      <w:r>
        <w:rPr>
          <w:rFonts w:ascii="Times New Roman" w:hAnsi="Times New Roman" w:cs="Times New Roman"/>
          <w:noProof/>
          <w:sz w:val="24"/>
          <w:szCs w:val="24"/>
          <w:lang w:eastAsia="en-GB"/>
        </w:rPr>
        <w:t xml:space="preserve">Articles 5(1), 6(3), 9(1) and 10(3) of Regulation (EC) 1466/97 and Articles 3(5) and 5(2) of Regulation (EC) 1467/97, facilitates the coordination of budgetary policies in times of severe economic downturn. </w:t>
      </w:r>
      <w:r>
        <w:rPr>
          <w:rFonts w:ascii="Times New Roman" w:eastAsia="Times New Roman" w:hAnsi="Times New Roman" w:cs="Calibri"/>
          <w:noProof/>
          <w:sz w:val="24"/>
          <w:szCs w:val="24"/>
          <w:lang w:eastAsia="en-GB"/>
        </w:rPr>
        <w:t xml:space="preserve">In its Communication, the Commission shared with the Council its view that, given the expected severe economic downturn resulting from the COVID-19 outbreak, the current conditions permit the activation of the clause. On 23 March 2020, the Ministers of Finance of the Member States agreed with the assessment of the Commission. The activation of the general escape clause </w:t>
      </w:r>
      <w:r>
        <w:rPr>
          <w:rFonts w:ascii="Times New Roman" w:hAnsi="Times New Roman" w:cs="Times New Roman"/>
          <w:noProof/>
          <w:sz w:val="24"/>
          <w:szCs w:val="24"/>
          <w:lang w:eastAsia="en-GB"/>
        </w:rPr>
        <w:t>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Dutch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the Netherlands reached 1.7% of GDP in 2019, while general government gross debt stood at 48.6% of GDP. According to the Dutch Spring Budget Memorandum</w:t>
      </w:r>
      <w:r>
        <w:rPr>
          <w:rStyle w:val="FootnoteReference"/>
          <w:rFonts w:eastAsiaTheme="minorHAnsi"/>
          <w:noProof/>
        </w:rPr>
        <w:footnoteReference w:id="3"/>
      </w:r>
      <w:r>
        <w:rPr>
          <w:rFonts w:ascii="Times New Roman" w:eastAsia="Times New Roman" w:hAnsi="Times New Roman" w:cs="Calibri"/>
          <w:noProof/>
          <w:sz w:val="24"/>
          <w:szCs w:val="24"/>
          <w:lang w:eastAsia="en-GB"/>
        </w:rPr>
        <w:t xml:space="preserve">, the government plans a deficit of 11.8% of GDP in 2020, while debt is planned at 65.2% of GDP. Moreover, the Commission 2020 spring forecast estimates a deficit of 6.3% of GDP in 2020, while debt is projected at 62.1% of GDP. </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 xml:space="preserve">Against this background, the Commission has therefore prepared this report, which analyses the Netherlands’ compliance with the deficit criterion of the Treaty .The debt criterion can be considered to be met as the debt ratio in 2019 is below the Treaty reference value of 60% of GDP.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lastRenderedPageBreak/>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0" w:type="auto"/>
        <w:tblLook w:val="04A0" w:firstRow="1" w:lastRow="0" w:firstColumn="1" w:lastColumn="0" w:noHBand="0" w:noVBand="1"/>
      </w:tblPr>
      <w:tblGrid>
        <w:gridCol w:w="1149"/>
        <w:gridCol w:w="1245"/>
        <w:gridCol w:w="1140"/>
        <w:gridCol w:w="1140"/>
        <w:gridCol w:w="1140"/>
        <w:gridCol w:w="1140"/>
        <w:gridCol w:w="1144"/>
        <w:gridCol w:w="1144"/>
      </w:tblGrid>
      <w:tr>
        <w:trPr>
          <w:trHeight w:val="603"/>
        </w:trPr>
        <w:tc>
          <w:tcPr>
            <w:tcW w:w="1149" w:type="dxa"/>
          </w:tcPr>
          <w:p>
            <w:pPr>
              <w:keepNext/>
              <w:jc w:val="center"/>
              <w:rPr>
                <w:rFonts w:ascii="Times New Roman" w:eastAsia="Times New Roman" w:hAnsi="Times New Roman" w:cs="Calibri"/>
                <w:noProof/>
                <w:sz w:val="20"/>
                <w:szCs w:val="20"/>
                <w:lang w:eastAsia="en-GB"/>
              </w:rPr>
            </w:pPr>
          </w:p>
        </w:tc>
        <w:tc>
          <w:tcPr>
            <w:tcW w:w="1245" w:type="dxa"/>
          </w:tcPr>
          <w:p>
            <w:pPr>
              <w:keepNext/>
              <w:jc w:val="center"/>
              <w:rPr>
                <w:rFonts w:ascii="Times New Roman" w:eastAsia="Times New Roman" w:hAnsi="Times New Roman" w:cs="Calibri"/>
                <w:noProof/>
                <w:sz w:val="20"/>
                <w:szCs w:val="20"/>
                <w:lang w:eastAsia="en-GB"/>
              </w:rPr>
            </w:pPr>
          </w:p>
        </w:tc>
        <w:tc>
          <w:tcPr>
            <w:tcW w:w="1140"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40"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40"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40"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4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49"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24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0.0</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1.3</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1.4</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1.7</w:t>
            </w:r>
          </w:p>
        </w:tc>
        <w:tc>
          <w:tcPr>
            <w:tcW w:w="1144"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-6.3</w:t>
            </w:r>
          </w:p>
        </w:tc>
        <w:tc>
          <w:tcPr>
            <w:tcW w:w="1144"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-3.5</w:t>
            </w:r>
          </w:p>
        </w:tc>
      </w:tr>
      <w:tr>
        <w:tc>
          <w:tcPr>
            <w:tcW w:w="1149"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24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61.9</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56.9</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52.4</w:t>
            </w:r>
          </w:p>
        </w:tc>
        <w:tc>
          <w:tcPr>
            <w:tcW w:w="1140"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48.6</w:t>
            </w:r>
          </w:p>
        </w:tc>
        <w:tc>
          <w:tcPr>
            <w:tcW w:w="1144"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62.1</w:t>
            </w:r>
          </w:p>
        </w:tc>
        <w:tc>
          <w:tcPr>
            <w:tcW w:w="1144" w:type="dxa"/>
            <w:vAlign w:val="bottom"/>
          </w:tcPr>
          <w:p>
            <w:pPr>
              <w:jc w:val="right"/>
              <w:rPr>
                <w:rFonts w:ascii="Times New Roman" w:hAnsi="Times New Roman" w:cs="Times New Roman"/>
                <w:bCs/>
                <w:noProof/>
                <w:sz w:val="20"/>
                <w:szCs w:val="20"/>
              </w:rPr>
            </w:pPr>
            <w:r>
              <w:rPr>
                <w:rFonts w:ascii="Times New Roman" w:hAnsi="Times New Roman" w:cs="Times New Roman"/>
                <w:bCs/>
                <w:noProof/>
                <w:sz w:val="20"/>
                <w:szCs w:val="20"/>
              </w:rPr>
              <w:t>57.6</w:t>
            </w:r>
          </w:p>
        </w:tc>
      </w:tr>
    </w:tbl>
    <w:p>
      <w:pPr>
        <w:keepNext/>
        <w:spacing w:after="0" w:line="240" w:lineRule="auto"/>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Source: Commission 2020 spring forecast</w:t>
      </w:r>
    </w:p>
    <w:p>
      <w:pPr>
        <w:keepNext/>
        <w:spacing w:after="0" w:line="240" w:lineRule="auto"/>
        <w:rPr>
          <w:rFonts w:ascii="Times New Roman" w:eastAsia="Times New Roman" w:hAnsi="Times New Roman" w:cs="Calibri"/>
          <w:noProof/>
          <w:sz w:val="20"/>
          <w:szCs w:val="20"/>
          <w:lang w:eastAsia="en-GB"/>
        </w:rPr>
      </w:pPr>
    </w:p>
    <w:p>
      <w:pPr>
        <w:rPr>
          <w:rFonts w:ascii="Times New Roman" w:eastAsia="Times New Roman" w:hAnsi="Times New Roman" w:cs="Times New Roman"/>
          <w:b/>
          <w:noProof/>
          <w:sz w:val="24"/>
          <w:lang w:eastAsia="en-GB"/>
        </w:rPr>
      </w:pP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Stability Programme submitted by the Dutch authorities on 29 April 2020</w:t>
      </w:r>
      <w:r>
        <w:rPr>
          <w:rStyle w:val="FootnoteReference"/>
          <w:rFonts w:eastAsiaTheme="minorHAnsi"/>
          <w:noProof/>
        </w:rPr>
        <w:footnoteReference w:id="4"/>
      </w:r>
      <w:r>
        <w:rPr>
          <w:rFonts w:ascii="Times New Roman" w:eastAsia="Calibri" w:hAnsi="Times New Roman" w:cs="Times New Roman"/>
          <w:noProof/>
          <w:sz w:val="24"/>
          <w:szCs w:val="24"/>
          <w:lang w:eastAsia="en-GB"/>
        </w:rPr>
        <w:t xml:space="preserve"> plans a surplus of 1.1% of GDP in 2020. The budgetary projection is based on a macroeconomic scenario that envisages GDP growth of 1.4% in 2020 and can no longer be considered realistic. However, on 24 April the Dutch Ministry of Finance sent a Budget Memorandum to Parliament describing a deficit of 11.8% of GDP in 2020, above and not close to the Treaty reference value of 3% of GDP.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on the Netherlands’ economy, the Commission 2020 spring forecast projects a contraction of real GDP in 2020 by 6.8%.</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not be temporary according to the Commission 2020 spring forecast, which projects the general government deficit to remain above 3% of GDP in 2021.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but not temporary as defined by the Treaty and the Stability and Growth Pact.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spacing w:before="120" w:after="120" w:line="240" w:lineRule="auto"/>
        <w:jc w:val="both"/>
        <w:rPr>
          <w:rFonts w:ascii="Times New Roman" w:eastAsia="Calibri" w:hAnsi="Times New Roman" w:cs="Times New Roman"/>
          <w:noProof/>
          <w:sz w:val="24"/>
          <w:szCs w:val="24"/>
          <w:lang w:eastAsia="en-GB"/>
        </w:rPr>
      </w:pP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noProof/>
          <w:szCs w:val="24"/>
        </w:rPr>
      </w:pPr>
      <w:r>
        <w:rPr>
          <w:rFonts w:ascii="Times New Roman" w:eastAsia="Calibri" w:hAnsi="Times New Roman" w:cs="Times New Roman"/>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noProof/>
          <w:szCs w:val="24"/>
        </w:rPr>
      </w:pPr>
      <w:r>
        <w:rPr>
          <w:rFonts w:ascii="Times New Roman" w:eastAsia="Calibri" w:hAnsi="Times New Roman" w:cs="Times New Roman"/>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specified in Article 2(4) of Regulation (EC) No 1467/97, as regards ccompliance with the deficit criterion in 2020, since the government debt-to-GDP ratio is planned to exceed the 60% reference value in 2020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for the Netherlands.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The Netherlands has already adopted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these entail an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2020 spring forecast is based on several assumptions which are characterised by an exceptional degree of uncertainty. As of 15 March 2020, the Dutch government has implemented a targeted lockdown with containment measures to limit the spread of COVID-19. On 6 May 2020 the deconfinement steps were explained. Social distancing measures continue to apply and teleworking is adviced. Schools and day care centres were closed, but reopened partially on 11 May 2020. Restaurants, bars and cultural institutions were closed but can reopen as of 1 June 2020, but under restrictions. Events that require a permit as well as indoor sport activities are prohibited until 1 September 2020. The duration of the targeted lockdown is one of the main drivers of the macroeconomic outlook for 2020.</w:t>
      </w:r>
    </w:p>
    <w:p>
      <w:pPr>
        <w:spacing w:line="240"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en-GB"/>
        </w:rPr>
        <w:t xml:space="preserve">After growth of 1.8% in 2019, the Commission 2020 spring forecast projects real GDP to decline by 6.8% in 2020, </w:t>
      </w:r>
      <w:r>
        <w:rPr>
          <w:rFonts w:ascii="Times New Roman" w:hAnsi="Times New Roman" w:cs="Times New Roman"/>
          <w:noProof/>
          <w:sz w:val="24"/>
          <w:szCs w:val="24"/>
        </w:rPr>
        <w:t>reflecting the disruption in economic activity caused by the lockdown measures and an unprecedented fall in demand. Private consumption expenditure is expected to contract because of reduced household spending. Moreover, adverse unemployment expectations in combination with negative wealth effects are expected to boost precautionary savings, weighing further on household spending. Investment in equipment is projected to decline sharply in 2020 given weak demand, high uncertainty, low capacity utilisation, as well as restricted access to credit. Mandated business closures and the abrupt decline in economic activity are projected to have an adverse effect on employment in affected sectors. As a highly open economy, the Netherlands is particularly sensitive to the collapse in world trade.</w:t>
      </w:r>
    </w:p>
    <w:p>
      <w:pPr>
        <w:spacing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szCs w:val="24"/>
        </w:rPr>
        <w:t xml:space="preserve">Overall, the macroeconomic outlook is marked by an exceptional degree of uncertainty related to the duration of the pandemic and its economic impact. This is a mitigating factor in the assessment of the Netherlands’ compliance with the deficit criterion in 2020.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hAnsi="Times New Roman" w:cs="Times New Roman"/>
          <w:noProof/>
          <w:sz w:val="24"/>
          <w:lang w:eastAsia="en-GB"/>
        </w:rPr>
      </w:pPr>
      <w:r>
        <w:rPr>
          <w:rFonts w:ascii="Times New Roman" w:eastAsia="Times New Roman" w:hAnsi="Times New Roman" w:cs="Times New Roman"/>
          <w:noProof/>
          <w:sz w:val="24"/>
          <w:szCs w:val="24"/>
          <w:lang w:eastAsia="en-GB"/>
        </w:rPr>
        <w:t>Based on outturn data and the Commission forecast, the Netherlands was compliant with</w:t>
      </w:r>
      <w:r>
        <w:rPr>
          <w:rFonts w:ascii="Times New Roman" w:hAnsi="Times New Roman" w:cs="Times New Roman"/>
          <w:noProof/>
          <w:sz w:val="24"/>
          <w:lang w:eastAsia="en-GB"/>
        </w:rPr>
        <w:t xml:space="preserve"> the medium-term budgetary objective in 2019.</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Dutch government has adopted a significant package of emergency measures with budgetary impact of more than 2½% of GDP in 2020 with the aim to avoid structural damage to the economy in response to the abrupt economic fallout and the almost complete evaporation of demand in specific sectors. Those measures are aimed at the areas most affected by the crisis, focusing on employment protection and household purchasing power, as well as tax deferral and loan guarantees to support the flow of credit to the private sector and prevent temporary liquidity problems from morphing into solvency issues (guarantees provided by government are subject to statistical assessment regarding their possible budgetary impact). The 2020 update of the Stability Programme and the Spring Budget Memorandum describe the measures taken and estimate their size to exceed EUR 20 billion (2.7% of GDP).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budget for 2020 is furthermore influenced by the downturn in economic activity. The impact of automatic stabilisation on the budget is difficult to estimate due to the uncertainties surrounding the economic shock. According to the Commission 2020 spring forecast as well as the Spring Budget Memorandum, automatic stabilisation is projected to add about 5% of GDP to the deficit. In line with Eurostat’s guidance for accrual accounting, tax deferrals are assumed to have no immediate impact on the 2020 deficit in the Commission 2020 spring forecast.</w:t>
      </w:r>
      <w:r>
        <w:rPr>
          <w:rStyle w:val="FootnoteReference"/>
          <w:rFonts w:eastAsiaTheme="minorHAnsi"/>
          <w:noProof/>
        </w:rPr>
        <w:footnoteReference w:id="5"/>
      </w:r>
      <w:r>
        <w:rPr>
          <w:rFonts w:ascii="Times New Roman" w:eastAsia="Times New Roman" w:hAnsi="Times New Roman" w:cs="Times New Roman"/>
          <w:noProof/>
          <w:sz w:val="24"/>
          <w:lang w:eastAsia="en-GB"/>
        </w:rPr>
        <w:t xml:space="preserve"> </w:t>
      </w:r>
    </w:p>
    <w:p>
      <w:pPr>
        <w:spacing w:line="240" w:lineRule="auto"/>
        <w:jc w:val="both"/>
        <w:rPr>
          <w:rFonts w:ascii="Times New Roman" w:eastAsia="Times New Roman" w:hAnsi="Times New Roman" w:cs="Times New Roman"/>
          <w:noProof/>
          <w:sz w:val="24"/>
          <w:lang w:eastAsia="en-GB"/>
        </w:rPr>
      </w:pPr>
      <w:r>
        <w:rPr>
          <w:rFonts w:ascii="Times New Roman" w:eastAsia="Calibri" w:hAnsi="Times New Roman" w:cs="Times New Roman"/>
          <w:noProof/>
          <w:sz w:val="24"/>
          <w:szCs w:val="24"/>
          <w:lang w:eastAsia="en-GB"/>
        </w:rPr>
        <w:t xml:space="preserve"> </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48.6% of GDP in 2019 to 62.1% in 2020. The debt sustainability analysis has been updated based on the Commission 2020 spring forecast. That analysis indicates that the debt position remain sustainable over the medium-term, which takes account of important mitigating factors (including the debt profile). In particular, while the debt position deteriorates as a result of the COVID-19 crisis, the debt ratio in the baseline is expected to be on a sustainable (declining) trajectory over the medium term</w:t>
      </w:r>
      <w:r>
        <w:rPr>
          <w:rStyle w:val="FootnoteReference"/>
          <w:rFonts w:eastAsiaTheme="minorHAnsi"/>
          <w:noProof/>
        </w:rPr>
        <w:footnoteReference w:id="6"/>
      </w:r>
      <w:r>
        <w:rPr>
          <w:rFonts w:ascii="Times New Roman" w:eastAsia="Times New Roman" w:hAnsi="Times New Roman" w:cs="Times New Roman"/>
          <w:noProof/>
          <w:sz w:val="24"/>
          <w:lang w:eastAsia="en-GB"/>
        </w:rPr>
        <w:t xml:space="preserve"> (Graph 1). </w:t>
      </w: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both"/>
        <w:rPr>
          <w:rFonts w:ascii="Times New Roman" w:eastAsia="Times New Roman" w:hAnsi="Times New Roman" w:cs="Times New Roman"/>
          <w:noProof/>
          <w:sz w:val="24"/>
          <w:lang w:eastAsia="en-GB"/>
        </w:rPr>
      </w:pPr>
    </w:p>
    <w:p>
      <w:pPr>
        <w:spacing w:before="120" w:after="120" w:line="240" w:lineRule="auto"/>
        <w:jc w:val="center"/>
        <w:rPr>
          <w:rFonts w:ascii="Times New Roman" w:hAnsi="Times New Roman" w:cs="Times New Roman"/>
          <w:b/>
          <w:noProof/>
        </w:rPr>
      </w:pPr>
      <w:r>
        <w:rPr>
          <w:rFonts w:ascii="Times New Roman" w:hAnsi="Times New Roman" w:cs="Times New Roman"/>
          <w:b/>
          <w:noProof/>
          <w:color w:val="1F497D"/>
        </w:rPr>
        <w:t>Graph 1: Government debt-to-GDP ratio, The Netherlands, % of GDP</w:t>
      </w:r>
      <w:r>
        <w:rPr>
          <w:noProof/>
          <w:lang w:eastAsia="en-GB"/>
        </w:rPr>
        <w:drawing>
          <wp:inline distT="0" distB="0" distL="0" distR="0">
            <wp:extent cx="5731510" cy="273588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rPr>
          <w:rFonts w:ascii="Times New Roman" w:hAnsi="Times New Roman" w:cs="Times New Roman"/>
          <w:noProof/>
          <w:sz w:val="20"/>
        </w:rPr>
      </w:pPr>
      <w:r>
        <w:rPr>
          <w:rFonts w:ascii="Times New Roman" w:hAnsi="Times New Roman" w:cs="Times New Roman"/>
          <w:noProof/>
          <w:sz w:val="20"/>
        </w:rPr>
        <w:t>Source: Commission services</w:t>
      </w:r>
    </w:p>
    <w:p>
      <w:pPr>
        <w:spacing w:before="120" w:after="120" w:line="240" w:lineRule="auto"/>
        <w:jc w:val="center"/>
        <w:rPr>
          <w:rFonts w:ascii="Times New Roman" w:eastAsia="Times New Roman" w:hAnsi="Times New Roman" w:cs="Times New Roman"/>
          <w:b/>
          <w:noProof/>
          <w:sz w:val="24"/>
          <w:lang w:eastAsia="en-GB"/>
        </w:rPr>
      </w:pP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3.5</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18 May 2020, the Dutch authorities transmitted a letter with relevant factors in accordance with Article 2(3) of Regulation (EC) No 1467/97. The analysis presented in the previous sections already broadly covers the key factors put forward by the authorities. </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Dutch Budget Memorandum, the Netherlands’s headline general government deficit in 2020 is planned to increase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specified in Article 2(4) of Regulation (EC) No 1467/97, as regards compliance with the deficit criterion in 2020,  since the government debt-to-GDP ratio is planned to exceed the 60% reference value in 2020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for the Netherlands.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Overall, the analysis suggests that the deficit criterion in 2020 as defined in the Treaty and in Regulation (EC) No 1467/1997 is not fulfilled.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 w:id="3">
    <w:p>
      <w:pPr>
        <w:pStyle w:val="FootnoteText"/>
      </w:pPr>
      <w:r>
        <w:rPr>
          <w:rStyle w:val="FootnoteReference"/>
        </w:rPr>
        <w:footnoteRef/>
      </w:r>
      <w:r>
        <w:t xml:space="preserve"> Spring Budget Memorandum 2020 (</w:t>
      </w:r>
      <w:r>
        <w:rPr>
          <w:i/>
        </w:rPr>
        <w:t>Voorjaarsnota 2020</w:t>
      </w:r>
      <w:r>
        <w:t>), handed in for review to the second Chamber by W. Hoekstra, Minister of Finance, on 24 April 2020.</w:t>
      </w:r>
    </w:p>
  </w:footnote>
  <w:footnote w:id="4">
    <w:p>
      <w:pPr>
        <w:pStyle w:val="FootnoteText"/>
      </w:pPr>
      <w:r>
        <w:rPr>
          <w:rStyle w:val="FootnoteReference"/>
        </w:rPr>
        <w:footnoteRef/>
      </w:r>
      <w:r>
        <w:t xml:space="preserve"> https://ec.europa.eu/info/sites/info/files/2020-european-semester-stability-programme-netherlands_en.pdf</w:t>
      </w:r>
    </w:p>
  </w:footnote>
  <w:footnote w:id="5">
    <w:p>
      <w:r>
        <w:rPr>
          <w:rStyle w:val="FootnoteReference"/>
          <w:rFonts w:eastAsiaTheme="minorHAnsi"/>
        </w:rPr>
        <w:footnoteRef/>
      </w:r>
      <w:r>
        <w:t xml:space="preserve"> </w:t>
      </w:r>
      <w:r>
        <w:rPr>
          <w:rFonts w:ascii="Times New Roman" w:hAnsi="Times New Roman" w:cs="Times New Roman"/>
          <w:sz w:val="20"/>
          <w:szCs w:val="20"/>
        </w:rPr>
        <w:t>This assumption is in line with guidance on the statistical treatment of those measures by Eurostat (</w:t>
      </w:r>
      <w:hyperlink r:id="rId1" w:history="1">
        <w:r>
          <w:rPr>
            <w:rStyle w:val="Hyperlink"/>
            <w:rFonts w:ascii="Times New Roman" w:hAnsi="Times New Roman" w:cs="Times New Roman"/>
            <w:sz w:val="20"/>
            <w:szCs w:val="20"/>
          </w:rPr>
          <w:t>https://ec.europa.eu/eurostat/documents/10186/10693286/GFS_draft_note.pdf</w:t>
        </w:r>
      </w:hyperlink>
      <w:r>
        <w:rPr>
          <w:rFonts w:ascii="Times New Roman" w:hAnsi="Times New Roman" w:cs="Times New Roman"/>
          <w:sz w:val="20"/>
          <w:szCs w:val="20"/>
        </w:rPr>
        <w:t>).</w:t>
      </w:r>
    </w:p>
  </w:footnote>
  <w:footnote w:id="6">
    <w:p>
      <w:pPr>
        <w:pStyle w:val="FootnoteText"/>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665CCF"/>
    <w:multiLevelType w:val="hybridMultilevel"/>
    <w:tmpl w:val="68781A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0">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6"/>
  </w:num>
  <w:num w:numId="3">
    <w:abstractNumId w:val="8"/>
  </w:num>
  <w:num w:numId="4">
    <w:abstractNumId w:val="2"/>
  </w:num>
  <w:num w:numId="5">
    <w:abstractNumId w:val="1"/>
  </w:num>
  <w:num w:numId="6">
    <w:abstractNumId w:val="33"/>
  </w:num>
  <w:num w:numId="7">
    <w:abstractNumId w:val="4"/>
  </w:num>
  <w:num w:numId="8">
    <w:abstractNumId w:val="13"/>
  </w:num>
  <w:num w:numId="9">
    <w:abstractNumId w:val="40"/>
  </w:num>
  <w:num w:numId="10">
    <w:abstractNumId w:val="14"/>
  </w:num>
  <w:num w:numId="11">
    <w:abstractNumId w:val="28"/>
  </w:num>
  <w:num w:numId="12">
    <w:abstractNumId w:val="22"/>
  </w:num>
  <w:num w:numId="13">
    <w:abstractNumId w:val="35"/>
  </w:num>
  <w:num w:numId="14">
    <w:abstractNumId w:val="39"/>
  </w:num>
  <w:num w:numId="15">
    <w:abstractNumId w:val="26"/>
  </w:num>
  <w:num w:numId="16">
    <w:abstractNumId w:val="16"/>
  </w:num>
  <w:num w:numId="17">
    <w:abstractNumId w:val="32"/>
  </w:num>
  <w:num w:numId="18">
    <w:abstractNumId w:val="10"/>
  </w:num>
  <w:num w:numId="19">
    <w:abstractNumId w:val="17"/>
  </w:num>
  <w:num w:numId="20">
    <w:abstractNumId w:val="7"/>
  </w:num>
  <w:num w:numId="21">
    <w:abstractNumId w:val="30"/>
  </w:num>
  <w:num w:numId="22">
    <w:abstractNumId w:val="6"/>
  </w:num>
  <w:num w:numId="23">
    <w:abstractNumId w:val="18"/>
  </w:num>
  <w:num w:numId="24">
    <w:abstractNumId w:val="24"/>
  </w:num>
  <w:num w:numId="25">
    <w:abstractNumId w:val="25"/>
  </w:num>
  <w:num w:numId="26">
    <w:abstractNumId w:val="9"/>
  </w:num>
  <w:num w:numId="27">
    <w:abstractNumId w:val="21"/>
  </w:num>
  <w:num w:numId="28">
    <w:abstractNumId w:val="38"/>
  </w:num>
  <w:num w:numId="29">
    <w:abstractNumId w:val="0"/>
  </w:num>
  <w:num w:numId="30">
    <w:abstractNumId w:val="19"/>
  </w:num>
  <w:num w:numId="31">
    <w:abstractNumId w:val="29"/>
  </w:num>
  <w:num w:numId="32">
    <w:abstractNumId w:val="11"/>
  </w:num>
  <w:num w:numId="33">
    <w:abstractNumId w:val="23"/>
  </w:num>
  <w:num w:numId="34">
    <w:abstractNumId w:val="5"/>
  </w:num>
  <w:num w:numId="35">
    <w:abstractNumId w:val="20"/>
  </w:num>
  <w:num w:numId="36">
    <w:abstractNumId w:val="31"/>
  </w:num>
  <w:num w:numId="37">
    <w:abstractNumId w:val="14"/>
  </w:num>
  <w:num w:numId="38">
    <w:abstractNumId w:val="37"/>
  </w:num>
  <w:num w:numId="39">
    <w:abstractNumId w:val="15"/>
  </w:num>
  <w:num w:numId="40">
    <w:abstractNumId w:val="3"/>
  </w:num>
  <w:num w:numId="4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7C4A8B-F4C9-4FE2-89AB-5A209CBBA7FA"/>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The Netherlands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4250">
      <w:bodyDiv w:val="1"/>
      <w:marLeft w:val="0"/>
      <w:marRight w:val="0"/>
      <w:marTop w:val="0"/>
      <w:marBottom w:val="0"/>
      <w:divBdr>
        <w:top w:val="none" w:sz="0" w:space="0" w:color="auto"/>
        <w:left w:val="none" w:sz="0" w:space="0" w:color="auto"/>
        <w:bottom w:val="none" w:sz="0" w:space="0" w:color="auto"/>
        <w:right w:val="none" w:sz="0" w:space="0" w:color="auto"/>
      </w:divBdr>
    </w:div>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62587278">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4132421">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56524005">
      <w:bodyDiv w:val="1"/>
      <w:marLeft w:val="0"/>
      <w:marRight w:val="0"/>
      <w:marTop w:val="0"/>
      <w:marBottom w:val="0"/>
      <w:divBdr>
        <w:top w:val="none" w:sz="0" w:space="0" w:color="auto"/>
        <w:left w:val="none" w:sz="0" w:space="0" w:color="auto"/>
        <w:bottom w:val="none" w:sz="0" w:space="0" w:color="auto"/>
        <w:right w:val="none" w:sz="0" w:space="0" w:color="auto"/>
      </w:divBdr>
    </w:div>
    <w:div w:id="19949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FS_draft_not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CFIN\C\2\SUSTAINABILITY\DEBT%20SUSTAINABILITY%20MONITOR-DSM%20projections\Spring%202020\country_fiches\Final%20storage%20(for%20DSA%20report%20and%20art%20126(3)%20reports\DSM%20country%20fiche%20-%20Netherlands%20-%20spring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strRef>
              <c:f>'COUNTRY FICHE coronavirus'!$V$37</c:f>
              <c:strCache>
                <c:ptCount val="1"/>
                <c:pt idx="0">
                  <c:v>Baseline</c:v>
                </c:pt>
              </c:strCache>
            </c:strRef>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48.596702575683594</c:v>
                </c:pt>
                <c:pt idx="1">
                  <c:v>62.127300262451172</c:v>
                </c:pt>
                <c:pt idx="2">
                  <c:v>57.602024078369141</c:v>
                </c:pt>
                <c:pt idx="3">
                  <c:v>58.410839080810547</c:v>
                </c:pt>
                <c:pt idx="4">
                  <c:v>58.929229736328125</c:v>
                </c:pt>
                <c:pt idx="5">
                  <c:v>58.982257843017578</c:v>
                </c:pt>
                <c:pt idx="6">
                  <c:v>58.503940582275391</c:v>
                </c:pt>
                <c:pt idx="7">
                  <c:v>57.709632873535156</c:v>
                </c:pt>
                <c:pt idx="8">
                  <c:v>56.866931915283203</c:v>
                </c:pt>
                <c:pt idx="9">
                  <c:v>56.001052856445313</c:v>
                </c:pt>
                <c:pt idx="10">
                  <c:v>55.107120513916016</c:v>
                </c:pt>
                <c:pt idx="11">
                  <c:v>54.124889373779297</c:v>
                </c:pt>
              </c:numCache>
            </c:numRef>
          </c:val>
          <c:smooth val="0"/>
          <c:extLst xmlns:c16r2="http://schemas.microsoft.com/office/drawing/2015/06/chart">
            <c:ext xmlns:c16="http://schemas.microsoft.com/office/drawing/2014/chart" uri="{C3380CC4-5D6E-409C-BE32-E72D297353CC}">
              <c16:uniqueId val="{00000000-A7E5-45B0-BCAC-A1F7E8D2E210}"/>
            </c:ext>
          </c:extLst>
        </c:ser>
        <c:ser>
          <c:idx val="2"/>
          <c:order val="1"/>
          <c:tx>
            <c:strRef>
              <c:f>'COUNTRY FICHE coronavirus'!$V$38</c:f>
              <c:strCache>
                <c:ptCount val="1"/>
                <c:pt idx="0">
                  <c:v>Adverse scenario</c:v>
                </c:pt>
              </c:strCache>
            </c:strRef>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48.596702575683594</c:v>
                </c:pt>
                <c:pt idx="1">
                  <c:v>62.472076416015625</c:v>
                </c:pt>
                <c:pt idx="2">
                  <c:v>58.337684631347656</c:v>
                </c:pt>
                <c:pt idx="3">
                  <c:v>59.541904449462891</c:v>
                </c:pt>
                <c:pt idx="4">
                  <c:v>60.481868743896484</c:v>
                </c:pt>
                <c:pt idx="5">
                  <c:v>60.977878570556641</c:v>
                </c:pt>
                <c:pt idx="6">
                  <c:v>60.948280334472656</c:v>
                </c:pt>
                <c:pt idx="7">
                  <c:v>60.598049163818359</c:v>
                </c:pt>
                <c:pt idx="8">
                  <c:v>60.200355529785156</c:v>
                </c:pt>
                <c:pt idx="9">
                  <c:v>59.777778625488281</c:v>
                </c:pt>
                <c:pt idx="10">
                  <c:v>59.321685791015625</c:v>
                </c:pt>
                <c:pt idx="11">
                  <c:v>58.763137817382812</c:v>
                </c:pt>
              </c:numCache>
            </c:numRef>
          </c:val>
          <c:smooth val="0"/>
          <c:extLst xmlns:c16r2="http://schemas.microsoft.com/office/drawing/2015/06/chart">
            <c:ext xmlns:c16="http://schemas.microsoft.com/office/drawing/2014/chart" uri="{C3380CC4-5D6E-409C-BE32-E72D297353CC}">
              <c16:uniqueId val="{00000001-A7E5-45B0-BCAC-A1F7E8D2E210}"/>
            </c:ext>
          </c:extLst>
        </c:ser>
        <c:dLbls>
          <c:showLegendKey val="0"/>
          <c:showVal val="0"/>
          <c:showCatName val="0"/>
          <c:showSerName val="0"/>
          <c:showPercent val="0"/>
          <c:showBubbleSize val="0"/>
        </c:dLbls>
        <c:marker val="1"/>
        <c:smooth val="0"/>
        <c:axId val="44597632"/>
        <c:axId val="44599168"/>
      </c:lineChart>
      <c:catAx>
        <c:axId val="44597632"/>
        <c:scaling>
          <c:orientation val="minMax"/>
        </c:scaling>
        <c:delete val="0"/>
        <c:axPos val="b"/>
        <c:numFmt formatCode="General" sourceLinked="1"/>
        <c:majorTickMark val="in"/>
        <c:minorTickMark val="none"/>
        <c:tickLblPos val="low"/>
        <c:spPr>
          <a:ln w="6350" cmpd="sng">
            <a:solidFill>
              <a:srgbClr val="000000"/>
            </a:solidFill>
            <a:prstDash val="solid"/>
          </a:ln>
        </c:spPr>
        <c:crossAx val="44599168"/>
        <c:crosses val="autoZero"/>
        <c:auto val="1"/>
        <c:lblAlgn val="ctr"/>
        <c:lblOffset val="100"/>
        <c:noMultiLvlLbl val="0"/>
      </c:catAx>
      <c:valAx>
        <c:axId val="44599168"/>
        <c:scaling>
          <c:orientation val="minMax"/>
          <c:max val="75"/>
          <c:min val="40"/>
        </c:scaling>
        <c:delete val="0"/>
        <c:axPos val="l"/>
        <c:numFmt formatCode="0" sourceLinked="0"/>
        <c:majorTickMark val="in"/>
        <c:minorTickMark val="none"/>
        <c:tickLblPos val="nextTo"/>
        <c:spPr>
          <a:ln w="6350" cmpd="sng">
            <a:solidFill>
              <a:srgbClr val="000000"/>
            </a:solidFill>
            <a:prstDash val="solid"/>
          </a:ln>
        </c:spPr>
        <c:crossAx val="44597632"/>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AD3E-C178-43E6-A2CD-8F4A0EB5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10702</Characters>
  <Application>Microsoft Office Word</Application>
  <DocSecurity>0</DocSecurity>
  <Lines>214</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2019-05-13T14:09:00Z</cp:lastPrinted>
  <dcterms:created xsi:type="dcterms:W3CDTF">2020-05-19T10:37:00Z</dcterms:created>
  <dcterms:modified xsi:type="dcterms:W3CDTF">2020-05-19T17:09:00Z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