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666343-9D29-4BA1-8BDB-F76511FEEC07"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Denmark</w:t>
      </w:r>
      <w:r>
        <w:rPr>
          <w:noProof/>
        </w:rPr>
        <w:br/>
      </w:r>
      <w:r>
        <w:rPr>
          <w:noProof/>
        </w:rPr>
        <w:br/>
        <w:t>Report prepared in accordance with Article 126(3) of the Treaty on the Functioning of the European Union</w:t>
      </w: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hAnsi="Times New Roman" w:cs="Times New Roman"/>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Danish authorities on 5 May 2020 and subsequently validated by Eurostat</w:t>
      </w:r>
      <w:r>
        <w:rPr>
          <w:rStyle w:val="FootnoteReference"/>
          <w:rFonts w:eastAsiaTheme="minorHAnsi"/>
          <w:noProof/>
          <w:sz w:val="24"/>
          <w:szCs w:val="24"/>
        </w:rPr>
        <w:footnoteReference w:id="2"/>
      </w:r>
      <w:r>
        <w:rPr>
          <w:rFonts w:ascii="Times New Roman" w:eastAsia="Times New Roman" w:hAnsi="Times New Roman" w:cs="Calibri"/>
          <w:noProof/>
          <w:sz w:val="24"/>
          <w:szCs w:val="24"/>
          <w:lang w:eastAsia="en-GB"/>
        </w:rPr>
        <w:t xml:space="preserve"> show that the general government surplus in Denmark reached 3.7% of GDP in 2019, while general government gross debt stood at 33.2% of GDP. According to the 2020 Convergence Programme, Denmark plans a deficit of 8% of GDP in 2020, while debt is planned at 40¾%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Against this background, </w:t>
      </w:r>
      <w:r>
        <w:rPr>
          <w:rFonts w:ascii="Times New Roman" w:hAnsi="Times New Roman" w:cs="Times New Roman"/>
          <w:noProof/>
          <w:sz w:val="24"/>
          <w:szCs w:val="24"/>
          <w:lang w:eastAsia="en-GB"/>
        </w:rPr>
        <w:t xml:space="preserve">the Commission has therefore prepared this report, which analyses Denmark’s compliance with the deficit criterion of the Treaty </w:t>
      </w:r>
      <w:r>
        <w:rPr>
          <w:rFonts w:ascii="Times New Roman" w:eastAsia="Times New Roman" w:hAnsi="Times New Roman" w:cs="Calibri"/>
          <w:noProof/>
          <w:sz w:val="24"/>
          <w:szCs w:val="24"/>
          <w:lang w:eastAsia="en-GB"/>
        </w:rPr>
        <w:t>The debt criterion can be considered to be met as the debt ratio in 2019 is below the Treaty reference value of 60% of GDP.</w:t>
      </w:r>
      <w:r>
        <w:rPr>
          <w:rFonts w:ascii="Times New Roman" w:hAnsi="Times New Roman" w:cs="Times New Roman"/>
          <w:noProof/>
          <w:sz w:val="24"/>
          <w:szCs w:val="24"/>
          <w:lang w:eastAsia="en-GB"/>
        </w:rPr>
        <w:t xml:space="preserve">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r>
        <w:rPr>
          <w:rFonts w:ascii="Times New Roman" w:eastAsia="Times New Roman" w:hAnsi="Times New Roman" w:cs="Times New Roman"/>
          <w:i/>
          <w:noProof/>
          <w:sz w:val="24"/>
          <w:highlight w:val="cyan"/>
          <w:lang w:eastAsia="en-GB"/>
        </w:rPr>
        <w:t xml:space="preserve"> </w:t>
      </w:r>
    </w:p>
    <w:tbl>
      <w:tblPr>
        <w:tblStyle w:val="TableGrid"/>
        <w:tblW w:w="0" w:type="auto"/>
        <w:jc w:val="center"/>
        <w:tblLook w:val="04A0" w:firstRow="1" w:lastRow="0" w:firstColumn="1" w:lastColumn="0" w:noHBand="0" w:noVBand="1"/>
      </w:tblPr>
      <w:tblGrid>
        <w:gridCol w:w="1084"/>
        <w:gridCol w:w="1172"/>
        <w:gridCol w:w="1008"/>
        <w:gridCol w:w="1008"/>
        <w:gridCol w:w="1008"/>
        <w:gridCol w:w="1008"/>
        <w:gridCol w:w="1025"/>
        <w:gridCol w:w="1025"/>
      </w:tblGrid>
      <w:tr>
        <w:trPr>
          <w:trHeight w:val="603"/>
          <w:jc w:val="center"/>
        </w:trPr>
        <w:tc>
          <w:tcPr>
            <w:tcW w:w="108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02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025"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rPr>
          <w:jc w:val="center"/>
        </w:trPr>
        <w:tc>
          <w:tcPr>
            <w:tcW w:w="108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0.2</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1.7</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0.5</w:t>
            </w:r>
          </w:p>
        </w:tc>
        <w:tc>
          <w:tcPr>
            <w:tcW w:w="1008" w:type="dxa"/>
            <w:shd w:val="clear" w:color="auto" w:fill="auto"/>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3.7</w:t>
            </w:r>
          </w:p>
        </w:tc>
        <w:tc>
          <w:tcPr>
            <w:tcW w:w="1025" w:type="dxa"/>
            <w:shd w:val="clear" w:color="auto" w:fill="auto"/>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-7.2</w:t>
            </w:r>
          </w:p>
        </w:tc>
        <w:tc>
          <w:tcPr>
            <w:tcW w:w="1025" w:type="dxa"/>
            <w:shd w:val="clear" w:color="auto" w:fill="auto"/>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-2.3</w:t>
            </w:r>
          </w:p>
        </w:tc>
      </w:tr>
      <w:tr>
        <w:trPr>
          <w:jc w:val="center"/>
        </w:trPr>
        <w:tc>
          <w:tcPr>
            <w:tcW w:w="108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37.2</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35.5</w:t>
            </w:r>
          </w:p>
        </w:tc>
        <w:tc>
          <w:tcPr>
            <w:tcW w:w="1008"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33.9</w:t>
            </w:r>
          </w:p>
        </w:tc>
        <w:tc>
          <w:tcPr>
            <w:tcW w:w="1008" w:type="dxa"/>
            <w:shd w:val="clear" w:color="auto" w:fill="auto"/>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33.2</w:t>
            </w:r>
          </w:p>
        </w:tc>
        <w:tc>
          <w:tcPr>
            <w:tcW w:w="1025" w:type="dxa"/>
            <w:shd w:val="clear" w:color="auto" w:fill="auto"/>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44.7</w:t>
            </w:r>
          </w:p>
        </w:tc>
        <w:tc>
          <w:tcPr>
            <w:tcW w:w="1025" w:type="dxa"/>
            <w:shd w:val="clear" w:color="auto" w:fill="auto"/>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44.6</w:t>
            </w:r>
          </w:p>
        </w:tc>
      </w:tr>
    </w:tbl>
    <w:p>
      <w:pPr>
        <w:spacing w:after="120" w:line="240" w:lineRule="auto"/>
        <w:ind w:left="426"/>
        <w:jc w:val="both"/>
        <w:rPr>
          <w:rFonts w:ascii="Times New Roman" w:eastAsia="Calibri" w:hAnsi="Times New Roman" w:cs="Times New Roman"/>
          <w:noProof/>
          <w:sz w:val="20"/>
          <w:szCs w:val="20"/>
          <w:lang w:eastAsia="en-GB"/>
        </w:rPr>
      </w:pPr>
      <w:r>
        <w:rPr>
          <w:rFonts w:ascii="Times New Roman" w:eastAsia="Calibri" w:hAnsi="Times New Roman" w:cs="Times New Roman"/>
          <w:noProof/>
          <w:sz w:val="20"/>
          <w:szCs w:val="20"/>
          <w:lang w:eastAsia="en-GB"/>
        </w:rPr>
        <w:t>Source: Eurostat, Commission 2020 spring forecast</w:t>
      </w:r>
    </w:p>
    <w:p>
      <w:pPr>
        <w:pStyle w:val="ManualHeading1"/>
        <w:rPr>
          <w:smallCaps w:val="0"/>
          <w:noProof/>
          <w:highlight w:val="cyan"/>
        </w:rPr>
      </w:pPr>
    </w:p>
    <w:p>
      <w:pPr>
        <w:rPr>
          <w:rFonts w:ascii="Times New Roman" w:hAnsi="Times New Roman" w:cs="Times New Roman"/>
          <w:b/>
          <w:noProof/>
          <w:sz w:val="24"/>
          <w:szCs w:val="24"/>
          <w:highlight w:val="cyan"/>
        </w:rPr>
      </w:pPr>
      <w:r>
        <w:rPr>
          <w:rFonts w:ascii="Times New Roman" w:hAnsi="Times New Roman" w:cs="Times New Roman"/>
          <w:b/>
          <w:noProof/>
          <w:sz w:val="24"/>
          <w:szCs w:val="24"/>
        </w:rPr>
        <w:t>2.</w:t>
      </w:r>
      <w:r>
        <w:rPr>
          <w:rFonts w:ascii="Times New Roman" w:hAnsi="Times New Roman" w:cs="Times New Roman"/>
          <w:b/>
          <w:noProof/>
          <w:sz w:val="24"/>
          <w:szCs w:val="24"/>
        </w:rPr>
        <w:tab/>
        <w:t>D</w:t>
      </w:r>
      <w:r>
        <w:rPr>
          <w:rFonts w:ascii="Times New Roman" w:eastAsia="Times New Roman" w:hAnsi="Times New Roman" w:cs="Times New Roman"/>
          <w:b/>
          <w:smallCaps/>
          <w:noProof/>
          <w:sz w:val="24"/>
          <w:lang w:eastAsia="en-GB"/>
        </w:rPr>
        <w:t>eficit 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Convergence Programme, Denmark’s general government deficit in 2020 is planned to reach 8%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in 2020 by 5.9%.</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planned excess over the Treaty reference value would be temporary based on the Commission 2020 spring forecast, which projects the general government deficit to fall under 3% of GDP in 2021. However, those projections are surrounded by an exceptionally high degree of uncertainty.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to be exceptional as defined by the Treaty and the Stability and Growth Pact while the nature of the excess is currently considered temporary. Hence, the analysis suggests that </w:t>
      </w:r>
      <w:r>
        <w:rPr>
          <w:rFonts w:ascii="Times New Roman" w:eastAsia="Times New Roman" w:hAnsi="Times New Roman" w:cs="Calibri"/>
          <w:bCs/>
          <w:i/>
          <w:noProof/>
          <w:sz w:val="24"/>
          <w:lang w:eastAsia="en-GB"/>
        </w:rPr>
        <w:t>prima facie</w:t>
      </w:r>
      <w:r>
        <w:rPr>
          <w:rFonts w:ascii="Times New Roman" w:eastAsia="Times New Roman" w:hAnsi="Times New Roman" w:cs="Calibri"/>
          <w:bCs/>
          <w:noProof/>
          <w:sz w:val="24"/>
          <w:lang w:eastAsia="en-GB"/>
        </w:rPr>
        <w:t xml:space="preserve"> </w:t>
      </w:r>
      <w:r>
        <w:rPr>
          <w:rFonts w:ascii="Times New Roman" w:eastAsia="Calibri" w:hAnsi="Times New Roman" w:cs="Times New Roman"/>
          <w:noProof/>
          <w:sz w:val="24"/>
          <w:szCs w:val="24"/>
          <w:lang w:eastAsia="en-GB"/>
        </w:rPr>
        <w:t>the deficit criterion as defined by the Treaty and Regulation (EC) No 1467/97 is not fulfilled.</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3.</w:t>
      </w:r>
      <w:r>
        <w:rPr>
          <w:rFonts w:ascii="Times New Roman" w:eastAsia="Times New Roman" w:hAnsi="Times New Roman" w:cs="Times New Roman"/>
          <w:b/>
          <w:smallCaps/>
          <w:noProof/>
          <w:sz w:val="24"/>
          <w:lang w:eastAsia="en-GB"/>
        </w:rPr>
        <w:tab/>
        <w:t xml:space="preserve">Relevant factors </w:t>
      </w:r>
    </w:p>
    <w:p>
      <w:pPr>
        <w:spacing w:before="120" w:after="120" w:line="240" w:lineRule="auto"/>
        <w:jc w:val="both"/>
        <w:rPr>
          <w:noProof/>
          <w:szCs w:val="24"/>
        </w:rPr>
      </w:pPr>
      <w:r>
        <w:rPr>
          <w:rFonts w:ascii="Times New Roman" w:hAnsi="Times New Roman" w:cs="Times New Roman"/>
          <w:noProof/>
          <w:sz w:val="24"/>
          <w:szCs w:val="24"/>
          <w:lang w:eastAsia="en-GB"/>
        </w:rPr>
        <w:t xml:space="preserve">Article 126(3) of the Treaty provides that, if a Member State does not fulfil the </w:t>
      </w:r>
      <w:r>
        <w:rPr>
          <w:rFonts w:ascii="Times New Roman" w:eastAsia="Calibri" w:hAnsi="Times New Roman" w:cs="Times New Roman"/>
          <w:noProof/>
          <w:sz w:val="24"/>
          <w:szCs w:val="24"/>
          <w:lang w:eastAsia="en-GB"/>
        </w:rPr>
        <w:t xml:space="preserve">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before="120" w:after="120" w:line="240" w:lineRule="auto"/>
        <w:jc w:val="both"/>
        <w:rPr>
          <w:noProof/>
          <w:szCs w:val="24"/>
        </w:rPr>
      </w:pPr>
      <w:r>
        <w:rPr>
          <w:rFonts w:ascii="Times New Roman" w:eastAsia="Calibri" w:hAnsi="Times New Roman" w:cs="Times New Roman"/>
          <w:noProof/>
          <w:sz w:val="24"/>
          <w:szCs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eastAsia="Times New Roman" w:cs="Calibri"/>
          <w:bCs/>
          <w:noProof/>
        </w:rPr>
      </w:pPr>
      <w:r>
        <w:rPr>
          <w:rFonts w:ascii="Times New Roman" w:eastAsia="Times New Roman" w:hAnsi="Times New Roman" w:cs="Calibri"/>
          <w:bCs/>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COVID-19 pandemic</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120" w:after="120" w:line="240" w:lineRule="auto"/>
        <w:jc w:val="both"/>
        <w:rPr>
          <w:rFonts w:ascii="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3.2</w:t>
      </w:r>
      <w:r>
        <w:rPr>
          <w:rFonts w:ascii="Times New Roman" w:eastAsia="Times New Roman" w:hAnsi="Times New Roman" w:cs="Times New Roman"/>
          <w:b/>
          <w:noProof/>
          <w:sz w:val="24"/>
          <w:lang w:eastAsia="en-GB"/>
        </w:rPr>
        <w:tab/>
        <w:t xml:space="preserve">Medium-term economic position </w:t>
      </w:r>
    </w:p>
    <w:p>
      <w:pPr>
        <w:spacing w:before="120" w:after="120" w:line="240" w:lineRule="auto"/>
        <w:jc w:val="both"/>
        <w:rPr>
          <w:rFonts w:ascii="Times New Roman" w:eastAsia="Times New Roman" w:hAnsi="Times New Roman" w:cs="Calibri"/>
          <w:bCs/>
          <w:i/>
          <w:noProof/>
          <w:sz w:val="24"/>
          <w:highlight w:val="cyan"/>
          <w:lang w:eastAsia="en-GB"/>
        </w:rPr>
      </w:pPr>
      <w:r>
        <w:rPr>
          <w:rFonts w:ascii="Times New Roman" w:eastAsia="Times New Roman" w:hAnsi="Times New Roman" w:cs="Calibri"/>
          <w:bCs/>
          <w:noProof/>
          <w:sz w:val="24"/>
          <w:lang w:eastAsia="en-GB"/>
        </w:rPr>
        <w:t>Denmark entered the COVID-19 crisis with strong economic fundamentals and without any major macroeconomic imbalances. Real GDP expanded by 2.4% in 2019, above its potential growth rate, with positive contributions from all demand components. These favourable trends continued into 2020 before coming to an abrupt halt in early March 2020.  Due to the COVID-19 pandemic, the Commission 2020 spring forecast projects GDP to decline by 5.9% in 2020, reflecting the disruption in economic activity caused by the lockdown measures and an unprecedented fall in external demand. Private consumption is projected to be hard-hit due to an increase in unemployment, a drop in wage growth and weak consumer confidence. Investment is also set to fall strongly in 2020 as uncertainty mounts and many companies are postponing or cancelling investment decisions. Output is set to drop strongly in the first half of the year and then to gradually recover from the third quarter onwards. In 2021, GDP is forecast to grow driven by a strong recovery in household consumption and investment. Nonetheless, GDP is unlikely to return to 2019 levels. Moreover, this outlook is marked by an exceptional degree of uncertainty</w:t>
      </w:r>
      <w:r>
        <w:rPr>
          <w:rStyle w:val="FootnoteReference"/>
          <w:rFonts w:eastAsiaTheme="minorHAnsi"/>
          <w:iCs/>
          <w:noProof/>
        </w:rPr>
        <w:footnoteReference w:id="3"/>
      </w:r>
      <w:r>
        <w:rPr>
          <w:rFonts w:ascii="Times New Roman" w:eastAsia="Times New Roman" w:hAnsi="Times New Roman" w:cs="Calibri"/>
          <w:bCs/>
          <w:noProof/>
          <w:sz w:val="24"/>
          <w:lang w:eastAsia="en-GB"/>
        </w:rPr>
        <w:t>. This a mitigating factor in the assessment of Denmarks’s compliance with the deficit criterion in 2020.</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3.3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Based on outturn data and the Commission 2020 spring forecast, Denmark was compliant with the medium-term budgetary objective (MTO) in 2019.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Convergence Programme provides information on substantial new measures to contain the pandemic and to support the economy. It estimates these direct support measures with a budgetary impact at 4.9% of GDP in 2020.</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impact of the pandemic and the measures to contain it implies that the economic and budgetary situation in Denmark is subject to particularly high uncertainty.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3.4</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On 14 May 2020, the Danish authorities transmitted a letter with relevant factors in accordance with Article 2(3) of Regulation (EC) No 1467/97. The analysis presented in the previous sections already covers the key factors put forward by the authorities.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 </w:t>
      </w:r>
    </w:p>
    <w:p>
      <w:pPr>
        <w:spacing w:before="120" w:after="120" w:line="240" w:lineRule="auto"/>
        <w:jc w:val="both"/>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4.</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Convergence Programme, Denmark’s general government deficit in 2020 is planned to increase to 8% of GDP, above and not close to the 3% of GDP Treaty reference value. The planned excess over the reference value is considered to be exceptional and currently considered to be temporary. </w:t>
      </w:r>
    </w:p>
    <w:p>
      <w:pPr>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In line with the Treaty and the Stability and Growth Pact, this report also examined relevant factors. </w:t>
      </w:r>
    </w:p>
    <w:p>
      <w:pPr>
        <w:jc w:val="both"/>
        <w:rPr>
          <w:noProof/>
          <w:lang w:val="en-US"/>
        </w:rPr>
      </w:pPr>
      <w:r>
        <w:rPr>
          <w:rFonts w:ascii="Times New Roman" w:eastAsia="Times New Roman" w:hAnsi="Times New Roman" w:cs="Calibri"/>
          <w:bCs/>
          <w:noProof/>
          <w:sz w:val="24"/>
          <w:lang w:eastAsia="en-GB"/>
        </w:rPr>
        <w:t>Overall, since the planned deficit is well above 3% of GDP and taking into account all relevant factors, the analysis suggests that the deficit criterion as defined in the Treaty and in Regulation (EC) No 1467/1997 is not fulfilled.</w:t>
      </w:r>
    </w:p>
    <w:p>
      <w:pPr>
        <w:spacing w:before="120" w:after="120" w:line="240" w:lineRule="auto"/>
        <w:jc w:val="both"/>
        <w:rPr>
          <w:rFonts w:ascii="Times New Roman" w:eastAsia="Times New Roman" w:hAnsi="Times New Roman" w:cs="Calibri"/>
          <w:bCs/>
          <w:noProof/>
          <w:sz w:val="24"/>
          <w:lang w:eastAsia="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hyperlink r:id="rId1" w:history="1">
        <w:r>
          <w:rPr>
            <w:rStyle w:val="Hyperlink"/>
          </w:rPr>
          <w:t>https://ec.europa.eu/eurostat/documents/2995521/10294648/2-22042020-AP-EN.pdf/6c8f0ef4-6221-1094-fef7-a07764b0369f</w:t>
        </w:r>
      </w:hyperlink>
    </w:p>
  </w:footnote>
  <w:footnote w:id="3">
    <w:p>
      <w:pPr>
        <w:pStyle w:val="FootnoteText"/>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6666343-9D29-4BA1-8BDB-F76511FEEC0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Denmark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Garamond" w:hAnsi="Garamond" w:cs="Garamond"/>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326053982">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946934334">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239289546">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682657865">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2995521/10294648/2-22042020-AP-EN.pdf/6c8f0ef4-6221-1094-fef7-a07764b036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41E8-47A9-46C6-BFB8-A7662986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7545</Characters>
  <Application>Microsoft Office Word</Application>
  <DocSecurity>0</DocSecurity>
  <Lines>157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16</cp:revision>
  <cp:lastPrinted>2019-05-13T14:09:00Z</cp:lastPrinted>
  <dcterms:created xsi:type="dcterms:W3CDTF">2020-05-18T14:31:00Z</dcterms:created>
  <dcterms:modified xsi:type="dcterms:W3CDTF">2020-05-19T17:13:00Z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ies>
</file>