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E75C8D9-2BEA-4E9D-B478-0D8D0D20400F" style="width:451.4pt;height:338.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Poland and delivering a Council opinion on the 2020 Convergence Programme of Poland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Poland as one of the Member States for which an in-depth review would be carried out.</w:t>
      </w:r>
    </w:p>
    <w:p>
      <w:pPr>
        <w:pStyle w:val="ManualConsidrant"/>
        <w:rPr>
          <w:noProof/>
        </w:rPr>
      </w:pPr>
      <w:r>
        <w:rPr>
          <w:noProof/>
        </w:rPr>
        <w:t>(2)</w:t>
      </w:r>
      <w:r>
        <w:rPr>
          <w:noProof/>
        </w:rPr>
        <w:tab/>
        <w:t>The 2020 country report for Poland</w:t>
      </w:r>
      <w:r>
        <w:rPr>
          <w:rStyle w:val="FootnoteReference"/>
          <w:noProof/>
        </w:rPr>
        <w:footnoteReference w:id="2"/>
      </w:r>
      <w:r>
        <w:rPr>
          <w:noProof/>
        </w:rPr>
        <w:t xml:space="preserve"> was published on 26 February 2020. It assessed Poland’s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xml:space="preserve">, the follow-up given to the recommendations adopted in previous years and Poland's progress towards its national Europe 2020 targets. </w:t>
      </w:r>
    </w:p>
    <w:p>
      <w:pPr>
        <w:pStyle w:val="ManualConsidrant"/>
        <w:rPr>
          <w:noProof/>
        </w:rPr>
      </w:pPr>
      <w:r>
        <w:rPr>
          <w:noProof/>
        </w:rPr>
        <w:t>(3)</w:t>
      </w:r>
      <w:r>
        <w:rPr>
          <w:noProof/>
        </w:rPr>
        <w:tab/>
        <w:t xml:space="preserve">On 11 March 2020, the World Health Organization officially declared the COVID-19 outbreak a global pandemic. It is a severe public health emergency for citizens, societies and economies. It is putting national health systems under severe strain, </w:t>
      </w:r>
      <w:r>
        <w:rPr>
          <w:noProof/>
        </w:rPr>
        <w:lastRenderedPageBreak/>
        <w:t>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w:t>
      </w:r>
      <w:r>
        <w:rPr>
          <w:noProof/>
          <w:color w:val="000000"/>
          <w:lang w:val="en-US"/>
        </w:rPr>
        <w:t xml:space="preserve"> which include in particular improved purchasing strategies, diversified supply chains and strategic reserves of </w:t>
      </w:r>
      <w:r>
        <w:rPr>
          <w:noProof/>
          <w:color w:val="000000"/>
          <w:lang w:val="en-US"/>
        </w:rPr>
        <w:lastRenderedPageBreak/>
        <w:t>essential supplies</w:t>
      </w:r>
      <w:r>
        <w:rPr>
          <w:noProof/>
        </w:rPr>
        <w:t>.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Poland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regions due to different specialisation patterns. This entails a risk of widening territorial disparities within Poland.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29 April 2020, Poland submitted its 2020 National Reform Programme, and on 30 April 2020, its 2020 Convergence Programme. In order to take account of their interlinkages, the two programmes have been assessed at the same time.</w:t>
      </w:r>
    </w:p>
    <w:p>
      <w:pPr>
        <w:pStyle w:val="ManualConsidrant"/>
        <w:rPr>
          <w:noProof/>
        </w:rPr>
      </w:pPr>
      <w:r>
        <w:rPr>
          <w:noProof/>
        </w:rPr>
        <w:t>(11)</w:t>
      </w:r>
      <w:r>
        <w:rPr>
          <w:noProof/>
        </w:rPr>
        <w:tab/>
        <w:t xml:space="preserve">Poland is currently in the preventive arm of the Stability and Growth Pact. </w:t>
      </w:r>
    </w:p>
    <w:p>
      <w:pPr>
        <w:pStyle w:val="ManualConsidrant"/>
        <w:rPr>
          <w:noProof/>
        </w:rPr>
      </w:pPr>
      <w:r>
        <w:rPr>
          <w:noProof/>
        </w:rPr>
        <w:t>(12)</w:t>
      </w:r>
      <w:r>
        <w:rPr>
          <w:noProof/>
        </w:rPr>
        <w:tab/>
        <w:t>On 13 July 2018, the Council recommended Poland to ensure that the nominal growth rate of net primary government expenditure</w:t>
      </w:r>
      <w:r>
        <w:rPr>
          <w:rStyle w:val="FootnoteReference"/>
          <w:noProof/>
        </w:rPr>
        <w:footnoteReference w:id="7"/>
      </w:r>
      <w:r>
        <w:rPr>
          <w:noProof/>
        </w:rPr>
        <w:t xml:space="preserve"> does not exceed 4,2% in 2019, corresponding to an annual structural adjustment of 0,6% of GDP. The Commission’s overall assessment confirms a significant deviation from the recommended adjustment path towards the medium-term budgetary objective in 2019 as well as over 2018 and 2019 taken together. However, in light of the activation of the general escape clause, further steps under the significant deviation procedure for Poland are not warranted.  </w:t>
      </w:r>
    </w:p>
    <w:p>
      <w:pPr>
        <w:pStyle w:val="ManualConsidrant"/>
        <w:rPr>
          <w:noProof/>
        </w:rPr>
      </w:pPr>
      <w:r>
        <w:rPr>
          <w:noProof/>
        </w:rPr>
        <w:t>(13)</w:t>
      </w:r>
      <w:r>
        <w:rPr>
          <w:noProof/>
        </w:rPr>
        <w:tab/>
        <w:t>In its 2020 Convergence Programme, the government plans the headline balance to deteriorate from a deficit of 0,7 % of GDP in 2019 to a deficit of 8,4% of GDP in 2020. After decreasing to 46,0% of GDP in 2019, the general government debt-to-GDP ratio is expected to increase to 55,2% in 2020. The macroeconomic and fiscal outlook is affected by high uncertainty due to the COVID-19 pandemic.</w:t>
      </w:r>
    </w:p>
    <w:p>
      <w:pPr>
        <w:pStyle w:val="ManualConsidrant"/>
        <w:rPr>
          <w:noProof/>
        </w:rPr>
      </w:pPr>
      <w:r>
        <w:rPr>
          <w:noProof/>
        </w:rPr>
        <w:t>(14)</w:t>
      </w:r>
      <w:r>
        <w:rPr>
          <w:noProof/>
        </w:rPr>
        <w:tab/>
        <w:t xml:space="preserve">In response to the COVID-19 pandemic, and as part of a coordinated Union approach, Poland has adopted budgetary measures to increase the capacity of its health system, contain the pandemic, and provide relief to those individuals and sectors that have been particularly affected. According to the 2020 Convergence Programme, those </w:t>
      </w:r>
      <w:r>
        <w:rPr>
          <w:noProof/>
        </w:rPr>
        <w:lastRenderedPageBreak/>
        <w:t>budgetary measures amount to 3,2% of GDP and include allowances for self-employed and employed on non-standard labour contracts, exempting companies from social contributions (they are to be paid by the State), and subsidies to wages for certain companies. In addition, Poland has announced measures that, while not having a direct budgetary impact, will contribute to support liquidity to businesses, such as loan guarantees for enterprises. The fiscal impact of the budgetary measures provided in the Convergence Programme differs mainly due the treatment of loans to companies. In line with the authorities’ announcements, the Commission forecast is based on the assumption that loans equivalent to around 2¾ percentage points of GDP will be converted into subsidies and thus recorded as expenditure in 2020.  Overall, the measures taken by Poland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w:t>
      </w:r>
    </w:p>
    <w:p>
      <w:pPr>
        <w:pStyle w:val="ManualConsidrant"/>
        <w:rPr>
          <w:noProof/>
        </w:rPr>
      </w:pPr>
      <w:r>
        <w:rPr>
          <w:noProof/>
        </w:rPr>
        <w:t>(15)</w:t>
      </w:r>
      <w:r>
        <w:rPr>
          <w:noProof/>
        </w:rPr>
        <w:tab/>
        <w:t>Based on the Commission 2020 spring forecast under unchanged policies, Poland’s general government balance is forecast at -9,5% of GDP in 2020 and -3,8% in 2021. The general government debt ratio is projected to remain below 60% of GDP in 2020 and 2021.</w:t>
      </w:r>
    </w:p>
    <w:p>
      <w:pPr>
        <w:pStyle w:val="ManualConsidrant"/>
        <w:rPr>
          <w:noProof/>
        </w:rPr>
      </w:pPr>
      <w:r>
        <w:rPr>
          <w:noProof/>
        </w:rPr>
        <w:t>(16)</w:t>
      </w:r>
      <w:r>
        <w:rPr>
          <w:noProof/>
        </w:rPr>
        <w:tab/>
        <w:t>On 20 May 2020, the Commission issued a report prepared in accordance with Article 126(3) of the Treaty due to Poland’s planned breach of the 3% of GDP deficit threshold in 2020. Overall, the analysis suggests that the deficit criterion as defined in the Treaty and in Regulation (EC) No 1467/1997 is not fulfilled.</w:t>
      </w:r>
    </w:p>
    <w:p>
      <w:pPr>
        <w:pStyle w:val="ManualConsidrant"/>
        <w:rPr>
          <w:noProof/>
        </w:rPr>
      </w:pPr>
      <w:r>
        <w:rPr>
          <w:noProof/>
        </w:rPr>
        <w:t>(17)</w:t>
      </w:r>
      <w:r>
        <w:rPr>
          <w:noProof/>
        </w:rPr>
        <w:tab/>
        <w:t xml:space="preserve">The COVID-19 outbreak has pushed Poland into a new social and economic situation. For the first time in almost three decades, a recession is forecasted for 2020. According to the data provided by the government, the pandemic’s impact on the health of the population was comparatively low, including due to an early adoption of unprecedented measures such as strict quarantine and social distancing. So far, the most negative consequences have been observed in the services sector (including transport, retail and wholesale trade and leisure), as well as in manufacturing, as a result of interruptions in supply chains. To offset the economic impact of imposed restrictions, the government has launched a set of measures worth around 9% of Poland’s GDP (deficit increasing measures and liquidity measures combined), which includes Union financing. This is also supported by the liquidity provision measures of National Bank of Poland. The government’s support focuses on stabilising the economy in the short term through supporting employees’ incomes, providing financing for businesses facing drops in revenue, strengthening resilience and responsiveness of the health sector, and strengthening the financial system. It also includes an investment programme to support economic recovery in the medium term. Public demand for the policy response, including through exemptions from social security contributions, benefits for employees in companies that are suspending their activity and access to loans for micro-enterprises, is high. The COVID-19 pandemic is expected to contribute to the GDP decline by 4,3% in 2020, followed by a recovery of 4,1% in 2021. </w:t>
      </w:r>
    </w:p>
    <w:p>
      <w:pPr>
        <w:pStyle w:val="ManualConsidrant"/>
        <w:rPr>
          <w:noProof/>
        </w:rPr>
      </w:pPr>
      <w:r>
        <w:rPr>
          <w:noProof/>
        </w:rPr>
        <w:t>(18)</w:t>
      </w:r>
      <w:r>
        <w:rPr>
          <w:noProof/>
        </w:rPr>
        <w:tab/>
        <w:t xml:space="preserve">The COVID-19 pandemic made it necessary to put in place unprecedented measures in the health system. Sizeable outlays such as purchasing health-related equipment and supplies, increasing hospital and laboratory capacity, as well as strengthening staffing capacity, were made. Allocation of additional resources is needed also to compensate for other health services and investment that were postponed or redirected. Prior to the </w:t>
      </w:r>
      <w:r>
        <w:rPr>
          <w:noProof/>
        </w:rPr>
        <w:lastRenderedPageBreak/>
        <w:t>COVID-19 outbreak, public expenditure in health system was 4,8% of GDP, below the EU average of 7% of GDP in 2018. This, together with suboptimal allocation of funds, hampers the operation of the health system and access to it. In 2018, the proportion of the Polish population reporting unmet needs for medical examinations amounted to 4,2%, substantially higher than the 2% at Union level. The number of practising doctors and nurses relative to the population is still among the lowest in the Union and the distribution of the healthcare workforce is uneven across the country. Public health, e-health and primary care, which are crucial to improve prevention and access, and to make the system resilient to future challenges, remain underdeveloped. The pandemic has impacted long-term care facilities where many of the residents are a high-risk group.</w:t>
      </w:r>
      <w:r>
        <w:rPr>
          <w:rFonts w:ascii="Calibri" w:hAnsi="Calibri" w:cs="Calibri"/>
          <w:noProof/>
          <w:color w:val="1F497D"/>
          <w:sz w:val="22"/>
        </w:rPr>
        <w:t xml:space="preserve">  </w:t>
      </w:r>
    </w:p>
    <w:p>
      <w:pPr>
        <w:pStyle w:val="ManualConsidrant"/>
        <w:rPr>
          <w:i/>
          <w:noProof/>
          <w:lang w:val="en-IE"/>
        </w:rPr>
      </w:pPr>
      <w:r>
        <w:rPr>
          <w:noProof/>
        </w:rPr>
        <w:t>(19)</w:t>
      </w:r>
      <w:r>
        <w:rPr>
          <w:noProof/>
        </w:rPr>
        <w:tab/>
        <w:t xml:space="preserve">The COVID-19 pandemic will impact significantly the labour market, reversing the unemployment fall of recent years. The unemployment rate is set to revert from 3,3% in 2019 to around 7,5% in 2020, and slightly recover to 5,3% in 2021. This short-term impact risks becoming more structural over the medium term, especially for vulnerable groups. </w:t>
      </w:r>
      <w:r>
        <w:rPr>
          <w:noProof/>
          <w:lang w:val="en-IE"/>
        </w:rPr>
        <w:t xml:space="preserve">The temporary short-time work scheme could be an effective tool to preserve jobs, with sufficient incentives for its take-up by companies. </w:t>
      </w:r>
      <w:r>
        <w:rPr>
          <w:noProof/>
        </w:rPr>
        <w:t xml:space="preserve">At the same time, despite favourable developments prior to the COVID-19 crisis, the labour market participation of some groups, especially women, the low-skilled, older people and persons with disabilities and their carers, have remained low. Migration from non-EU countries has helped to mitigate the labour shortages, but continued inflow of migrant workers may be difficult to achieve due to border control restrictions. The enhancement of </w:t>
      </w:r>
      <w:r>
        <w:rPr>
          <w:noProof/>
          <w:lang w:val="en-IE"/>
        </w:rPr>
        <w:t xml:space="preserve">flexible working arrangements, including distance working and flexible time working schemes, notably under permanent types of employment, may therefore help responding to the crisis and also help support groups with lower activity rates finding permanent employment. This would also improve labour market resilience during future downturns. </w:t>
      </w:r>
    </w:p>
    <w:p>
      <w:pPr>
        <w:pStyle w:val="ManualConsidrant"/>
        <w:rPr>
          <w:noProof/>
          <w:lang w:val="en-IE"/>
        </w:rPr>
      </w:pPr>
      <w:r>
        <w:rPr>
          <w:noProof/>
        </w:rPr>
        <w:t>(20)</w:t>
      </w:r>
      <w:r>
        <w:rPr>
          <w:noProof/>
        </w:rPr>
        <w:tab/>
        <w:t xml:space="preserve">To mitigate the social impacts </w:t>
      </w:r>
      <w:r>
        <w:rPr>
          <w:noProof/>
          <w:lang w:val="en-IE"/>
        </w:rPr>
        <w:t>of the COVID-19 pandemic, sustain social cohesion and support the economic recovery, substantial safety nets are required. In recent years, Poland launched an extensive programme of social transfers, including the universal child allowance and the additional one-off benefit to be paid every year to pensioners, worth nearly 2,5% of GDP per year. These measures are not means-tested and leave scope for better targeting. At the same time, coverage of social benefits is low for people with lowest-incomes. The biggest increase in extreme poverty reported in 2019 by the household budget survey was observed for people or families living on allowances (other than pensions and disability pensions), signalling the weaknesses in the social security system. Moreover, n</w:t>
      </w:r>
      <w:r>
        <w:rPr>
          <w:noProof/>
          <w:lang w:val="en-US"/>
        </w:rPr>
        <w:t>ot all types of labour contracts provide an access to social protection, such as adequate unemployment benefits, maternity benefits, sickness and invalidity benefits. This makes some workers affected by</w:t>
      </w:r>
      <w:r>
        <w:rPr>
          <w:noProof/>
          <w:lang w:val="en-IE"/>
        </w:rPr>
        <w:t xml:space="preserve"> the emergency</w:t>
      </w:r>
      <w:r>
        <w:rPr>
          <w:noProof/>
          <w:lang w:val="en-US"/>
        </w:rPr>
        <w:t xml:space="preserve"> measures more vulnerable and puts them at risk of falling into poverty. Additionally, t</w:t>
      </w:r>
      <w:r>
        <w:rPr>
          <w:noProof/>
          <w:lang w:val="en-IE"/>
        </w:rPr>
        <w:t xml:space="preserve">he level of minimum income benefits is below the Union average. </w:t>
      </w:r>
    </w:p>
    <w:p>
      <w:pPr>
        <w:pStyle w:val="ManualConsidrant"/>
        <w:rPr>
          <w:noProof/>
        </w:rPr>
      </w:pPr>
      <w:r>
        <w:rPr>
          <w:noProof/>
        </w:rPr>
        <w:t>(21)</w:t>
      </w:r>
      <w:r>
        <w:rPr>
          <w:noProof/>
        </w:rPr>
        <w:tab/>
        <w:t>The sudden suspension of classes at all educational levels has posed challenges for the education system in providing distance learning. To prevent growing inequalities, it is crucial to ensure that all learners, in particular from disadvantaged backgrounds, can access distance learning. However, h</w:t>
      </w:r>
      <w:r>
        <w:rPr>
          <w:rFonts w:cs="Arial"/>
          <w:noProof/>
        </w:rPr>
        <w:t xml:space="preserve">ouseholds of almost 330,000 pupils were not equipped with a computer with internet access in 2018. </w:t>
      </w:r>
      <w:r>
        <w:rPr>
          <w:noProof/>
        </w:rPr>
        <w:t xml:space="preserve">Significant proportion of teachers lack skills to provide digital learning. At the same time, many parents struggle in supporting digital learning and home-based schooling. Continuation of measures to equip schools and teachers with digital infrastructure and on line teaching </w:t>
      </w:r>
      <w:r>
        <w:rPr>
          <w:noProof/>
        </w:rPr>
        <w:lastRenderedPageBreak/>
        <w:t xml:space="preserve">materials would address some of these issues and ensure quality. </w:t>
      </w:r>
      <w:r>
        <w:rPr>
          <w:rFonts w:cs="Arial"/>
          <w:noProof/>
        </w:rPr>
        <w:t>The COVID-19 crisis brings out the overall structural challenge with digital skills attainment, as</w:t>
      </w:r>
      <w:r>
        <w:rPr>
          <w:noProof/>
        </w:rPr>
        <w:t xml:space="preserve"> nearly half of the adult population lacks basic digital skills, and overall adults’ participation in learning is significantly lower than the Union average. The recent reforms in vocational education have not incentivised enough employers’ to participate in it and work-based training remains underutilised. Emerging teacher shortages indicate the need to increase the attractiveness of the teaching profession.</w:t>
      </w:r>
    </w:p>
    <w:p>
      <w:pPr>
        <w:pStyle w:val="ManualConsidrant"/>
        <w:rPr>
          <w:noProof/>
        </w:rPr>
      </w:pPr>
      <w:r>
        <w:rPr>
          <w:noProof/>
        </w:rPr>
        <w:t>(22)</w:t>
      </w:r>
      <w:r>
        <w:rPr>
          <w:noProof/>
        </w:rPr>
        <w:tab/>
        <w:t>The COVID-19 outbreak has severely impacted working conditions of businesses, especially small and medium-sized enterprises (SMEs) and micro-enterprises. Offering distance working arrangements represents a challenge, and only a tenth of Polish enterprises are digitalised enough to allow for quick adaptation to new conditions. One of the main obstacles to the digitalisation of the SMEs are the low levels of digital literacy among owners, managers and employees. The use of digital technologies in public administration is key to ensure the provision of the governmental services as well as to steer the measures needed to monitor and manage the crisis. In addition, e</w:t>
      </w:r>
      <w:r>
        <w:rPr>
          <w:iCs/>
          <w:noProof/>
        </w:rPr>
        <w:t>fficient digital public services lead to reduction of unnecessary regulatory and administrative burden, which can be crucial in the recovery phase.</w:t>
      </w:r>
      <w:r>
        <w:rPr>
          <w:noProof/>
        </w:rPr>
        <w:t xml:space="preserve"> </w:t>
      </w:r>
    </w:p>
    <w:p>
      <w:pPr>
        <w:pStyle w:val="ManualConsidrant"/>
        <w:rPr>
          <w:noProof/>
          <w:lang w:val="en-IE"/>
        </w:rPr>
      </w:pPr>
      <w:r>
        <w:rPr>
          <w:noProof/>
        </w:rPr>
        <w:t>(23)</w:t>
      </w:r>
      <w:r>
        <w:rPr>
          <w:noProof/>
        </w:rPr>
        <w:tab/>
        <w:t xml:space="preserve">To mitigate the impact of the crisis, the Polish government offer substantial liquidity support through guarantees, loans and conditional grants to affected companies, with a focus on the SMEs and micro-enterprises. The government measures are supported by the National Bank of Poland, including by the treasury bonds purchase programme in the secondary market and considerable interest rate cuts. Effective and swift implementation of these measures and their effective transmission by intermediaries is essential to help the business sector to pursue their activity and facilitate recovery. In the process of designing and implementing these measures, the resilience of the banking sector needs to be taken into account and the stability of the financial system needs to be monitored. Possibility to defer payments of taxes and social contributions and speeding up of contractual payments by public authorities also helps to improve the cash-flow of affected companies.  </w:t>
      </w:r>
    </w:p>
    <w:p>
      <w:pPr>
        <w:pStyle w:val="ManualConsidrant"/>
        <w:rPr>
          <w:noProof/>
          <w:lang w:val="en-IE"/>
        </w:rPr>
      </w:pPr>
      <w:r>
        <w:rPr>
          <w:noProof/>
        </w:rPr>
        <w:t>(24)</w:t>
      </w:r>
      <w:r>
        <w:rPr>
          <w:noProof/>
        </w:rPr>
        <w:tab/>
        <w:t xml:space="preserve">To foster the economic recovery, it will be important to </w:t>
      </w:r>
      <w:r>
        <w:rPr>
          <w:noProof/>
          <w:color w:val="000000"/>
        </w:rPr>
        <w:t xml:space="preserve">front-load mature public investment projects and promote private investment, including through relevant reforms. </w:t>
      </w:r>
      <w:r>
        <w:rPr>
          <w:noProof/>
        </w:rPr>
        <w:t xml:space="preserve">Polish economy is carbon intensive and air quality stands among the lowest in the Union, posing major environmental and health concerns. Planning and adopting ambitious measures aimed at clean energy transition in a timely manner in accordance with the European Green Deal and the National Energy and Climate Plan is thus essential. While fibre deployment in Poland is above the EU average and significant progress has been made in ultrafast and mobile broadband take-up in previous years, Poland is still far from its committed connectivity targets. The recovery could be further supported by significant investment in sustainable transport infrastructure to improve connectivity between peripheral areas and centres of economic activity. Poland will increasingly rely on science and innovation to ensure long-term sustainable economic growth and competitiveness. General spending on research and development in relation to GDP remains below the EU average and, despite visible progress in many components of the policy mix of the country’s innovation ecosystem, the </w:t>
      </w:r>
      <w:r>
        <w:rPr>
          <w:noProof/>
          <w:spacing w:val="-2"/>
        </w:rPr>
        <w:t>science-business cooperation</w:t>
      </w:r>
      <w:r>
        <w:rPr>
          <w:noProof/>
        </w:rPr>
        <w:t xml:space="preserve"> remains a key obstacle on Poland’s way to strengthen innovation. The programming of the Just Transition Fund for the period 2021-2027 could help Poland to address some of the challenges posed by the transition </w:t>
      </w:r>
      <w:r>
        <w:rPr>
          <w:noProof/>
        </w:rPr>
        <w:lastRenderedPageBreak/>
        <w:t>to a climate neutral economy, in particular in the territories covered by Annex D to the country report</w:t>
      </w:r>
      <w:r>
        <w:rPr>
          <w:rStyle w:val="FootnoteReference"/>
          <w:noProof/>
        </w:rPr>
        <w:footnoteReference w:id="8"/>
      </w:r>
      <w:r>
        <w:rPr>
          <w:noProof/>
        </w:rPr>
        <w:t>. This would allow Poland to make the best use of that fund.</w:t>
      </w:r>
    </w:p>
    <w:p>
      <w:pPr>
        <w:pStyle w:val="ManualConsidrant"/>
        <w:rPr>
          <w:noProof/>
        </w:rPr>
      </w:pPr>
      <w:r>
        <w:rPr>
          <w:noProof/>
        </w:rPr>
        <w:t>(25)</w:t>
      </w:r>
      <w:r>
        <w:rPr>
          <w:noProof/>
        </w:rPr>
        <w:tab/>
        <w:t xml:space="preserve">A stable and predictable business environment and friendly investment climate play an important role in a post-pandemic economic recovery. The independence, efficiency and quality of the justice system are essential components in this respect. Legal certainty, including access to independent courts, and trust in the quality and predictability of regulatory policies and institutions are also crucial factors for the operation of the single market and for safeguarding Poland’s position in European supply chains in a post-pandemic situation. In addition to longstanding concerns over the rule of law in Poland raised by the Commission, a number of which were already addressed in rulings of the Court of Justice of the European Union, recent developments raise further concerns, putting at risk the functioning of the Polish and the Union’s legal order. </w:t>
      </w:r>
    </w:p>
    <w:p>
      <w:pPr>
        <w:pStyle w:val="ManualConsidrant"/>
        <w:rPr>
          <w:noProof/>
        </w:rPr>
      </w:pPr>
      <w:r>
        <w:rPr>
          <w:noProof/>
        </w:rPr>
        <w:t>(26)</w:t>
      </w:r>
      <w:r>
        <w:rPr>
          <w:noProof/>
        </w:rPr>
        <w:tab/>
        <w:t xml:space="preserve">Sound and stable regulatory environment is the basis for sustaining economic growth and private investment. The lack of proper public and social partners’ consultations has detrimental effect on the stability and robustness of the business environment, as well as on the quality of legislation. Public consultations were made obligatory for the draft laws proposed by the Council of Ministers, however, they are either not delivered or not obligatory for the proposals that are using alternative tracks, such as submission by the Members of Parliament. This inconsistency is further weighting on the quality of the resulting legislation. In addition, the quality of the social dialogue has deteriorated in the past years, in particular due to </w:t>
      </w:r>
      <w:r>
        <w:rPr>
          <w:noProof/>
          <w:color w:val="000000" w:themeColor="text1"/>
        </w:rPr>
        <w:t xml:space="preserve">no or very short consultations in the policy-making process. Ensuring sufficient time for consultations, improving the uptake of stakeholders' opinions on laws and policy documents and minimising the number of laws exempted from consultations would strengthen the involvement of social partners and help to improve the quality of law-making. The Social Dialogue Council constitutes an institutional framework for tripartite social dialogue. However, legal provisions adopted in April 2020 weaken the autonomy of the social partners in the Social Dialogue Council and risk further deteriorating the effectiveness of social dialogue in the country. </w:t>
      </w:r>
    </w:p>
    <w:p>
      <w:pPr>
        <w:pStyle w:val="ManualConsidrant"/>
        <w:rPr>
          <w:i/>
          <w:noProof/>
        </w:rPr>
      </w:pPr>
      <w:r>
        <w:rPr>
          <w:noProof/>
        </w:rPr>
        <w:t>(27)</w:t>
      </w:r>
      <w:r>
        <w:rPr>
          <w:noProof/>
        </w:rPr>
        <w:tab/>
      </w:r>
      <w:r>
        <w:rPr>
          <w:noProof/>
          <w:lang w:val="en-US"/>
        </w:rPr>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rPr>
      </w:pPr>
      <w:r>
        <w:rPr>
          <w:noProof/>
        </w:rPr>
        <w:t>(28)</w:t>
      </w:r>
      <w:r>
        <w:rPr>
          <w:noProof/>
        </w:rPr>
        <w:tab/>
        <w:t>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Poland will contribute to the progress towards the SDGs and to the common effort of ensuring competitive sustainability in the Union.</w:t>
      </w:r>
    </w:p>
    <w:p>
      <w:pPr>
        <w:pStyle w:val="ManualConsidrant"/>
        <w:rPr>
          <w:noProof/>
        </w:rPr>
      </w:pPr>
      <w:r>
        <w:rPr>
          <w:noProof/>
        </w:rPr>
        <w:lastRenderedPageBreak/>
        <w:t>(29)</w:t>
      </w:r>
      <w:r>
        <w:rPr>
          <w:noProof/>
        </w:rPr>
        <w:tab/>
        <w:t xml:space="preserve">In the context of the 2020 European Semester, the Commission has carried out a comprehensive analysis of Poland’s economic policy and published it in the 2020 country report. It has also assessed the 2020 Convergence Programme and the 2020 National Reform Programme and the follow-up given to the recommendations addressed to Poland in previous years. It has taken into account not only their relevance for sustainable fiscal and socioeconomic policy in Poland,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(30)</w:t>
      </w:r>
      <w:r>
        <w:rPr>
          <w:noProof/>
        </w:rPr>
        <w:tab/>
        <w:t>In the light of that assessment, the Council has examined the 2020 Convergence Programme and its opinion</w:t>
      </w:r>
      <w:r>
        <w:rPr>
          <w:rStyle w:val="FootnoteReference"/>
          <w:noProof/>
        </w:rPr>
        <w:footnoteReference w:id="9"/>
      </w:r>
      <w:r>
        <w:rPr>
          <w:noProof/>
        </w:rPr>
        <w:t xml:space="preserve"> is reflected in particular in recommendation (1) below,</w:t>
      </w:r>
      <w:r>
        <w:rPr>
          <w:iCs/>
          <w:noProof/>
        </w:rPr>
        <w:t xml:space="preserve"> </w:t>
      </w:r>
    </w:p>
    <w:p>
      <w:pPr>
        <w:rPr>
          <w:noProof/>
        </w:rPr>
      </w:pPr>
    </w:p>
    <w:p>
      <w:pPr>
        <w:pStyle w:val="Formuledadoption"/>
        <w:rPr>
          <w:noProof/>
        </w:rPr>
      </w:pPr>
      <w:r>
        <w:rPr>
          <w:noProof/>
        </w:rPr>
        <w:t>HEREBY RECOMMENDS that Poland take action in 2020 and 2021 to:</w:t>
      </w:r>
    </w:p>
    <w:p>
      <w:pPr>
        <w:pStyle w:val="ManualNumPar1"/>
        <w:rPr>
          <w:noProof/>
          <w:szCs w:val="24"/>
        </w:rPr>
      </w:pPr>
      <w:r>
        <w:rPr>
          <w:noProof/>
        </w:rPr>
        <w:t>1.</w:t>
      </w:r>
      <w:r>
        <w:rPr>
          <w:noProof/>
        </w:rPr>
        <w:tab/>
      </w:r>
      <w:r>
        <w:rPr>
          <w:noProof/>
          <w:lang w:val="en-IE"/>
        </w:rPr>
        <w:t>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w:t>
      </w:r>
      <w:r>
        <w:rPr>
          <w:i/>
          <w:noProof/>
          <w:szCs w:val="24"/>
        </w:rPr>
        <w:t>.</w:t>
      </w:r>
      <w:r>
        <w:rPr>
          <w:noProof/>
          <w:szCs w:val="24"/>
        </w:rPr>
        <w:t xml:space="preserve"> Improve resilience, accessibility and effectiveness of the health system, including by providing sufficient resources and accelerating the deployment of e-health services. </w:t>
      </w:r>
    </w:p>
    <w:p>
      <w:pPr>
        <w:pStyle w:val="ManualNumPar1"/>
        <w:rPr>
          <w:noProof/>
        </w:rPr>
      </w:pPr>
      <w:r>
        <w:rPr>
          <w:noProof/>
        </w:rPr>
        <w:t>2.</w:t>
      </w:r>
      <w:r>
        <w:rPr>
          <w:noProof/>
        </w:rPr>
        <w:tab/>
        <w:t xml:space="preserve">Mitigate the employment impact of the crisis notably by enhancing flexible and short-time working arrangements. Better target social benefits and ensure access to those in need. Improve digital skills. Further promote the digital transformation of companies and public administration. </w:t>
      </w:r>
    </w:p>
    <w:p>
      <w:pPr>
        <w:pStyle w:val="ManualNumPar1"/>
        <w:rPr>
          <w:noProof/>
        </w:rPr>
      </w:pPr>
      <w:r>
        <w:rPr>
          <w:noProof/>
        </w:rPr>
        <w:t>3.</w:t>
      </w:r>
      <w:r>
        <w:rPr>
          <w:noProof/>
        </w:rPr>
        <w:tab/>
        <w:t xml:space="preserve">Continue efforts to secure access to finance and liquidity for companies. Front-load mature public investment projects and promote private investment to foster the economic recovery. Focus investment on the green and digital transition, in particular on digital infrastructure, clean and efficient production and use of energy, and sustainable transport, contributing to a progressive decarbonisation of the economy, including in the coal regions. </w:t>
      </w:r>
    </w:p>
    <w:p>
      <w:pPr>
        <w:pStyle w:val="ManualNumPar1"/>
        <w:rPr>
          <w:noProof/>
        </w:rPr>
      </w:pPr>
      <w:r>
        <w:rPr>
          <w:noProof/>
        </w:rPr>
        <w:t>4.</w:t>
      </w:r>
      <w:r>
        <w:rPr>
          <w:noProof/>
        </w:rPr>
        <w:tab/>
        <w:t>Enhance the investment climate, in particular by safeguarding judicial independence. Ensure effective public consultations and involvement of social partners in the policy-making process.</w:t>
      </w:r>
    </w:p>
    <w:p>
      <w:pPr>
        <w:pStyle w:val="Text1"/>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SWD(2020) 520  final.</w:t>
      </w:r>
    </w:p>
  </w:footnote>
  <w:footnote w:id="3">
    <w:p>
      <w:pPr>
        <w:pStyle w:val="FootnoteText"/>
        <w:rPr>
          <w:lang w:val="pt-PT"/>
        </w:rPr>
      </w:pPr>
      <w:r>
        <w:rPr>
          <w:rStyle w:val="FootnoteReference"/>
        </w:rPr>
        <w:footnoteRef/>
      </w:r>
      <w:r>
        <w:rPr>
          <w:lang w:val="pt-PT"/>
        </w:rPr>
        <w:tab/>
        <w:t>OJ C 301, 5.9.2019, p. 117.</w:t>
      </w:r>
    </w:p>
  </w:footnote>
  <w:footnote w:id="4">
    <w:p>
      <w:pPr>
        <w:pStyle w:val="FootnoteText"/>
        <w:rPr>
          <w:lang w:val="en-IE"/>
        </w:rPr>
      </w:pPr>
      <w:r>
        <w:rPr>
          <w:rStyle w:val="FootnoteReference"/>
        </w:rPr>
        <w:footnoteRef/>
      </w:r>
      <w:r>
        <w:tab/>
        <w:t>COM(2020) 112 final.</w:t>
      </w:r>
    </w:p>
  </w:footnote>
  <w:footnote w:id="5">
    <w:p>
      <w:pPr>
        <w:pStyle w:val="FootnoteText"/>
        <w:rPr>
          <w:lang w:val="en-IE"/>
        </w:rPr>
      </w:pPr>
      <w:r>
        <w:rPr>
          <w:rStyle w:val="FootnoteReference"/>
        </w:rPr>
        <w:footnoteRef/>
      </w:r>
      <w:r>
        <w:tab/>
        <w:t>COM(2020) 123 final.</w:t>
      </w:r>
    </w:p>
  </w:footnote>
  <w:footnote w:id="6">
    <w:p>
      <w:r>
        <w:rPr>
          <w:rStyle w:val="FootnoteReference"/>
        </w:rPr>
        <w:footnoteRef/>
      </w:r>
      <w:r>
        <w:rPr>
          <w:sz w:val="22"/>
        </w:rPr>
        <w:tab/>
      </w:r>
      <w:r>
        <w:rPr>
          <w:sz w:val="20"/>
          <w:szCs w:val="20"/>
        </w:rPr>
        <w:t>Regulation (EU) 2020/460 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(OJ L 99, 31.3.2020, p. 5) and Regulation (EU) 2020/558 of the European Parliament and of the Council of 23 April 2020 amending Regulations (EU) No 1301/2013 and (EU) No 1303/2013 as regards specific measures to provide exceptional flexibility for the use of the European Structural and Investments Funds in response to the COVID-19 outbreak (OJ L 130, 24.4.2020, p. 1).</w:t>
      </w:r>
    </w:p>
  </w:footnote>
  <w:footnote w:id="7">
    <w:p>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 w:id="8">
    <w:p>
      <w:pPr>
        <w:pStyle w:val="FootnoteText"/>
      </w:pPr>
      <w:r>
        <w:rPr>
          <w:rStyle w:val="FootnoteReference"/>
        </w:rPr>
        <w:footnoteRef/>
      </w:r>
      <w:r>
        <w:tab/>
        <w:t>SWD(2020) 520 final.</w:t>
      </w:r>
    </w:p>
  </w:footnote>
  <w:footnote w:id="9">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3806C4C2"/>
    <w:name w:val="Considérant"/>
    <w:lvl w:ilvl="0">
      <w:start w:val="1"/>
      <w:numFmt w:val="decimal"/>
      <w:lvlRestart w:val="0"/>
      <w:pStyle w:val="Considrant"/>
      <w:lvlText w:val="(%1)"/>
      <w:lvlJc w:val="left"/>
      <w:pPr>
        <w:tabs>
          <w:tab w:val="num" w:pos="709"/>
        </w:tabs>
        <w:ind w:left="709" w:hanging="709"/>
      </w:pPr>
      <w:rPr>
        <w:i w:val="0"/>
      </w:r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15: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3E75C8D9-2BEA-4E9D-B478-0D8D0D20400F"/>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Poland and delivering a Council opinion on the 2020 Convergence Programme of Poland"/>
    <w:docVar w:name="LW_TITRE.OBJ.CP" w:val="on the 2020 National Reform Programme of Poland and delivering a Council opinion on the 2020 Convergence Programme of Poland"/>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276">
      <w:bodyDiv w:val="1"/>
      <w:marLeft w:val="0"/>
      <w:marRight w:val="0"/>
      <w:marTop w:val="0"/>
      <w:marBottom w:val="0"/>
      <w:divBdr>
        <w:top w:val="none" w:sz="0" w:space="0" w:color="auto"/>
        <w:left w:val="none" w:sz="0" w:space="0" w:color="auto"/>
        <w:bottom w:val="none" w:sz="0" w:space="0" w:color="auto"/>
        <w:right w:val="none" w:sz="0" w:space="0" w:color="auto"/>
      </w:divBdr>
    </w:div>
    <w:div w:id="53089958">
      <w:bodyDiv w:val="1"/>
      <w:marLeft w:val="0"/>
      <w:marRight w:val="0"/>
      <w:marTop w:val="0"/>
      <w:marBottom w:val="0"/>
      <w:divBdr>
        <w:top w:val="none" w:sz="0" w:space="0" w:color="auto"/>
        <w:left w:val="none" w:sz="0" w:space="0" w:color="auto"/>
        <w:bottom w:val="none" w:sz="0" w:space="0" w:color="auto"/>
        <w:right w:val="none" w:sz="0" w:space="0" w:color="auto"/>
      </w:divBdr>
    </w:div>
    <w:div w:id="112988133">
      <w:bodyDiv w:val="1"/>
      <w:marLeft w:val="0"/>
      <w:marRight w:val="0"/>
      <w:marTop w:val="0"/>
      <w:marBottom w:val="0"/>
      <w:divBdr>
        <w:top w:val="none" w:sz="0" w:space="0" w:color="auto"/>
        <w:left w:val="none" w:sz="0" w:space="0" w:color="auto"/>
        <w:bottom w:val="none" w:sz="0" w:space="0" w:color="auto"/>
        <w:right w:val="none" w:sz="0" w:space="0" w:color="auto"/>
      </w:divBdr>
    </w:div>
    <w:div w:id="146165641">
      <w:bodyDiv w:val="1"/>
      <w:marLeft w:val="0"/>
      <w:marRight w:val="0"/>
      <w:marTop w:val="0"/>
      <w:marBottom w:val="0"/>
      <w:divBdr>
        <w:top w:val="none" w:sz="0" w:space="0" w:color="auto"/>
        <w:left w:val="none" w:sz="0" w:space="0" w:color="auto"/>
        <w:bottom w:val="none" w:sz="0" w:space="0" w:color="auto"/>
        <w:right w:val="none" w:sz="0" w:space="0" w:color="auto"/>
      </w:divBdr>
    </w:div>
    <w:div w:id="353726392">
      <w:bodyDiv w:val="1"/>
      <w:marLeft w:val="0"/>
      <w:marRight w:val="0"/>
      <w:marTop w:val="0"/>
      <w:marBottom w:val="0"/>
      <w:divBdr>
        <w:top w:val="none" w:sz="0" w:space="0" w:color="auto"/>
        <w:left w:val="none" w:sz="0" w:space="0" w:color="auto"/>
        <w:bottom w:val="none" w:sz="0" w:space="0" w:color="auto"/>
        <w:right w:val="none" w:sz="0" w:space="0" w:color="auto"/>
      </w:divBdr>
    </w:div>
    <w:div w:id="360517661">
      <w:bodyDiv w:val="1"/>
      <w:marLeft w:val="0"/>
      <w:marRight w:val="0"/>
      <w:marTop w:val="0"/>
      <w:marBottom w:val="0"/>
      <w:divBdr>
        <w:top w:val="none" w:sz="0" w:space="0" w:color="auto"/>
        <w:left w:val="none" w:sz="0" w:space="0" w:color="auto"/>
        <w:bottom w:val="none" w:sz="0" w:space="0" w:color="auto"/>
        <w:right w:val="none" w:sz="0" w:space="0" w:color="auto"/>
      </w:divBdr>
    </w:div>
    <w:div w:id="382412827">
      <w:bodyDiv w:val="1"/>
      <w:marLeft w:val="0"/>
      <w:marRight w:val="0"/>
      <w:marTop w:val="0"/>
      <w:marBottom w:val="0"/>
      <w:divBdr>
        <w:top w:val="none" w:sz="0" w:space="0" w:color="auto"/>
        <w:left w:val="none" w:sz="0" w:space="0" w:color="auto"/>
        <w:bottom w:val="none" w:sz="0" w:space="0" w:color="auto"/>
        <w:right w:val="none" w:sz="0" w:space="0" w:color="auto"/>
      </w:divBdr>
    </w:div>
    <w:div w:id="426078739">
      <w:bodyDiv w:val="1"/>
      <w:marLeft w:val="0"/>
      <w:marRight w:val="0"/>
      <w:marTop w:val="0"/>
      <w:marBottom w:val="0"/>
      <w:divBdr>
        <w:top w:val="none" w:sz="0" w:space="0" w:color="auto"/>
        <w:left w:val="none" w:sz="0" w:space="0" w:color="auto"/>
        <w:bottom w:val="none" w:sz="0" w:space="0" w:color="auto"/>
        <w:right w:val="none" w:sz="0" w:space="0" w:color="auto"/>
      </w:divBdr>
    </w:div>
    <w:div w:id="537744653">
      <w:bodyDiv w:val="1"/>
      <w:marLeft w:val="0"/>
      <w:marRight w:val="0"/>
      <w:marTop w:val="0"/>
      <w:marBottom w:val="0"/>
      <w:divBdr>
        <w:top w:val="none" w:sz="0" w:space="0" w:color="auto"/>
        <w:left w:val="none" w:sz="0" w:space="0" w:color="auto"/>
        <w:bottom w:val="none" w:sz="0" w:space="0" w:color="auto"/>
        <w:right w:val="none" w:sz="0" w:space="0" w:color="auto"/>
      </w:divBdr>
    </w:div>
    <w:div w:id="599528434">
      <w:bodyDiv w:val="1"/>
      <w:marLeft w:val="0"/>
      <w:marRight w:val="0"/>
      <w:marTop w:val="0"/>
      <w:marBottom w:val="0"/>
      <w:divBdr>
        <w:top w:val="none" w:sz="0" w:space="0" w:color="auto"/>
        <w:left w:val="none" w:sz="0" w:space="0" w:color="auto"/>
        <w:bottom w:val="none" w:sz="0" w:space="0" w:color="auto"/>
        <w:right w:val="none" w:sz="0" w:space="0" w:color="auto"/>
      </w:divBdr>
    </w:div>
    <w:div w:id="925651714">
      <w:bodyDiv w:val="1"/>
      <w:marLeft w:val="0"/>
      <w:marRight w:val="0"/>
      <w:marTop w:val="0"/>
      <w:marBottom w:val="0"/>
      <w:divBdr>
        <w:top w:val="none" w:sz="0" w:space="0" w:color="auto"/>
        <w:left w:val="none" w:sz="0" w:space="0" w:color="auto"/>
        <w:bottom w:val="none" w:sz="0" w:space="0" w:color="auto"/>
        <w:right w:val="none" w:sz="0" w:space="0" w:color="auto"/>
      </w:divBdr>
    </w:div>
    <w:div w:id="1002004832">
      <w:bodyDiv w:val="1"/>
      <w:marLeft w:val="0"/>
      <w:marRight w:val="0"/>
      <w:marTop w:val="0"/>
      <w:marBottom w:val="0"/>
      <w:divBdr>
        <w:top w:val="none" w:sz="0" w:space="0" w:color="auto"/>
        <w:left w:val="none" w:sz="0" w:space="0" w:color="auto"/>
        <w:bottom w:val="none" w:sz="0" w:space="0" w:color="auto"/>
        <w:right w:val="none" w:sz="0" w:space="0" w:color="auto"/>
      </w:divBdr>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174035175">
      <w:bodyDiv w:val="1"/>
      <w:marLeft w:val="0"/>
      <w:marRight w:val="0"/>
      <w:marTop w:val="0"/>
      <w:marBottom w:val="0"/>
      <w:divBdr>
        <w:top w:val="none" w:sz="0" w:space="0" w:color="auto"/>
        <w:left w:val="none" w:sz="0" w:space="0" w:color="auto"/>
        <w:bottom w:val="none" w:sz="0" w:space="0" w:color="auto"/>
        <w:right w:val="none" w:sz="0" w:space="0" w:color="auto"/>
      </w:divBdr>
    </w:div>
    <w:div w:id="1207912467">
      <w:bodyDiv w:val="1"/>
      <w:marLeft w:val="0"/>
      <w:marRight w:val="0"/>
      <w:marTop w:val="0"/>
      <w:marBottom w:val="0"/>
      <w:divBdr>
        <w:top w:val="none" w:sz="0" w:space="0" w:color="auto"/>
        <w:left w:val="none" w:sz="0" w:space="0" w:color="auto"/>
        <w:bottom w:val="none" w:sz="0" w:space="0" w:color="auto"/>
        <w:right w:val="none" w:sz="0" w:space="0" w:color="auto"/>
      </w:divBdr>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
    <w:div w:id="1312907347">
      <w:bodyDiv w:val="1"/>
      <w:marLeft w:val="0"/>
      <w:marRight w:val="0"/>
      <w:marTop w:val="0"/>
      <w:marBottom w:val="0"/>
      <w:divBdr>
        <w:top w:val="none" w:sz="0" w:space="0" w:color="auto"/>
        <w:left w:val="none" w:sz="0" w:space="0" w:color="auto"/>
        <w:bottom w:val="none" w:sz="0" w:space="0" w:color="auto"/>
        <w:right w:val="none" w:sz="0" w:space="0" w:color="auto"/>
      </w:divBdr>
    </w:div>
    <w:div w:id="1340505642">
      <w:bodyDiv w:val="1"/>
      <w:marLeft w:val="0"/>
      <w:marRight w:val="0"/>
      <w:marTop w:val="0"/>
      <w:marBottom w:val="0"/>
      <w:divBdr>
        <w:top w:val="none" w:sz="0" w:space="0" w:color="auto"/>
        <w:left w:val="none" w:sz="0" w:space="0" w:color="auto"/>
        <w:bottom w:val="none" w:sz="0" w:space="0" w:color="auto"/>
        <w:right w:val="none" w:sz="0" w:space="0" w:color="auto"/>
      </w:divBdr>
    </w:div>
    <w:div w:id="1364869647">
      <w:bodyDiv w:val="1"/>
      <w:marLeft w:val="0"/>
      <w:marRight w:val="0"/>
      <w:marTop w:val="0"/>
      <w:marBottom w:val="0"/>
      <w:divBdr>
        <w:top w:val="none" w:sz="0" w:space="0" w:color="auto"/>
        <w:left w:val="none" w:sz="0" w:space="0" w:color="auto"/>
        <w:bottom w:val="none" w:sz="0" w:space="0" w:color="auto"/>
        <w:right w:val="none" w:sz="0" w:space="0" w:color="auto"/>
      </w:divBdr>
    </w:div>
    <w:div w:id="1421484135">
      <w:bodyDiv w:val="1"/>
      <w:marLeft w:val="0"/>
      <w:marRight w:val="0"/>
      <w:marTop w:val="0"/>
      <w:marBottom w:val="0"/>
      <w:divBdr>
        <w:top w:val="none" w:sz="0" w:space="0" w:color="auto"/>
        <w:left w:val="none" w:sz="0" w:space="0" w:color="auto"/>
        <w:bottom w:val="none" w:sz="0" w:space="0" w:color="auto"/>
        <w:right w:val="none" w:sz="0" w:space="0" w:color="auto"/>
      </w:divBdr>
    </w:div>
    <w:div w:id="2031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13A4-C31A-40B7-B1CE-A245ECA0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3941</Words>
  <Characters>22352</Characters>
  <Application>Microsoft Office Word</Application>
  <DocSecurity>0</DocSecurity>
  <Lines>349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2020-05-19T21:27:00Z</dcterms:created>
  <dcterms:modified xsi:type="dcterms:W3CDTF">2020-05-19T22:46:00Z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