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487C76D-6E58-4B26-8B97-0DF0D523A840" style="width:450.3pt;height:338.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2020 National Reform Programme of Lithuania and delivering a Council opinion on the 2020 Stability Programme of Lithuania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and in particular Article 6(1)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did not identify Lithuania as one of the Member States for which an in-depth review would be carried out. On the same date, the Commission also adopted a recommendation for a Council recommendation on the economic policy of the euro area.</w:t>
      </w:r>
    </w:p>
    <w:p>
      <w:pPr>
        <w:pStyle w:val="ManualConsidrant"/>
        <w:rPr>
          <w:noProof/>
        </w:rPr>
      </w:pPr>
      <w:r>
        <w:rPr>
          <w:noProof/>
        </w:rPr>
        <w:t>(2)</w:t>
      </w:r>
      <w:r>
        <w:rPr>
          <w:noProof/>
        </w:rPr>
        <w:tab/>
        <w:t>The 2020 country report for Lithuania</w:t>
      </w:r>
      <w:r>
        <w:rPr>
          <w:rStyle w:val="FootnoteReference"/>
          <w:noProof/>
        </w:rPr>
        <w:footnoteReference w:id="3"/>
      </w:r>
      <w:r>
        <w:rPr>
          <w:noProof/>
        </w:rPr>
        <w:t xml:space="preserve"> was published on 26 February 2020. It assessed Lithuania’s progress in addressing the country-specific recommendations adopted by the Council on</w:t>
      </w:r>
      <w:r>
        <w:rPr>
          <w:noProof/>
          <w:color w:val="FF0000"/>
        </w:rPr>
        <w:t xml:space="preserve"> </w:t>
      </w:r>
      <w:r>
        <w:rPr>
          <w:noProof/>
        </w:rPr>
        <w:t>9 July 2019</w:t>
      </w:r>
      <w:r>
        <w:rPr>
          <w:rStyle w:val="FootnoteReference"/>
          <w:noProof/>
        </w:rPr>
        <w:footnoteReference w:id="4"/>
      </w:r>
      <w:r>
        <w:rPr>
          <w:noProof/>
        </w:rPr>
        <w:t xml:space="preserve">, the follow-up given to the recommendations adopted in previous years and Lithuania's progress towards its national Europe 2020 targets. </w:t>
      </w:r>
    </w:p>
    <w:p>
      <w:pPr>
        <w:pStyle w:val="ManualConsidrant"/>
        <w:rPr>
          <w:noProof/>
        </w:rPr>
      </w:pPr>
      <w:r>
        <w:rPr>
          <w:noProof/>
        </w:rPr>
        <w:t>(3)</w:t>
      </w:r>
      <w:r>
        <w:rPr>
          <w:noProof/>
        </w:rPr>
        <w:tab/>
        <w:t>On 11 March 2020, the World Health Organization officially declared the COVID-19 outbreak a global pandemic. It is a severe public health emergency for citizens, societies and economies. It is putting national health systems under severe strain, 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5"/>
      </w:r>
      <w:r>
        <w:rPr>
          <w:noProof/>
        </w:rPr>
        <w:t xml:space="preserve"> calling for a coordinated economic response to the crisis, involving all actors at national and Union level.</w:t>
      </w:r>
    </w:p>
    <w:p>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6"/>
      </w:r>
      <w:r>
        <w:rPr>
          <w:noProof/>
        </w:rPr>
        <w: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pStyle w:val="ManualConsidrant"/>
        <w:rPr>
          <w:i/>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Union should work together to prepare the measures necessary to get back to a normal functioning of our societies and economies and to sustainable growth, integrating inter alia the green transition and the digital transformation, and drawing all lessons from the crisis.</w:t>
      </w:r>
    </w:p>
    <w:p>
      <w:pPr>
        <w:pStyle w:val="ManualConsidrant"/>
        <w:rPr>
          <w:noProof/>
        </w:rPr>
      </w:pPr>
      <w:r>
        <w:rPr>
          <w:noProof/>
        </w:rPr>
        <w:t>(7)</w:t>
      </w:r>
      <w:r>
        <w:rPr>
          <w:noProof/>
        </w:rPr>
        <w:tab/>
        <w:t xml:space="preserve">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for crisis preparedness plans in the health sector, which include in particular improved purchasing strategies, diversified supply chains and strategic reserves of essential supplies. They are key elements for developing broader crisis preparedness plans. </w:t>
      </w:r>
    </w:p>
    <w:p>
      <w:pPr>
        <w:pStyle w:val="ManualConsidrant"/>
        <w:rPr>
          <w:noProof/>
        </w:rPr>
      </w:pPr>
      <w:r>
        <w:rPr>
          <w:noProof/>
        </w:rPr>
        <w:t>(8)</w:t>
      </w:r>
      <w:r>
        <w:rPr>
          <w:noProof/>
        </w:rPr>
        <w:tab/>
        <w:t>The Union legislator has already amended the relevant legislative frameworks</w:t>
      </w:r>
      <w:r>
        <w:rPr>
          <w:rStyle w:val="FootnoteReference"/>
          <w:noProof/>
        </w:rPr>
        <w:footnoteReference w:id="7"/>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Lithuania is encouraged to make full use of those possibilities to help the individuals and sectors most affected by the challenges.</w:t>
      </w:r>
    </w:p>
    <w:p>
      <w:pPr>
        <w:pStyle w:val="ManualConsidrant"/>
        <w:rPr>
          <w:noProof/>
        </w:rPr>
      </w:pPr>
      <w:r>
        <w:rPr>
          <w:noProof/>
        </w:rPr>
        <w:t>(9)</w:t>
      </w:r>
      <w:r>
        <w:rPr>
          <w:noProof/>
        </w:rPr>
        <w:tab/>
        <w:t>The socio-economic consequences of the pandemic are likely to be unevenly distributed across Lithuanian sectors and regions due to different specialisation patterns. This entails a risk of widening disparities within Lithuania. Combined with the risk of a temporary unravelling of the convergence process between Member States, the current situation calls for targeted policy responses.</w:t>
      </w:r>
    </w:p>
    <w:p>
      <w:pPr>
        <w:pStyle w:val="ManualConsidrant"/>
        <w:rPr>
          <w:noProof/>
        </w:rPr>
      </w:pPr>
      <w:r>
        <w:rPr>
          <w:noProof/>
        </w:rPr>
        <w:t>(10)</w:t>
      </w:r>
      <w:r>
        <w:rPr>
          <w:noProof/>
        </w:rPr>
        <w:tab/>
        <w:t>On 15 May 2020, Lithuania submitted its 2020 National Reform Programme and, on 30 April 2020, its 2020 Stability Programme. In order to take account of their interlinkages, the two programmes have been assessed at the same time.</w:t>
      </w:r>
    </w:p>
    <w:p>
      <w:pPr>
        <w:pStyle w:val="ManualConsidrant"/>
        <w:rPr>
          <w:noProof/>
        </w:rPr>
      </w:pPr>
      <w:r>
        <w:rPr>
          <w:noProof/>
        </w:rPr>
        <w:t>(11)</w:t>
      </w:r>
      <w:r>
        <w:rPr>
          <w:noProof/>
        </w:rPr>
        <w:tab/>
        <w:t>Lithuania is currently in the preventive arm of the Stability and Growth Pact.</w:t>
      </w:r>
    </w:p>
    <w:p>
      <w:pPr>
        <w:pStyle w:val="ManualConsidrant"/>
        <w:rPr>
          <w:noProof/>
        </w:rPr>
      </w:pPr>
      <w:r>
        <w:rPr>
          <w:noProof/>
        </w:rPr>
        <w:t>(12)</w:t>
      </w:r>
      <w:r>
        <w:rPr>
          <w:noProof/>
        </w:rPr>
        <w:tab/>
        <w:t>In its 2020 Stability Programme, the government plans the headline balance to deteriorate from a surplus of 0,3% of GDP in 2019 to a deficit of 11,4% of GDP in 2020. The deficit is projected to decline to 3,9% of GDP in 2021. After increasing to 36,3% of GDP in 2019, the general government debt-to-GDP ratio is expected to increase to 50,6% in 2020 according to the 2020 Stability Programme. The macroeconomic and fiscal outlook is affected by high uncertainty due to the COVID-19 pandemic.</w:t>
      </w:r>
    </w:p>
    <w:p>
      <w:pPr>
        <w:pStyle w:val="ManualConsidrant"/>
        <w:rPr>
          <w:noProof/>
        </w:rPr>
      </w:pPr>
      <w:r>
        <w:rPr>
          <w:noProof/>
        </w:rPr>
        <w:t>(13)</w:t>
      </w:r>
      <w:r>
        <w:rPr>
          <w:noProof/>
        </w:rPr>
        <w:tab/>
        <w:t>In response to the COVID-19 pandemic, and as part of a coordinated Union approach, Lithuania has adopted budgetary measures to increase the capacity of its health system, contain the pandemic, and provide relief to those individuals and sectors that have been particularly affected. According to the 2020 Stability Programme, those budgetary measures amounted to 6,8% of GDP. The measures include tax deferrals, additional funding to buy medical supplies, subsidies to sustain jobs and social benefits to the self-employed and employees affected by the COVID-19 virus. As the Commission analysis of the design and implementation of some measures point to a relatively low potential take-up, the Commission assumed a smaller impact of the government measures on the public finances. In addition, Lithuania has announced discretionary measures that, while not having a direct budgetary impact, will contribute to the crisis response, including supporting liquidity to businesses, which the 2020 Stability Programme estimates at 3,8% of GDP. Those measures include loan guarantees (2,9% of GDP). Overall, the measures taken by Lithuania are in line with the guidelines set out in the Commission Communication on a coordinated economic response to the COVID-19 outbreak. The full implementation of those measures, followed by a refocusing of fiscal policies towards achieving prudent medium-term fiscal positions when economic conditions allow, will contribute to preserving fiscal sustainability in the medium term.</w:t>
      </w:r>
    </w:p>
    <w:p>
      <w:pPr>
        <w:pStyle w:val="ManualConsidrant"/>
        <w:rPr>
          <w:noProof/>
        </w:rPr>
      </w:pPr>
      <w:r>
        <w:rPr>
          <w:noProof/>
        </w:rPr>
        <w:t>(14)</w:t>
      </w:r>
      <w:r>
        <w:rPr>
          <w:noProof/>
        </w:rPr>
        <w:tab/>
        <w:t>Based on the Commission 2020 spring forecast under unchanged policies, Lithuania’s general government balance is forecast at -6,9% of GDP in 2020 and -2,7% in 2021. The general government debt ratio is projected to remain below 60 % of GDP in 2020 and 2021.</w:t>
      </w:r>
    </w:p>
    <w:p>
      <w:pPr>
        <w:pStyle w:val="ManualConsidrant"/>
        <w:rPr>
          <w:noProof/>
        </w:rPr>
      </w:pPr>
      <w:r>
        <w:rPr>
          <w:noProof/>
        </w:rPr>
        <w:t>(15)</w:t>
      </w:r>
      <w:r>
        <w:rPr>
          <w:noProof/>
        </w:rPr>
        <w:tab/>
        <w:t xml:space="preserve">On 20 May 2020, the Commission issued a report prepared in accordance with Article 126(3) of the Treaty due to Lithuania’s planned breach of the 3% of GDP deficit threshold in 2020. Overall, the analysis suggests that the deficit criterion as defined in the Treaty and in Regulation (EC) No 1467/1997 is not fulfilled.    </w:t>
      </w:r>
    </w:p>
    <w:p>
      <w:pPr>
        <w:pStyle w:val="ManualConsidrant"/>
        <w:rPr>
          <w:noProof/>
        </w:rPr>
      </w:pPr>
      <w:r>
        <w:rPr>
          <w:noProof/>
        </w:rPr>
        <w:t>(16)</w:t>
      </w:r>
      <w:r>
        <w:rPr>
          <w:noProof/>
        </w:rPr>
        <w:tab/>
        <w:t>According to the Commission Spring 2020 forecast, Lithuania’s GDP is set to contract by 8% which is projected to be followed by a rapid recovery of 7,5% in 2021. In order to respond to the COVID-19 outbreak and to cushion the economic fallout, Lithuania put forward the ‘Plan for Economic Stimulus and Mitigation of Consequences of COVID-19 Transmission’ on 16 March. The plan’s size amounts to EUR 2.5 billion or 6.3% of the country’s gross domestic product (GDP), and includes up to EUR 500 million or 1.3% of GDP to ensure necessary resources for the health system. A further EUR 500 million was allocated to protect jobs and income. The capacity of the state guarantee funds was increased by EUR 500 million, and additional state guarantees amounting up to EUR 500 million were approved to stimulate the economy. In April, the European Commission approved several Lithuanian aid schemes to support the Lithuanian economy in the context of the COVID-19 outbreak. These schemes are designed to help businesses cover immediate working capital needs and continue their activities during and after the pandemic. Additionally, the Bank of Lithuania relaxed some capital requirements for commercial banks to increase lending to the real economy.</w:t>
      </w:r>
    </w:p>
    <w:p>
      <w:pPr>
        <w:pStyle w:val="ManualConsidrant"/>
        <w:rPr>
          <w:noProof/>
        </w:rPr>
      </w:pPr>
      <w:r>
        <w:rPr>
          <w:noProof/>
        </w:rPr>
        <w:t>(17)</w:t>
      </w:r>
      <w:r>
        <w:rPr>
          <w:noProof/>
        </w:rPr>
        <w:tab/>
        <w:t xml:space="preserve">Health outcomes in Lithuania persistently lag behind those in other Member States, due in part to suboptimal efficiency of the health system, which suffers from low funding. The current pandemic has subjected the system to additional pressure and highlighted further structural challenges which include slow progress in improving quality of services, underinvestment in primary healthcare and no progress in adapting the hospital network to render it more efficient and responsive to needs.  The COVID-19 crisis is also exposing health inequalities related to workforce shortages and geographical mismatches between services and needs. Lithuania needs to mobilise the resources needed to tackle the current crisis and to improve the resilience of its health systems in future. While immediate action is focusing on strengthening capacities in terms of health workers, critical medical supplies and equipment in order to save lives during the pandemic, longer term investments should  be scaled up to improve the resilience of the health system so that it can sustain operations, resume its optimal performance and prepare itself for new shocks. This will require allocating sufficient resources to improve  the accessibility, efficiency, and quality of the health system, so it can better respond to the challenges of growing chronical conditions, aging and persisting heath inequalities. Primary care and the development of e-health have a central role to play in this regard. Lithuania should also ensure that recent improvements to the affordability of healthcare are not undermined. Finally, future resilience will also require enhancing the system’s ability to reduce unhealthy lifestyles (one of the other important factors behind poor health outcomes in Lithuania) and greater efforts to prepare the long-term care sector to deal with the ageing population. </w:t>
      </w:r>
    </w:p>
    <w:p>
      <w:pPr>
        <w:pStyle w:val="ManualConsidrant"/>
        <w:rPr>
          <w:noProof/>
        </w:rPr>
      </w:pPr>
      <w:r>
        <w:rPr>
          <w:noProof/>
        </w:rPr>
        <w:t>(18)</w:t>
      </w:r>
      <w:r>
        <w:rPr>
          <w:noProof/>
        </w:rPr>
        <w:tab/>
        <w:t>Before the COVID-19 pandemic, labour market participation was high and unemployment was low, but this crisis has posed new challenges.With the help of Union funding, Lithuania has implemented a short-time work scheme to mitigate the effects of the pandemic on employment and introduced a number of other measures to mitigate the negative effects on businesses and the self-employed. Before the crisis, the coverage of Active Labour Market Policy measures was decreasing, and participation in adult learning remained low. However, higher coverage of Active Labour Market Policy measures and other measures to reskill and upskill the workforce will be needed to help the unemployed to return to the labour market as early as possible. Strengthening social partners' capacity is important to ensure their meaningful and timely involvement in the design of the exit and recovery process.</w:t>
      </w:r>
    </w:p>
    <w:p>
      <w:pPr>
        <w:pStyle w:val="ManualConsidrant"/>
        <w:rPr>
          <w:noProof/>
        </w:rPr>
      </w:pPr>
      <w:r>
        <w:rPr>
          <w:noProof/>
        </w:rPr>
        <w:t>(19)</w:t>
      </w:r>
      <w:r>
        <w:rPr>
          <w:noProof/>
        </w:rPr>
        <w:tab/>
        <w:t>Whilst steps were taken before the crisis to address the risk of poverty and social exclusion, for example by increasing universal child benefits and pensions, poverty and income inequality are still among the highest in the EU. Lithuania has comparatively low public expenditure on social protection, and the impact of social transfers on poverty reduction is low, and assessed as critical on the Social Scoreboard. The low progressivity and ability to redistribute of the tax and benefit system limits the country’s ability to finance public goods and services, and to reduce poverty and income inequality.  The negative effect of the COVID-19 pandemic on employment and household income is likely to aggravate these problems. Temporary measures such as revising the eligibility rules, the amounts and duration of some benefits, may be  needed to ensure that the situation of those most affected by the pandemic does not deteriorate. The social safety net  should be extended to support  all groups, including the self-employed, atypical workers and the most vulnerable people. The provision of the main social services and social housing needs to be strengthened to support those in need.</w:t>
      </w:r>
    </w:p>
    <w:p>
      <w:pPr>
        <w:pStyle w:val="ManualConsidrant"/>
        <w:rPr>
          <w:i/>
          <w:noProof/>
        </w:rPr>
      </w:pPr>
      <w:r>
        <w:rPr>
          <w:noProof/>
        </w:rPr>
        <w:t>(20)</w:t>
      </w:r>
      <w:r>
        <w:rPr>
          <w:noProof/>
        </w:rPr>
        <w:tab/>
        <w:t>Liquidity support to businesses through public sector loans and guarantees, with a focus on small- and medium-sized enterprises (SMEs), has been of utmost importance, but the distribution of liquidity support to firms must be effectively and swiftly implemented by intermediaries and loan conditions must take account of to the crisis situation. In the process of designing and implementing these measures the resilience of the banking sector needs to be taken into account. Allowing deferred payments of taxes and social contributions and speeding up contractual payments by public authorities can also help improve the cash-flow of SMEs. Newly-founded start-ups and scale-ups may need specific support, e.g. in the form equity stakes by public institutions and incentives for venture capital funds to increase their investments in these firms. Efforts should be maintained to reduce unnecessary regulatory and administrative burdens and to offer efficient digital public services for citizens and businesses.</w:t>
      </w:r>
    </w:p>
    <w:p>
      <w:pPr>
        <w:pStyle w:val="ManualConsidrant"/>
        <w:rPr>
          <w:noProof/>
        </w:rPr>
      </w:pPr>
      <w:r>
        <w:rPr>
          <w:noProof/>
        </w:rPr>
        <w:t>(21)</w:t>
      </w:r>
      <w:r>
        <w:rPr>
          <w:noProof/>
        </w:rPr>
        <w:tab/>
        <w:t xml:space="preserve">Lithuania should ensure that its measures to promote economic recovery are forward-looking and facilitate the digital and green transitions, where there are a number of challenges to be tackled. For the former, digital skills are below the EU average, with SMEs reporting considerable difficulties in recruiting for ICT vacancies. While fibre deployment is above EU average, both for urban and rural areas, fixed broadband coverage and related take-up is very low and wide gaps remain between the cities and rural areas. </w:t>
      </w:r>
    </w:p>
    <w:p>
      <w:pPr>
        <w:pStyle w:val="ManualConsidrant"/>
        <w:rPr>
          <w:rFonts w:ascii="Calibri" w:hAnsi="Calibri" w:cs="Calibri"/>
          <w:noProof/>
        </w:rPr>
      </w:pPr>
      <w:r>
        <w:rPr>
          <w:noProof/>
        </w:rPr>
        <w:t>(22)</w:t>
      </w:r>
      <w:r>
        <w:rPr>
          <w:noProof/>
        </w:rPr>
        <w:tab/>
        <w:t xml:space="preserve">To foster the economic recovery, it will be important to </w:t>
      </w:r>
      <w:r>
        <w:rPr>
          <w:noProof/>
          <w:color w:val="000000"/>
        </w:rPr>
        <w:t>front-load mature public investment projects and promote private investment, including through relevant reforms.</w:t>
      </w:r>
      <w:r>
        <w:rPr>
          <w:rFonts w:ascii="Calibri" w:hAnsi="Calibri" w:cs="Calibri"/>
          <w:noProof/>
        </w:rPr>
        <w:t xml:space="preserve"> </w:t>
      </w:r>
      <w:r>
        <w:rPr>
          <w:noProof/>
        </w:rPr>
        <w:t xml:space="preserve">As regards the green transition, total greenhouse gas emissions in Lithuania remain largely unchanged since 2010. Lithuania’s resource productivity is one of the lowest in the EU and circular (secondary) material use is well below the EU average. In line with Lithuania’s National Energy and Climate Plan, improving the energy performance of buildings thanks to energy efficiency and renewable energy solutions, modernising heating systems and improving the sustainability of the transport sector, would significantly contribute to decarbonising the economy. Targeted public and private investments aimed at tackling these issues, and others with a significant environmental and health impact, can promote growth and resilience, and help ensure a sustainable recovery from the crisis. Investments which have already been planned allow for the swift identification of projects which could be front-loaded and contribute to economic recovery, for  example in building renovation and renewable energy. Preparatory work for medium-term recovery measures can draw on Member States’ National Energy and Climate Plans, list of Projects of Common Interest, and infrastructure development plans. </w:t>
      </w:r>
      <w:r>
        <w:rPr>
          <w:rFonts w:cstheme="minorHAnsi"/>
          <w:noProof/>
          <w:szCs w:val="20"/>
        </w:rPr>
        <w:t>Furthermore, the Rail Baltica project and the energy interconnection projects are Lithuania’s key investment priorities aimed at improving its safety and integration into the EU single market.</w:t>
      </w:r>
      <w:r>
        <w:rPr>
          <w:rFonts w:cstheme="minorHAnsi"/>
          <w:b/>
          <w:noProof/>
          <w:szCs w:val="20"/>
        </w:rPr>
        <w:t xml:space="preserve"> </w:t>
      </w:r>
      <w:r>
        <w:rPr>
          <w:noProof/>
        </w:rPr>
        <w:t>The programming of the Just Transition Fund for the period 2021-2027 could help Lithuania to address some of the challenges posed by the transition to a climate neutral economy, in particular in the territories covered by Annex D to the country report. This would allow Lithuania to make the best use of that fund.</w:t>
      </w:r>
    </w:p>
    <w:p>
      <w:pPr>
        <w:pStyle w:val="ManualConsidrant"/>
        <w:rPr>
          <w:noProof/>
        </w:rPr>
      </w:pPr>
      <w:r>
        <w:rPr>
          <w:noProof/>
        </w:rPr>
        <w:t>(23)</w:t>
      </w:r>
      <w:r>
        <w:rPr>
          <w:noProof/>
        </w:rPr>
        <w:tab/>
        <w:t>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w:t>
      </w:r>
    </w:p>
    <w:p>
      <w:pPr>
        <w:pStyle w:val="ManualConsidrant"/>
        <w:rPr>
          <w:noProof/>
        </w:rPr>
      </w:pPr>
      <w:r>
        <w:rPr>
          <w:noProof/>
        </w:rPr>
        <w:t>(24)</w:t>
      </w:r>
      <w:r>
        <w:rPr>
          <w:noProof/>
        </w:rPr>
        <w:tab/>
        <w:t xml:space="preserve">The European Semester provides the framework for continuous economic and employment policy coordination in the Union, which can contribute to a sustainable economy. Member States have taken stock of progress regarding United Nations’ Sustainable Development Goals (SDGs) implementation in their 2020 National Reform Programmes. By ensuring the full implementation of the recommendations below, Lithuania will contribute to the progress towards the SDGs and to the common effort of ensuring competitive sustainability in the Union. </w:t>
      </w:r>
    </w:p>
    <w:p>
      <w:pPr>
        <w:pStyle w:val="ManualConsidrant"/>
        <w:rPr>
          <w:noProof/>
        </w:rPr>
      </w:pPr>
      <w:r>
        <w:rPr>
          <w:noProof/>
        </w:rPr>
        <w:t>(25)</w:t>
      </w:r>
      <w:r>
        <w:rPr>
          <w:noProof/>
        </w:rPr>
        <w:tab/>
        <w:t xml:space="preserve">Close coordination between economies in the economic and monetary union is key to achieve a swift recovery from the economic impact of the COVID-19. Lithuania should, as a Member State whose currency is the euro – and taking into account political guidance by the Eurogroup – ensure its policies remain consistent with the euro area recommendations and coordinated with those of the other euro area Member States. </w:t>
      </w:r>
    </w:p>
    <w:p>
      <w:pPr>
        <w:pStyle w:val="ManualConsidrant"/>
        <w:rPr>
          <w:noProof/>
        </w:rPr>
      </w:pPr>
      <w:r>
        <w:rPr>
          <w:noProof/>
        </w:rPr>
        <w:t>(26)</w:t>
      </w:r>
      <w:r>
        <w:rPr>
          <w:noProof/>
        </w:rPr>
        <w:tab/>
        <w:t xml:space="preserve">In the context of the 2020 European Semester, the Commission has carried out a comprehensive analysis of Lithuania’s economic policy and published it in the 2020 country report. It has also assessed the 2020 Stability Programme and the 2020 National Reform Programme and the follow-up given to the recommendations addressed to Lithuania in previous years. It has taken into account not only their relevance for sustainable fiscal and socioeconomic policy in Lithuania, but also their compliance with Union rules and guidance, given the need to strengthen the Union’s overall economic governance by providing Union-level input into future national decisions. </w:t>
      </w:r>
    </w:p>
    <w:p>
      <w:pPr>
        <w:pStyle w:val="ManualConsidrant"/>
        <w:rPr>
          <w:noProof/>
        </w:rPr>
      </w:pPr>
      <w:r>
        <w:rPr>
          <w:noProof/>
        </w:rPr>
        <w:t>(27)</w:t>
      </w:r>
      <w:r>
        <w:rPr>
          <w:noProof/>
        </w:rPr>
        <w:tab/>
        <w:t>In the light of that assessment, the Council has examined the 2020 Stability Programme and its opinion</w:t>
      </w:r>
      <w:r>
        <w:rPr>
          <w:rStyle w:val="FootnoteReference"/>
          <w:noProof/>
        </w:rPr>
        <w:footnoteReference w:id="8"/>
      </w:r>
      <w:r>
        <w:rPr>
          <w:noProof/>
        </w:rPr>
        <w:t xml:space="preserve"> is reflected in particular in recommendation (1) below</w:t>
      </w:r>
      <w:r>
        <w:rPr>
          <w:i/>
          <w:iCs/>
          <w:noProof/>
        </w:rPr>
        <w:t>,</w:t>
      </w:r>
    </w:p>
    <w:p>
      <w:pPr>
        <w:pStyle w:val="Formuledadoption"/>
        <w:rPr>
          <w:noProof/>
        </w:rPr>
      </w:pPr>
      <w:r>
        <w:rPr>
          <w:noProof/>
        </w:rPr>
        <w:t>HEREBY RECOMMENDS that Lithuania takes action in 2020 and 2021 to:</w:t>
      </w:r>
    </w:p>
    <w:p>
      <w:pPr>
        <w:pStyle w:val="ManualNumPar1"/>
        <w:rPr>
          <w:noProof/>
          <w:szCs w:val="24"/>
        </w:rPr>
      </w:pPr>
      <w:bookmarkStart w:id="1" w:name="_CopyToNewDocument_"/>
      <w:bookmarkEnd w:id="1"/>
      <w:r>
        <w:rPr>
          <w:noProof/>
        </w:rPr>
        <w:t>1.</w:t>
      </w:r>
      <w:r>
        <w:rPr>
          <w:noProof/>
        </w:rPr>
        <w:tab/>
      </w:r>
      <w:r>
        <w:rPr>
          <w:noProof/>
          <w:lang w:val="en-IE"/>
        </w:rPr>
        <w:t>In line with the general escape clause, take all necessary measures to effectively address the pandemic, sustain the economy and support the ensuing recovery. When economic conditions allow, pursue fiscal policies aimed at achieving prudent medium-term fiscal positions and ensuring debt sustainability, while enhancing investment.</w:t>
      </w:r>
      <w:r>
        <w:rPr>
          <w:noProof/>
          <w:sz w:val="22"/>
        </w:rPr>
        <w:t xml:space="preserve"> </w:t>
      </w:r>
      <w:r>
        <w:rPr>
          <w:noProof/>
        </w:rPr>
        <w:t>Strengthen the resilience of the health system, including by mobilising adequate funding and addressing shortages in the health workforce and of critical medical products. Improve the accessibility and quality of health services.</w:t>
      </w:r>
    </w:p>
    <w:p>
      <w:pPr>
        <w:pStyle w:val="ManualNumPar1"/>
        <w:rPr>
          <w:noProof/>
        </w:rPr>
      </w:pPr>
      <w:r>
        <w:rPr>
          <w:noProof/>
        </w:rPr>
        <w:t>2.</w:t>
      </w:r>
      <w:r>
        <w:rPr>
          <w:noProof/>
        </w:rPr>
        <w:tab/>
        <w:t>Mitigate the impact of the crisis on employment. Increase the funding and coverage of active labour market policy measures and promote skills. Ensure the coverage and adequacy of the social safety net and improve the effectiveness of the tax and benefit system to protect against poverty.</w:t>
      </w:r>
    </w:p>
    <w:p>
      <w:pPr>
        <w:pStyle w:val="ManualNumPar1"/>
        <w:rPr>
          <w:noProof/>
        </w:rPr>
      </w:pPr>
      <w:r>
        <w:rPr>
          <w:noProof/>
        </w:rPr>
        <w:t>3.</w:t>
      </w:r>
      <w:r>
        <w:rPr>
          <w:noProof/>
        </w:rPr>
        <w:tab/>
        <w:t xml:space="preserve">Support liquidity for businesses, especially for small- and medium-sized enterprises and export-oriented sectors. Front-load mature public investment projects and promote private investment to foster the economic recovery. Focus investment on the green and digital transition, in particular on </w:t>
      </w:r>
      <w:r>
        <w:rPr>
          <w:noProof/>
          <w:szCs w:val="24"/>
        </w:rPr>
        <w:t xml:space="preserve">the coverage and take-up of very high-capacity broadband, on </w:t>
      </w:r>
      <w:r>
        <w:rPr>
          <w:noProof/>
        </w:rPr>
        <w:t>clean and efficient production and use of energy, and sustainable transport.</w:t>
      </w:r>
      <w:r>
        <w:rPr>
          <w:noProof/>
          <w:szCs w:val="24"/>
        </w:rPr>
        <w:t xml:space="preserve"> </w:t>
      </w:r>
      <w:r>
        <w:rPr>
          <w:noProof/>
        </w:rPr>
        <w:t>Promote technological innovation in small and medium-sized enterprises.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rPr>
          <w:lang w:val="en-US"/>
        </w:rPr>
      </w:pPr>
      <w:r>
        <w:rPr>
          <w:rStyle w:val="FootnoteReference"/>
        </w:rPr>
        <w:footnoteRef/>
      </w:r>
      <w:r>
        <w:rPr>
          <w:lang w:val="en-US"/>
        </w:rPr>
        <w:tab/>
        <w:t>OJ L 306, 23.11.2011, p. 25.</w:t>
      </w:r>
    </w:p>
  </w:footnote>
  <w:footnote w:id="3">
    <w:p>
      <w:pPr>
        <w:pStyle w:val="FootnoteText"/>
      </w:pPr>
      <w:r>
        <w:rPr>
          <w:rStyle w:val="FootnoteReference"/>
        </w:rPr>
        <w:footnoteRef/>
      </w:r>
      <w:r>
        <w:rPr>
          <w:lang w:val="en-US"/>
        </w:rPr>
        <w:tab/>
      </w:r>
      <w:r>
        <w:t>SWD(2020) 514 final.</w:t>
      </w:r>
    </w:p>
  </w:footnote>
  <w:footnote w:id="4">
    <w:p>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5">
    <w:p>
      <w:pPr>
        <w:pStyle w:val="FootnoteText"/>
        <w:rPr>
          <w:lang w:val="en-IE"/>
        </w:rPr>
      </w:pPr>
      <w:r>
        <w:rPr>
          <w:rStyle w:val="FootnoteReference"/>
        </w:rPr>
        <w:footnoteRef/>
      </w:r>
      <w:r>
        <w:tab/>
        <w:t>COM(2020) 112 final.</w:t>
      </w:r>
    </w:p>
  </w:footnote>
  <w:footnote w:id="6">
    <w:p>
      <w:pPr>
        <w:pStyle w:val="FootnoteText"/>
        <w:rPr>
          <w:lang w:val="en-IE"/>
        </w:rPr>
      </w:pPr>
      <w:r>
        <w:rPr>
          <w:rStyle w:val="FootnoteReference"/>
        </w:rPr>
        <w:footnoteRef/>
      </w:r>
      <w:r>
        <w:tab/>
        <w:t>COM(2020) 123 final.</w:t>
      </w:r>
    </w:p>
  </w:footnote>
  <w:footnote w:id="7">
    <w:p>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24.4.2020, p. 1).</w:t>
      </w:r>
    </w:p>
  </w:footnote>
  <w:footnote w:id="8">
    <w:p>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rson w15:author="VECCHIO Veronica (SG)">
    <w15:presenceInfo w15:providerId="None" w15:userId="VECCHIO Veronic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0:36: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C487C76D-6E58-4B26-8B97-0DF0D523A840"/>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Lithuania and delivering a Council opinion on the 2020 Stability Programme of Lithuania"/>
    <w:docVar w:name="LW_TITRE.OBJ.CP" w:val="on the 2020 National Reform Programme of Lithuania and delivering a Council opinion on the 2020 Stability Programme of Lithuania"/>
    <w:docVar w:name="LW_TYPE.DOC" w:val="COUNCIL RECOMMENDAT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0687">
      <w:bodyDiv w:val="1"/>
      <w:marLeft w:val="0"/>
      <w:marRight w:val="0"/>
      <w:marTop w:val="0"/>
      <w:marBottom w:val="0"/>
      <w:divBdr>
        <w:top w:val="none" w:sz="0" w:space="0" w:color="auto"/>
        <w:left w:val="none" w:sz="0" w:space="0" w:color="auto"/>
        <w:bottom w:val="none" w:sz="0" w:space="0" w:color="auto"/>
        <w:right w:val="none" w:sz="0" w:space="0" w:color="auto"/>
      </w:divBdr>
    </w:div>
    <w:div w:id="142813032">
      <w:bodyDiv w:val="1"/>
      <w:marLeft w:val="0"/>
      <w:marRight w:val="0"/>
      <w:marTop w:val="0"/>
      <w:marBottom w:val="0"/>
      <w:divBdr>
        <w:top w:val="none" w:sz="0" w:space="0" w:color="auto"/>
        <w:left w:val="none" w:sz="0" w:space="0" w:color="auto"/>
        <w:bottom w:val="none" w:sz="0" w:space="0" w:color="auto"/>
        <w:right w:val="none" w:sz="0" w:space="0" w:color="auto"/>
      </w:divBdr>
    </w:div>
    <w:div w:id="413626606">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18929384">
      <w:bodyDiv w:val="1"/>
      <w:marLeft w:val="0"/>
      <w:marRight w:val="0"/>
      <w:marTop w:val="0"/>
      <w:marBottom w:val="0"/>
      <w:divBdr>
        <w:top w:val="none" w:sz="0" w:space="0" w:color="auto"/>
        <w:left w:val="none" w:sz="0" w:space="0" w:color="auto"/>
        <w:bottom w:val="none" w:sz="0" w:space="0" w:color="auto"/>
        <w:right w:val="none" w:sz="0" w:space="0" w:color="auto"/>
      </w:divBdr>
    </w:div>
    <w:div w:id="535502985">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1043212062">
      <w:bodyDiv w:val="1"/>
      <w:marLeft w:val="0"/>
      <w:marRight w:val="0"/>
      <w:marTop w:val="0"/>
      <w:marBottom w:val="0"/>
      <w:divBdr>
        <w:top w:val="none" w:sz="0" w:space="0" w:color="auto"/>
        <w:left w:val="none" w:sz="0" w:space="0" w:color="auto"/>
        <w:bottom w:val="none" w:sz="0" w:space="0" w:color="auto"/>
        <w:right w:val="none" w:sz="0" w:space="0" w:color="auto"/>
      </w:divBdr>
    </w:div>
    <w:div w:id="1043796636">
      <w:bodyDiv w:val="1"/>
      <w:marLeft w:val="0"/>
      <w:marRight w:val="0"/>
      <w:marTop w:val="0"/>
      <w:marBottom w:val="0"/>
      <w:divBdr>
        <w:top w:val="none" w:sz="0" w:space="0" w:color="auto"/>
        <w:left w:val="none" w:sz="0" w:space="0" w:color="auto"/>
        <w:bottom w:val="none" w:sz="0" w:space="0" w:color="auto"/>
        <w:right w:val="none" w:sz="0" w:space="0" w:color="auto"/>
      </w:divBdr>
    </w:div>
    <w:div w:id="1604074487">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42151451">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1432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32D20C-2A65-4090-8552-C906A30F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3448</Words>
  <Characters>19315</Characters>
  <Application>Microsoft Office Word</Application>
  <DocSecurity>0</DocSecurity>
  <Lines>306</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2020-04-06T12:24:00Z</cp:lastPrinted>
  <dcterms:created xsi:type="dcterms:W3CDTF">2020-05-19T22:20:00Z</dcterms:created>
  <dcterms:modified xsi:type="dcterms:W3CDTF">2020-05-19T22:44:00Z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