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7583479-E173-4BCA-95E3-DD64917E8BED" style="width:450.8pt;height:338.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Luxembourg and delivering a Council opinion on the 2020 Stability Programme of Luxembourg</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did not identify Luxembourg as one of the Member States for which an in-depth review would be carried out. On the same date, the Commission also adopted a recommendation for a Council recommendation on the economic policy of the euro area.</w:t>
      </w:r>
    </w:p>
    <w:p>
      <w:pPr>
        <w:pStyle w:val="ManualConsidrant"/>
        <w:rPr>
          <w:noProof/>
        </w:rPr>
      </w:pPr>
      <w:r>
        <w:rPr>
          <w:noProof/>
        </w:rPr>
        <w:t>(2)</w:t>
      </w:r>
      <w:r>
        <w:rPr>
          <w:noProof/>
        </w:rPr>
        <w:tab/>
        <w:t>The 2020 country report for Luxembourg</w:t>
      </w:r>
      <w:r>
        <w:rPr>
          <w:rStyle w:val="FootnoteReference"/>
          <w:noProof/>
        </w:rPr>
        <w:footnoteReference w:id="2"/>
      </w:r>
      <w:r>
        <w:rPr>
          <w:noProof/>
        </w:rPr>
        <w:t xml:space="preserve"> was published on 26 February 2020. It assessed Luxembourg’s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the follow-up given to the recommendations adopted in previous years and Luxembourg’s progress towards its national Europe 2020 targets.</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and digital transformation, and drawing all lessons from the crisis.</w:t>
      </w:r>
    </w:p>
    <w:p>
      <w:pPr>
        <w:pStyle w:val="ManualConsidrant"/>
        <w:rPr>
          <w:noProof/>
        </w:rPr>
      </w:pPr>
      <w:r>
        <w:rPr>
          <w:noProof/>
        </w:rPr>
        <w:t>(7)</w:t>
      </w:r>
      <w:r>
        <w:rPr>
          <w:noProof/>
        </w:rPr>
        <w:tab/>
        <w:t xml:space="preserve">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 </w:t>
      </w:r>
      <w:r>
        <w:rPr>
          <w:noProof/>
          <w:color w:val="000000"/>
        </w:rPr>
        <w:t>which include in particular improved purchasing strategies, diversified supply chains and strategic reserves of essential supplies.</w:t>
      </w:r>
      <w:r>
        <w:rPr>
          <w:noProof/>
        </w:rPr>
        <w:t xml:space="preserve">. They are key elements for developing broader crisis preparedness plans. </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Luxembourg is encouraged to make full use of those possibilities to help the individuals and sectors most affected by the challenges.</w:t>
      </w:r>
    </w:p>
    <w:p>
      <w:pPr>
        <w:pStyle w:val="ManualConsidrant"/>
        <w:rPr>
          <w:noProof/>
        </w:rPr>
      </w:pPr>
      <w:r>
        <w:rPr>
          <w:noProof/>
        </w:rPr>
        <w:t>(9)</w:t>
      </w:r>
      <w:r>
        <w:rPr>
          <w:noProof/>
        </w:rPr>
        <w:tab/>
        <w:t>On 30 April 2020, Luxembourg submitted its 2020 National Reform Programme and, on 29 April 2020, its 2020 Stability Programme. In order to take account of their interlinkages, the two programmes have been assessed at the same time.</w:t>
      </w:r>
    </w:p>
    <w:p>
      <w:pPr>
        <w:pStyle w:val="ManualConsidrant"/>
        <w:rPr>
          <w:noProof/>
        </w:rPr>
      </w:pPr>
      <w:r>
        <w:rPr>
          <w:noProof/>
        </w:rPr>
        <w:t>(10)</w:t>
      </w:r>
      <w:r>
        <w:rPr>
          <w:noProof/>
        </w:rPr>
        <w:tab/>
        <w:t xml:space="preserve">Luxembourg is currently in the preventive arm of the Stability and Growth Pact. </w:t>
      </w:r>
    </w:p>
    <w:p>
      <w:pPr>
        <w:pStyle w:val="ManualConsidrant"/>
        <w:rPr>
          <w:noProof/>
        </w:rPr>
      </w:pPr>
      <w:r>
        <w:rPr>
          <w:noProof/>
        </w:rPr>
        <w:t>(11)</w:t>
      </w:r>
      <w:r>
        <w:rPr>
          <w:noProof/>
        </w:rPr>
        <w:tab/>
        <w:t>In its 2020 Stability Programme, the government plans the headline balance to deteriorate from a surplus of 2,2% of GDP in 2019 to a deficit of 8,5 % of GDP in 2020. The deficit is projected to decline to 3,0% of GDP in 2021. After having increased to 22,1% of GDP in 2019, the general government debt-to-GDP ratio is expected to increase to 28,7% in 2020 according to the 2020 Stability Programme. The macroeconomic and fiscal outlook are affected by high uncertainty related to the COVID-19 pandemic.</w:t>
      </w:r>
    </w:p>
    <w:p>
      <w:pPr>
        <w:pStyle w:val="ManualConsidrant"/>
        <w:rPr>
          <w:noProof/>
        </w:rPr>
      </w:pPr>
      <w:r>
        <w:rPr>
          <w:noProof/>
        </w:rPr>
        <w:t>(12)</w:t>
      </w:r>
      <w:r>
        <w:rPr>
          <w:noProof/>
        </w:rPr>
        <w:tab/>
        <w:t xml:space="preserve">In response to the COVID-19 pandemic, and as part of a coordinated Union approach, Luxembourg has adopted budgetary measures to increase the capacity of its health system, contain the pandemic, and provide relief to those individuals and sectors that have been particularly affected. According to the 2020 Stability Programme, those budgetary measures amounted to 5,5% of GDP. The measures include: strengthening health care services, support for distressed firms, refundable loans and short-time work arrangements, including for self-employed and cross-border workers. In addition, Luxembourg has announced measures that, while not having a direct budgetary impact, will contribute to support the liquidity of businesses. Those measures include tax deferrals, loans to small and medium-sized enterprises in temporary financial difficulties and guarantees. In contrast with the 2020 Stability Programme, the Commission estimates a smaller impact of the package as it does not consider tax deferrals and the granting of refundable loans as discretionary measures with a budgetary impact. The authorities consider nevertheless that a part of the tax deferrals on direct taxes would finally have a budgetary impact, which is included in the above-mentioned amount of 5.5% of GDP. Moreover, a share of the cost related to the short-time working schemes has been considered as part of the functioning of the automatic stabilisers. Overall, the measures taken by Luxembourg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 </w:t>
      </w:r>
    </w:p>
    <w:p>
      <w:pPr>
        <w:pStyle w:val="ManualConsidrant"/>
        <w:rPr>
          <w:noProof/>
        </w:rPr>
      </w:pPr>
      <w:r>
        <w:rPr>
          <w:noProof/>
        </w:rPr>
        <w:t>(13)</w:t>
      </w:r>
      <w:r>
        <w:rPr>
          <w:noProof/>
        </w:rPr>
        <w:tab/>
        <w:t>Based on the Commission 2020 spring forecast under unchanged policies, Luxembourg’s general government balance is forecast at a deficit of 4,8% of GDP in 2020 and at a surplus of 0,1% in 2021. The general government debt ratio is projected to remain below 60% of GDP in 2020 and 2021. Compared to the Commission forecasts, the Stability programme is based on more prudent assumptions for both revenues and expenditures.</w:t>
      </w:r>
    </w:p>
    <w:p>
      <w:pPr>
        <w:pStyle w:val="ManualConsidrant"/>
        <w:rPr>
          <w:noProof/>
        </w:rPr>
      </w:pPr>
      <w:r>
        <w:rPr>
          <w:noProof/>
        </w:rPr>
        <w:t>(14)</w:t>
      </w:r>
      <w:r>
        <w:rPr>
          <w:noProof/>
        </w:rPr>
        <w:tab/>
        <w:t xml:space="preserve">On 20 May 2020, the Commission issued a report prepared in accordance with Article 126(3) of the Treaty due to Luxembourg’s projected breach of the 3% of GDP deficit threshold in 2020. Overall, the analysis suggests that the deficit criterion as defined in the Treaty and in Regulation (EC) No 1467/1997 is not fulfilled.   </w:t>
      </w:r>
    </w:p>
    <w:p>
      <w:pPr>
        <w:pStyle w:val="ManualConsidrant"/>
        <w:rPr>
          <w:noProof/>
        </w:rPr>
      </w:pPr>
      <w:r>
        <w:rPr>
          <w:noProof/>
        </w:rPr>
        <w:t>(15)</w:t>
      </w:r>
      <w:r>
        <w:rPr>
          <w:noProof/>
        </w:rPr>
        <w:tab/>
        <w:t xml:space="preserve">Luxembourg has one of the best performing health systems in the EU. However, with 49% of doctors and 62% of health workforce being non-national professionals, the system is well above the critical vulnerability threshold (as from the World Health Organisation indicator). In this context, Luxembourg’s health system could be impacted by potential unilateral decisions by neighbouring countries at times of crisis. Luxembourg had to adopt short-time measures in record time to improve the resilience of its healthcare system in the wake of the COVID-19 crisis – for instance mobilising medical infrastructure and setting up a temporary extension of a hospital, as well as providing accommodation in Luxembourg for cross-border health workers and their families. </w:t>
      </w:r>
    </w:p>
    <w:p>
      <w:pPr>
        <w:pStyle w:val="ManualConsidrant"/>
        <w:rPr>
          <w:noProof/>
        </w:rPr>
      </w:pPr>
      <w:r>
        <w:rPr>
          <w:noProof/>
        </w:rPr>
        <w:t>(16)</w:t>
      </w:r>
      <w:r>
        <w:rPr>
          <w:noProof/>
        </w:rPr>
        <w:tab/>
        <w:t xml:space="preserve">The health system is expected to face rising challenges in the future, in addition to the growing number of vacancies of health workers in recent years. Specifically, an increasing demand for healthcare is expected from an ageing population, and retirements of between 59% and 69% of the medical staff are projected in the coming 15 years. Skill mix innovations and the development of professional roles, task sharing and substitution will play an important role in keeping the health sector an attractive place to work. More generally, there is room to improve the governance of the health system, including cooperation with neighbouring countries, and the government has just engaged in a significant reform. Although digital infrastructure is already advanced in Luxembourg, efforts are still ongoing to implement e-health solutions, such as digital solutions for reimbursing providers. Luxembourg has focused strongly on digital technologies, such as supercomputing, artificial intelligence, blockchain and big data, and has the potential to leverage on these capabilities and cooperate at Union level to make a major contribution to the research to neutralise the virus and reduce infections. Luxembourg has also set up a new support scheme for research and development investment projects on products fighting COVID-19, which are needed to efficiently address the current outbreak by developing effective treatment and vaccines. </w:t>
      </w:r>
    </w:p>
    <w:p>
      <w:pPr>
        <w:pStyle w:val="ManualConsidrant"/>
        <w:rPr>
          <w:noProof/>
        </w:rPr>
      </w:pPr>
      <w:r>
        <w:rPr>
          <w:noProof/>
        </w:rPr>
        <w:t>(17)</w:t>
      </w:r>
      <w:r>
        <w:rPr>
          <w:noProof/>
        </w:rPr>
        <w:tab/>
        <w:t>According to the Commission’s forecast, unemployment is expected to rise to 6,4% in 2020 and recover to 6,1% in 2021. Luxembourg has taken a number of measures to maintain employment, notably on ‘</w:t>
      </w:r>
      <w:r>
        <w:rPr>
          <w:i/>
          <w:noProof/>
        </w:rPr>
        <w:t>chômage partiel</w:t>
      </w:r>
      <w:r>
        <w:rPr>
          <w:noProof/>
        </w:rPr>
        <w:t xml:space="preserve">’. However, special consideration should be given to more vulnerable groups, such as older and low-skilled workers, in </w:t>
      </w:r>
      <w:r>
        <w:rPr>
          <w:iCs/>
          <w:noProof/>
        </w:rPr>
        <w:t xml:space="preserve">a context where the new </w:t>
      </w:r>
      <w:r>
        <w:rPr>
          <w:noProof/>
        </w:rPr>
        <w:t>minimum income scheme (REVIS, ‘</w:t>
      </w:r>
      <w:r>
        <w:rPr>
          <w:rStyle w:val="st"/>
          <w:i/>
          <w:noProof/>
        </w:rPr>
        <w:t>revenu d'inclusion sociale</w:t>
      </w:r>
      <w:r>
        <w:rPr>
          <w:rStyle w:val="st"/>
          <w:noProof/>
        </w:rPr>
        <w:t>’</w:t>
      </w:r>
      <w:r>
        <w:rPr>
          <w:noProof/>
        </w:rPr>
        <w:t>) has already led to an increase of registered unemployed people with the public employment service, due to compulsory registration of its beneficiaries since January 2019. Those more vulnerable people would suffer most from an increased competition on the labour market as a result of the COVID-19 crisis. Other vulnerable people suffering from the crisis might be temporary workers, as well as low-skilled workers in general. Concerning older workers, their low employment rate remains a structural issue in Luxembourg, which also has an impact on the long-term sustainability of the pension system, as developed in recommendations addressed to Luxembourg in previous years. In the current context, older workers face additional risks of being dismissed due to the crisis; increasing their adaptability for other jobs and sectors, including through upskilling and reskilling, is necessary more than ever. Luxembourg performs close to the EU average on social inclusion, but indicators on inequality and in-work poverty have been weakening in recent years, and opportunities for students remain strongly influenced by their socio</w:t>
      </w:r>
      <w:r>
        <w:rPr>
          <w:noProof/>
        </w:rPr>
        <w:noBreakHyphen/>
        <w:t xml:space="preserve">economic background. In this context, more vulnerable groups in particular should be supported to face the social impacts of the crisis. </w:t>
      </w:r>
    </w:p>
    <w:p>
      <w:pPr>
        <w:pStyle w:val="ManualConsidrant"/>
        <w:rPr>
          <w:noProof/>
        </w:rPr>
      </w:pPr>
      <w:r>
        <w:rPr>
          <w:noProof/>
        </w:rPr>
        <w:t>(18)</w:t>
      </w:r>
      <w:r>
        <w:rPr>
          <w:noProof/>
        </w:rPr>
        <w:tab/>
        <w:t xml:space="preserve">To support businesses through the COVID-19 crisis, in particular small and medium-sized enterprises, including the self-employed and micro-enterprises, Luxembourg has included a number of measures in its ‘Stabilisation Plan’. Retail is one of the most affected sectors, due to the collapse in demand and to the current measures that prevented many businesses from functioning altogether, or limited their operations. Regulatory flexibility would boost a rebound of retail in the aftermath of the crisis. In addition, it would be beneficial to support small and medium-sized enterprises in adopting digital technologies that ensure business continuity, such as e-commerce. Appropriate measures should be maintained throughout the recovery period, while applying a gradual and flexible phasing out, and identifying the most affected sectors, in order to develop specific support plans that would enable them to catch up in the recovery phase. In the process of implementing these measures, the resilience of the banking sector needs to be taken into account. Following the most acute phase of the crisis, to support the transition and creation of new small and medium-sized enterprises in growth-enhancing sectors, a reform of Luxembourg’s insolvency framework may help businesses get a second chance, if they face bankruptcy through no fault of their own. </w:t>
      </w:r>
    </w:p>
    <w:p>
      <w:pPr>
        <w:pStyle w:val="ManualConsidrant"/>
        <w:rPr>
          <w:noProof/>
        </w:rPr>
      </w:pPr>
      <w:r>
        <w:rPr>
          <w:noProof/>
        </w:rPr>
        <w:t>(19)</w:t>
      </w:r>
      <w:r>
        <w:rPr>
          <w:noProof/>
        </w:rPr>
        <w:tab/>
        <w:t>To foster the economic recovery, it will be important to front-load mature public investment projects and promote private investment, including through relevant reforms, notably in digital and green sectors. Luxembourg has already launched initiatives to boost digitalisation and innovation, but technological integration in the business sector and private investment, as well as the digitalisation of public services, remain low, compared with the high-potential environment and the country’s ambition to transition to a data-driven economy. Investments in digitalisation, advanced digital skills, and innovation – including developing an integrated research and innovation strategy – will be essential to support small and medium-sized enterprises, boost productivity and competitiveness. The recovery should also be further supported by advancing ambitious green investments in the short term. Key sectors can be, in particular, further action on sustainable transport, including rail, sustainable construction, in particular in relation to the energy efficiency of buildings, both existing and new, and renewable energy. These would help to provide a robust green stimulus, and support Luxembourg in bridging the gap to its 2030 targets on greenhouse gas emissions reduction, energy efficiency and renewable energy, also preparing the ground towards climate neutrality. Further identification of investment needs and financial sources for investments remains necessary, also in light of the impact of the COVID-19 outbreak on the economy and public finances. The programming of the Just Transition Fund for the period 2021-2027 could help Luxembourg to address some of the challenges posed by the transition to a climate-neutral economy, in particular in the territories covered by Annex D to the country report. This would allow Luxembourg to make the best use of that fund.</w:t>
      </w:r>
    </w:p>
    <w:p>
      <w:pPr>
        <w:pStyle w:val="ManualConsidrant"/>
        <w:rPr>
          <w:noProof/>
        </w:rPr>
      </w:pPr>
      <w:r>
        <w:rPr>
          <w:noProof/>
        </w:rPr>
        <w:t>(20)</w:t>
      </w:r>
      <w:r>
        <w:rPr>
          <w:noProof/>
        </w:rPr>
        <w:tab/>
        <w:t>Luxembourg faces significant money laundering risks in view of the high inflows of foreign direct investments and the presence of complex legal structures with foreign sponsors. These risks are reflected in the national risk assessment, particularly in relation to professionals engaged in the provision of services to companies and trusts or investment services. Weaknesses in the application of the anti-money laundering framework by these professionals result in inadequate risk analyses and a low level of reporting of suspicious activities. The intensity of supervision of these professionals is inadequate to remedy these shortcomings. A national register of beneficial owners has been set up for companies to limit secrecy and identify beneficial owners. The quality of the information provided and the effectiveness of the register needs to be monitored over time.</w:t>
      </w:r>
    </w:p>
    <w:p>
      <w:pPr>
        <w:pStyle w:val="ManualConsidrant"/>
        <w:rPr>
          <w:noProof/>
        </w:rPr>
      </w:pPr>
      <w:r>
        <w:rPr>
          <w:noProof/>
        </w:rPr>
        <w:t>(21)</w:t>
      </w:r>
      <w:r>
        <w:rPr>
          <w:noProof/>
        </w:rPr>
        <w:tab/>
        <w:t>Tackling aggressive tax planning remains key to improving the efficiency and fairness of tax systems, as acknowledged in the 2020 euro area recommendation. Spillover effects of taxpayers’ aggressive tax planning strategies between Member States call for a coordinated action of national policies to complement Union legislation. Luxembourg has taken steps to address aggressive tax planning practices by implementing previously agreed international and European initiatives, but the high level of dividend, interest and royalty payments as a percentage of GDP suggests that the country’s tax rules are used by companies that engage in aggressive tax planning. The majority of foreign direct investment is held by ‘special purpose entities’. The absence of withholding taxes on outbound (i.e. from EU residents to third country residents) interest and royalty payments, and the exemption from withholding taxes on dividend payments under certain circumstances, may lead to those payments escaping tax altogether, if they are also not subject to tax in the recipient jurisdiction. Luxembourg has tabled a draft law introducing the non-deductibility of interest and royalty payments to jurisdictions included in the EU list of non-cooperative jurisdictions for tax purposes, in line with its commitment to introduce defensive measures vis-à-vis those jurisdictions.</w:t>
      </w:r>
    </w:p>
    <w:p>
      <w:pPr>
        <w:pStyle w:val="ManualConsidrant"/>
        <w:rPr>
          <w:noProof/>
        </w:rPr>
      </w:pPr>
      <w:r>
        <w:rPr>
          <w:noProof/>
        </w:rPr>
        <w:t>(22)</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rPr>
      </w:pPr>
      <w:r>
        <w:rPr>
          <w:noProof/>
        </w:rPr>
        <w:t>(23)</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Luxembourg will contribute to the progress towards the SDGs and to the common effort of ensuring competitive sustainability in the Union. </w:t>
      </w:r>
    </w:p>
    <w:p>
      <w:pPr>
        <w:pStyle w:val="ManualConsidrant"/>
        <w:rPr>
          <w:noProof/>
        </w:rPr>
      </w:pPr>
      <w:r>
        <w:rPr>
          <w:noProof/>
        </w:rPr>
        <w:t>(24)</w:t>
      </w:r>
      <w:r>
        <w:rPr>
          <w:noProof/>
        </w:rPr>
        <w:tab/>
        <w:t>Close coordination between economies in the economic and monetary union is key to achieve a swift recovery from the economic impact of the COVID-19. Luxembourg should, as a Member State whose currency is the euro – and taking into account political guidance by the Eurogroup – ensure its policies remain consistent with the euro area recommendations and coordinated with those of the other euro area Member States.</w:t>
      </w:r>
    </w:p>
    <w:p>
      <w:pPr>
        <w:pStyle w:val="ManualConsidrant"/>
        <w:rPr>
          <w:noProof/>
        </w:rPr>
      </w:pPr>
      <w:r>
        <w:rPr>
          <w:noProof/>
        </w:rPr>
        <w:t>(25)</w:t>
      </w:r>
      <w:r>
        <w:rPr>
          <w:noProof/>
        </w:rPr>
        <w:tab/>
        <w:t xml:space="preserve">In the context of the 2020 European Semester, the Commission has carried out a comprehensive analysis of Luxembourg’s economic policy and published it in the 2020 country report. It has also assessed the 2020 Stability Programme and the 2020 National Reform Programme and the follow-up given to the recommendations addressed to Luxembourg in previous years. It has taken into account not only their relevance for sustainable fiscal and socioeconomic policy in Luxembourg,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(26)</w:t>
      </w:r>
      <w:r>
        <w:rPr>
          <w:noProof/>
        </w:rPr>
        <w:tab/>
        <w:t>In the light of that assessment, the Council has examined the 2020 Stability Programme and its opinion</w:t>
      </w:r>
      <w:r>
        <w:rPr>
          <w:rStyle w:val="FootnoteReference"/>
          <w:noProof/>
        </w:rPr>
        <w:footnoteReference w:id="7"/>
      </w:r>
      <w:r>
        <w:rPr>
          <w:noProof/>
        </w:rPr>
        <w:t xml:space="preserve"> is reflected in particular in recommendation (1) below</w:t>
      </w:r>
      <w:r>
        <w:rPr>
          <w:iCs/>
          <w:noProof/>
        </w:rPr>
        <w:t xml:space="preserve">, </w:t>
      </w:r>
    </w:p>
    <w:p>
      <w:pPr>
        <w:rPr>
          <w:noProof/>
        </w:rPr>
      </w:pPr>
    </w:p>
    <w:p>
      <w:pPr>
        <w:pStyle w:val="Formuledadoption"/>
        <w:rPr>
          <w:noProof/>
        </w:rPr>
      </w:pPr>
      <w:r>
        <w:rPr>
          <w:noProof/>
        </w:rPr>
        <w:t>HEREBY RECOMMENDS that Luxembourg take action in 2020 and 2021 to:</w:t>
      </w:r>
    </w:p>
    <w:p>
      <w:pPr>
        <w:pStyle w:val="ManualNumPar1"/>
        <w:rPr>
          <w:noProof/>
          <w:sz w:val="22"/>
        </w:rPr>
      </w:pPr>
      <w:bookmarkStart w:id="1" w:name="_CopyToNewDocument_"/>
      <w:bookmarkEnd w:id="1"/>
      <w:r>
        <w:rPr>
          <w:noProof/>
        </w:rPr>
        <w:t>1.</w:t>
      </w:r>
      <w:r>
        <w:rPr>
          <w:noProof/>
        </w:rPr>
        <w:tab/>
      </w:r>
      <w:r>
        <w:rPr>
          <w:noProof/>
          <w:lang w:val="en-IE"/>
        </w:rPr>
        <w:t>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w:t>
      </w:r>
      <w:r>
        <w:rPr>
          <w:noProof/>
          <w:sz w:val="22"/>
        </w:rPr>
        <w:t xml:space="preserve"> </w:t>
      </w:r>
      <w:r>
        <w:rPr>
          <w:noProof/>
        </w:rPr>
        <w:t xml:space="preserve">Improve the resilience of the health system by ensuring appropriate availability of health workers. Accelerate reforms to improve the governance of the health system and e-Health. </w:t>
      </w:r>
    </w:p>
    <w:p>
      <w:pPr>
        <w:pStyle w:val="ManualNumPar1"/>
        <w:rPr>
          <w:noProof/>
        </w:rPr>
      </w:pPr>
      <w:r>
        <w:rPr>
          <w:noProof/>
        </w:rPr>
        <w:t>2.</w:t>
      </w:r>
      <w:r>
        <w:rPr>
          <w:noProof/>
        </w:rPr>
        <w:tab/>
        <w:t>Mitigate the employment impact of the crisis, with special consideration for people in a difficult labour market position.</w:t>
      </w:r>
    </w:p>
    <w:p>
      <w:pPr>
        <w:pStyle w:val="ManualNumPar1"/>
        <w:rPr>
          <w:noProof/>
        </w:rPr>
      </w:pPr>
      <w:r>
        <w:rPr>
          <w:noProof/>
        </w:rPr>
        <w:t>3.</w:t>
      </w:r>
      <w:r>
        <w:rPr>
          <w:noProof/>
        </w:rPr>
        <w:tab/>
        <w:t xml:space="preserve">Ensure effective implementation of measures supporting the liquidity of businesses, in particular small and medium-sized enterprises and the self-employed. </w:t>
      </w:r>
      <w:r>
        <w:rPr>
          <w:noProof/>
          <w:szCs w:val="24"/>
        </w:rPr>
        <w:t xml:space="preserve">Front-load mature public investment projects and promote private investment to foster the economic recovery. Focus investment on the green and digital transition, in particular on </w:t>
      </w:r>
      <w:r>
        <w:rPr>
          <w:noProof/>
        </w:rPr>
        <w:t>sustainable transport</w:t>
      </w:r>
      <w:r>
        <w:rPr>
          <w:noProof/>
          <w:szCs w:val="24"/>
        </w:rPr>
        <w:t xml:space="preserve"> and</w:t>
      </w:r>
      <w:r>
        <w:rPr>
          <w:noProof/>
        </w:rPr>
        <w:t xml:space="preserve"> buildings, </w:t>
      </w:r>
      <w:r>
        <w:rPr>
          <w:noProof/>
          <w:szCs w:val="24"/>
        </w:rPr>
        <w:t>clean and efficient production and use of energy, contributing to a progressive decarbonisation of the economy.</w:t>
      </w:r>
      <w:r>
        <w:rPr>
          <w:noProof/>
        </w:rPr>
        <w:t xml:space="preserve"> Foster innovation and digitalisation in particular in the business sector.</w:t>
      </w:r>
    </w:p>
    <w:p>
      <w:pPr>
        <w:pStyle w:val="ManualNumPar1"/>
        <w:keepNext/>
        <w:keepLines/>
        <w:rPr>
          <w:noProof/>
        </w:rPr>
      </w:pPr>
      <w:r>
        <w:rPr>
          <w:noProof/>
        </w:rPr>
        <w:t>4.</w:t>
      </w:r>
      <w:r>
        <w:rPr>
          <w:noProof/>
        </w:rPr>
        <w:tab/>
        <w:t xml:space="preserve">Ensure effective supervision and enforcement of the anti-money laundering framework as regards professionals providing trust and company services, and investment services. </w:t>
      </w:r>
      <w:r>
        <w:rPr>
          <w:noProof/>
          <w:szCs w:val="24"/>
        </w:rPr>
        <w:t>Step up action to a</w:t>
      </w:r>
      <w:r>
        <w:rPr>
          <w:noProof/>
        </w:rPr>
        <w:t>ddress features of the tax system that facilitate aggressive tax planning, in particular by means of outbound payments.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pPr>
      <w:r>
        <w:rPr>
          <w:rStyle w:val="FootnoteReference"/>
        </w:rPr>
        <w:footnoteRef/>
      </w:r>
      <w:r>
        <w:rPr>
          <w:lang w:val="en-US"/>
        </w:rPr>
        <w:tab/>
      </w:r>
      <w:r>
        <w:t>SWD(2020) 515 final.</w:t>
      </w:r>
    </w:p>
  </w:footnote>
  <w:footnote w:id="3">
    <w:p>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4">
    <w:p>
      <w:pPr>
        <w:pStyle w:val="FootnoteText"/>
        <w:rPr>
          <w:lang w:val="pt-PT"/>
        </w:rPr>
      </w:pPr>
      <w:r>
        <w:rPr>
          <w:rStyle w:val="FootnoteReference"/>
        </w:rPr>
        <w:footnoteRef/>
      </w:r>
      <w:r>
        <w:rPr>
          <w:lang w:val="pt-PT"/>
        </w:rPr>
        <w:tab/>
        <w:t>COM(2020) 112 final.</w:t>
      </w:r>
    </w:p>
  </w:footnote>
  <w:footnote w:id="5">
    <w:p>
      <w:pPr>
        <w:pStyle w:val="FootnoteText"/>
        <w:rPr>
          <w:lang w:val="en-IE"/>
        </w:rPr>
      </w:pPr>
      <w:r>
        <w:rPr>
          <w:rStyle w:val="FootnoteReference"/>
        </w:rPr>
        <w:footnoteRef/>
      </w:r>
      <w:r>
        <w:tab/>
        <w:t>COM(2020) 123 final.</w:t>
      </w:r>
    </w:p>
  </w:footnote>
  <w:footnote w:id="6">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7">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rson w15:author="VECCHIO Veronica (SG)">
    <w15:presenceInfo w15:providerId="None" w15:userId="VECCHIO Veronic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8"/>
  <w:displayBackgroundShape/>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39: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E7583479-E173-4BCA-95E3-DD64917E8BED"/>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Luxembourg and delivering a Council opinion on the 2020 Stability Programme of Luxembourg"/>
    <w:docVar w:name="LW_TITRE.OBJ.CP" w:val="on the 2020 National Reform Programme of Luxembourg and delivering a Council opinion on the 2020 Stability Programme of Luxembourg"/>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aliases w:val="Mummuga loetelu,Bullet alinea,Dot pt,F5 List Paragraph,List Paragraph1,No Spacing1,List Paragraph Char Char Char,Indicator Text,Numbered Para 1,Bullet Points,Párrafo de lista,MAIN CONTENT,Recommendation,List Paragraph2"/>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Points Char,Párrafo de lista Char"/>
    <w:basedOn w:val="DefaultParagraphFont"/>
    <w:link w:val="ListParagraph"/>
    <w:locked/>
    <w:rPr>
      <w:rFonts w:ascii="Times New Roman" w:hAnsi="Times New Roman" w:cs="Times New Roman"/>
      <w:sz w:val="24"/>
      <w:lang w:val="en-GB"/>
    </w:rPr>
  </w:style>
  <w:style w:type="paragraph" w:styleId="NormalWeb">
    <w:name w:val="Normal (Web)"/>
    <w:basedOn w:val="Normal"/>
    <w:uiPriority w:val="99"/>
    <w:unhideWhenUsed/>
    <w:pPr>
      <w:suppressAutoHyphens/>
      <w:spacing w:before="100" w:after="100" w:line="100" w:lineRule="atLeast"/>
      <w:jc w:val="left"/>
    </w:pPr>
    <w:rPr>
      <w:rFonts w:eastAsia="SimSun"/>
      <w:szCs w:val="24"/>
      <w:lang w:eastAsia="ar-SA"/>
    </w:r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aliases w:val="Mummuga loetelu,Bullet alinea,Dot pt,F5 List Paragraph,List Paragraph1,No Spacing1,List Paragraph Char Char Char,Indicator Text,Numbered Para 1,Bullet Points,Párrafo de lista,MAIN CONTENT,Recommendation,List Paragraph2"/>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Mummuga loetelu Char,Bullet alinea Char,Dot pt Char,F5 List Paragraph Char,List Paragraph1 Char,No Spacing1 Char,List Paragraph Char Char Char Char,Indicator Text Char,Numbered Para 1 Char,Bullet Points Char,Párrafo de lista Char"/>
    <w:basedOn w:val="DefaultParagraphFont"/>
    <w:link w:val="ListParagraph"/>
    <w:locked/>
    <w:rPr>
      <w:rFonts w:ascii="Times New Roman" w:hAnsi="Times New Roman" w:cs="Times New Roman"/>
      <w:sz w:val="24"/>
      <w:lang w:val="en-GB"/>
    </w:rPr>
  </w:style>
  <w:style w:type="paragraph" w:styleId="NormalWeb">
    <w:name w:val="Normal (Web)"/>
    <w:basedOn w:val="Normal"/>
    <w:uiPriority w:val="99"/>
    <w:unhideWhenUsed/>
    <w:pPr>
      <w:suppressAutoHyphens/>
      <w:spacing w:before="100" w:after="100" w:line="100" w:lineRule="atLeast"/>
      <w:jc w:val="left"/>
    </w:pPr>
    <w:rPr>
      <w:rFonts w:eastAsia="SimSun"/>
      <w:szCs w:val="24"/>
      <w:lang w:eastAsia="ar-SA"/>
    </w:rPr>
  </w:style>
  <w:style w:type="character" w:styleId="Hyperlink">
    <w:name w:val="Hyperlink"/>
    <w:basedOn w:val="DefaultParagraphFont"/>
    <w:uiPriority w:val="99"/>
    <w:unhideWhenUsed/>
    <w:rPr>
      <w:color w:val="0000FF"/>
      <w:u w:val="single"/>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st">
    <w:name w:val="st"/>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875">
      <w:bodyDiv w:val="1"/>
      <w:marLeft w:val="0"/>
      <w:marRight w:val="0"/>
      <w:marTop w:val="0"/>
      <w:marBottom w:val="0"/>
      <w:divBdr>
        <w:top w:val="none" w:sz="0" w:space="0" w:color="auto"/>
        <w:left w:val="none" w:sz="0" w:space="0" w:color="auto"/>
        <w:bottom w:val="none" w:sz="0" w:space="0" w:color="auto"/>
        <w:right w:val="none" w:sz="0" w:space="0" w:color="auto"/>
      </w:divBdr>
    </w:div>
    <w:div w:id="41710491">
      <w:bodyDiv w:val="1"/>
      <w:marLeft w:val="0"/>
      <w:marRight w:val="0"/>
      <w:marTop w:val="0"/>
      <w:marBottom w:val="0"/>
      <w:divBdr>
        <w:top w:val="none" w:sz="0" w:space="0" w:color="auto"/>
        <w:left w:val="none" w:sz="0" w:space="0" w:color="auto"/>
        <w:bottom w:val="none" w:sz="0" w:space="0" w:color="auto"/>
        <w:right w:val="none" w:sz="0" w:space="0" w:color="auto"/>
      </w:divBdr>
    </w:div>
    <w:div w:id="54397665">
      <w:bodyDiv w:val="1"/>
      <w:marLeft w:val="0"/>
      <w:marRight w:val="0"/>
      <w:marTop w:val="0"/>
      <w:marBottom w:val="0"/>
      <w:divBdr>
        <w:top w:val="none" w:sz="0" w:space="0" w:color="auto"/>
        <w:left w:val="none" w:sz="0" w:space="0" w:color="auto"/>
        <w:bottom w:val="none" w:sz="0" w:space="0" w:color="auto"/>
        <w:right w:val="none" w:sz="0" w:space="0" w:color="auto"/>
      </w:divBdr>
    </w:div>
    <w:div w:id="98382022">
      <w:bodyDiv w:val="1"/>
      <w:marLeft w:val="0"/>
      <w:marRight w:val="0"/>
      <w:marTop w:val="0"/>
      <w:marBottom w:val="0"/>
      <w:divBdr>
        <w:top w:val="none" w:sz="0" w:space="0" w:color="auto"/>
        <w:left w:val="none" w:sz="0" w:space="0" w:color="auto"/>
        <w:bottom w:val="none" w:sz="0" w:space="0" w:color="auto"/>
        <w:right w:val="none" w:sz="0" w:space="0" w:color="auto"/>
      </w:divBdr>
    </w:div>
    <w:div w:id="287244908">
      <w:bodyDiv w:val="1"/>
      <w:marLeft w:val="0"/>
      <w:marRight w:val="0"/>
      <w:marTop w:val="0"/>
      <w:marBottom w:val="0"/>
      <w:divBdr>
        <w:top w:val="none" w:sz="0" w:space="0" w:color="auto"/>
        <w:left w:val="none" w:sz="0" w:space="0" w:color="auto"/>
        <w:bottom w:val="none" w:sz="0" w:space="0" w:color="auto"/>
        <w:right w:val="none" w:sz="0" w:space="0" w:color="auto"/>
      </w:divBdr>
    </w:div>
    <w:div w:id="337083020">
      <w:bodyDiv w:val="1"/>
      <w:marLeft w:val="0"/>
      <w:marRight w:val="0"/>
      <w:marTop w:val="0"/>
      <w:marBottom w:val="0"/>
      <w:divBdr>
        <w:top w:val="none" w:sz="0" w:space="0" w:color="auto"/>
        <w:left w:val="none" w:sz="0" w:space="0" w:color="auto"/>
        <w:bottom w:val="none" w:sz="0" w:space="0" w:color="auto"/>
        <w:right w:val="none" w:sz="0" w:space="0" w:color="auto"/>
      </w:divBdr>
    </w:div>
    <w:div w:id="37685853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24367903">
      <w:bodyDiv w:val="1"/>
      <w:marLeft w:val="0"/>
      <w:marRight w:val="0"/>
      <w:marTop w:val="0"/>
      <w:marBottom w:val="0"/>
      <w:divBdr>
        <w:top w:val="none" w:sz="0" w:space="0" w:color="auto"/>
        <w:left w:val="none" w:sz="0" w:space="0" w:color="auto"/>
        <w:bottom w:val="none" w:sz="0" w:space="0" w:color="auto"/>
        <w:right w:val="none" w:sz="0" w:space="0" w:color="auto"/>
      </w:divBdr>
    </w:div>
    <w:div w:id="57497502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76221859">
      <w:bodyDiv w:val="1"/>
      <w:marLeft w:val="0"/>
      <w:marRight w:val="0"/>
      <w:marTop w:val="0"/>
      <w:marBottom w:val="0"/>
      <w:divBdr>
        <w:top w:val="none" w:sz="0" w:space="0" w:color="auto"/>
        <w:left w:val="none" w:sz="0" w:space="0" w:color="auto"/>
        <w:bottom w:val="none" w:sz="0" w:space="0" w:color="auto"/>
        <w:right w:val="none" w:sz="0" w:space="0" w:color="auto"/>
      </w:divBdr>
    </w:div>
    <w:div w:id="851190167">
      <w:bodyDiv w:val="1"/>
      <w:marLeft w:val="0"/>
      <w:marRight w:val="0"/>
      <w:marTop w:val="0"/>
      <w:marBottom w:val="0"/>
      <w:divBdr>
        <w:top w:val="none" w:sz="0" w:space="0" w:color="auto"/>
        <w:left w:val="none" w:sz="0" w:space="0" w:color="auto"/>
        <w:bottom w:val="none" w:sz="0" w:space="0" w:color="auto"/>
        <w:right w:val="none" w:sz="0" w:space="0" w:color="auto"/>
      </w:divBdr>
    </w:div>
    <w:div w:id="979698799">
      <w:bodyDiv w:val="1"/>
      <w:marLeft w:val="0"/>
      <w:marRight w:val="0"/>
      <w:marTop w:val="0"/>
      <w:marBottom w:val="0"/>
      <w:divBdr>
        <w:top w:val="none" w:sz="0" w:space="0" w:color="auto"/>
        <w:left w:val="none" w:sz="0" w:space="0" w:color="auto"/>
        <w:bottom w:val="none" w:sz="0" w:space="0" w:color="auto"/>
        <w:right w:val="none" w:sz="0" w:space="0" w:color="auto"/>
      </w:divBdr>
    </w:div>
    <w:div w:id="1035010849">
      <w:bodyDiv w:val="1"/>
      <w:marLeft w:val="0"/>
      <w:marRight w:val="0"/>
      <w:marTop w:val="0"/>
      <w:marBottom w:val="0"/>
      <w:divBdr>
        <w:top w:val="none" w:sz="0" w:space="0" w:color="auto"/>
        <w:left w:val="none" w:sz="0" w:space="0" w:color="auto"/>
        <w:bottom w:val="none" w:sz="0" w:space="0" w:color="auto"/>
        <w:right w:val="none" w:sz="0" w:space="0" w:color="auto"/>
      </w:divBdr>
    </w:div>
    <w:div w:id="1395541373">
      <w:bodyDiv w:val="1"/>
      <w:marLeft w:val="0"/>
      <w:marRight w:val="0"/>
      <w:marTop w:val="0"/>
      <w:marBottom w:val="0"/>
      <w:divBdr>
        <w:top w:val="none" w:sz="0" w:space="0" w:color="auto"/>
        <w:left w:val="none" w:sz="0" w:space="0" w:color="auto"/>
        <w:bottom w:val="none" w:sz="0" w:space="0" w:color="auto"/>
        <w:right w:val="none" w:sz="0" w:space="0" w:color="auto"/>
      </w:divBdr>
    </w:div>
    <w:div w:id="1562448999">
      <w:bodyDiv w:val="1"/>
      <w:marLeft w:val="0"/>
      <w:marRight w:val="0"/>
      <w:marTop w:val="0"/>
      <w:marBottom w:val="0"/>
      <w:divBdr>
        <w:top w:val="none" w:sz="0" w:space="0" w:color="auto"/>
        <w:left w:val="none" w:sz="0" w:space="0" w:color="auto"/>
        <w:bottom w:val="none" w:sz="0" w:space="0" w:color="auto"/>
        <w:right w:val="none" w:sz="0" w:space="0" w:color="auto"/>
      </w:divBdr>
    </w:div>
    <w:div w:id="1568804001">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69616686">
      <w:bodyDiv w:val="1"/>
      <w:marLeft w:val="0"/>
      <w:marRight w:val="0"/>
      <w:marTop w:val="0"/>
      <w:marBottom w:val="0"/>
      <w:divBdr>
        <w:top w:val="none" w:sz="0" w:space="0" w:color="auto"/>
        <w:left w:val="none" w:sz="0" w:space="0" w:color="auto"/>
        <w:bottom w:val="none" w:sz="0" w:space="0" w:color="auto"/>
        <w:right w:val="none" w:sz="0" w:space="0" w:color="auto"/>
      </w:divBdr>
    </w:div>
    <w:div w:id="1935360569">
      <w:bodyDiv w:val="1"/>
      <w:marLeft w:val="0"/>
      <w:marRight w:val="0"/>
      <w:marTop w:val="0"/>
      <w:marBottom w:val="0"/>
      <w:divBdr>
        <w:top w:val="none" w:sz="0" w:space="0" w:color="auto"/>
        <w:left w:val="none" w:sz="0" w:space="0" w:color="auto"/>
        <w:bottom w:val="none" w:sz="0" w:space="0" w:color="auto"/>
        <w:right w:val="none" w:sz="0" w:space="0" w:color="auto"/>
      </w:divBdr>
    </w:div>
    <w:div w:id="197856438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3526</Words>
  <Characters>20066</Characters>
  <Application>Microsoft Office Word</Application>
  <DocSecurity>0</DocSecurity>
  <Lines>313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2020-04-06T12:24:00Z</cp:lastPrinted>
  <dcterms:created xsi:type="dcterms:W3CDTF">2020-05-19T21:49:00Z</dcterms:created>
  <dcterms:modified xsi:type="dcterms:W3CDTF">2020-05-19T22:45:00Z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