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alt="AAC39169-5E20-440D-9A96-F5DE22F67740" style="width:450.8pt;height:447.65pt">
            <v:imagedata r:id="rId12" o:title=""/>
          </v:shape>
        </w:pict>
      </w:r>
    </w:p>
    <w:bookmarkEnd w:id="0"/>
    <w:p>
      <w:pPr>
        <w:rPr>
          <w:noProof/>
        </w:rPr>
        <w:sectPr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  <w:bookmarkStart w:id="1" w:name="_GoBack"/>
      <w:bookmarkEnd w:id="1"/>
      <w:r>
        <w:rPr>
          <w:rFonts w:ascii="Times New Roman" w:hAnsi="Times New Roman"/>
          <w:b/>
          <w:i/>
          <w:noProof/>
          <w:sz w:val="24"/>
          <w:szCs w:val="24"/>
          <w:lang w:val="fr-FR"/>
        </w:rPr>
        <w:lastRenderedPageBreak/>
        <w:t xml:space="preserve">STRATÉGIE «DE LA FERME À LA TABLE»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  <w:r>
        <w:rPr>
          <w:rFonts w:ascii="Times New Roman" w:hAnsi="Times New Roman"/>
          <w:b/>
          <w:i/>
          <w:noProof/>
          <w:sz w:val="24"/>
          <w:szCs w:val="24"/>
          <w:lang w:val="fr-FR"/>
        </w:rPr>
        <w:t>PROJET DE PLAN D’ACTION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  <w:lang w:val="fr-FR"/>
        </w:rPr>
      </w:pP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lang w:val="fr-FR"/>
        </w:rPr>
      </w:pPr>
      <w:r>
        <w:rPr>
          <w:rFonts w:ascii="Times New Roman" w:hAnsi="Times New Roman"/>
          <w:i/>
          <w:noProof/>
          <w:lang w:val="fr-FR"/>
        </w:rPr>
        <w:t>Les mesures présentées dans le présent plan d’action devront toutes être mises en œuvre conformément aux principes pour l’amélioration de la réglementation, y compris, si nécessaire, après avoir été soumises à des évaluations et à des analyses d'impact.</w:t>
      </w:r>
    </w:p>
    <w:p>
      <w:pPr>
        <w:rPr>
          <w:noProof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07"/>
        <w:gridCol w:w="1243"/>
        <w:gridCol w:w="638"/>
      </w:tblGrid>
      <w:tr>
        <w:tc>
          <w:tcPr>
            <w:tcW w:w="7668" w:type="dxa"/>
            <w:shd w:val="clear" w:color="auto" w:fill="808080" w:themeFill="background1" w:themeFillShade="8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noProof/>
              </w:rPr>
              <w:t>ACTIONS</w:t>
            </w:r>
          </w:p>
        </w:tc>
        <w:tc>
          <w:tcPr>
            <w:tcW w:w="972" w:type="dxa"/>
            <w:shd w:val="clear" w:color="auto" w:fill="808080" w:themeFill="background1" w:themeFillShade="80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Calendrier indicatif</w:t>
            </w:r>
          </w:p>
        </w:tc>
        <w:tc>
          <w:tcPr>
            <w:tcW w:w="648" w:type="dxa"/>
            <w:shd w:val="clear" w:color="auto" w:fill="808080" w:themeFill="background1" w:themeFillShade="80"/>
          </w:tcPr>
          <w:p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eastAsia="en-GB"/>
              </w:rPr>
            </w:pP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t>Nº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  <w:lang w:val="fr-FR"/>
              </w:rPr>
            </w:pPr>
            <w:r>
              <w:rPr>
                <w:rFonts w:ascii="Times New Roman" w:hAnsi="Times New Roman"/>
                <w:bCs/>
                <w:noProof/>
                <w:lang w:val="fr-FR"/>
              </w:rPr>
              <w:t xml:space="preserve">Proposition de </w:t>
            </w:r>
            <w:r>
              <w:rPr>
                <w:rFonts w:ascii="Times New Roman" w:hAnsi="Times New Roman"/>
                <w:b/>
                <w:bCs/>
                <w:noProof/>
                <w:lang w:val="fr-FR"/>
              </w:rPr>
              <w:t xml:space="preserve">cadre législatif pour des systèmes alimentaires durables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Cs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Élaboration d’un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plan d’intervention pour assurer l’approvisionnement et la sécurité alimentaires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>
              <w:rPr>
                <w:rFonts w:ascii="Times New Roman" w:hAnsi="Times New Roman"/>
                <w:bCs/>
                <w:noProof/>
              </w:rPr>
              <w:t>T4 2021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top w:val="single" w:sz="4" w:space="0" w:color="auto"/>
            </w:tcBorders>
            <w:shd w:val="clear" w:color="auto" w:fill="808080" w:themeFill="background1" w:themeFillShade="80"/>
          </w:tcPr>
          <w:p>
            <w:pPr>
              <w:tabs>
                <w:tab w:val="left" w:pos="2802"/>
                <w:tab w:val="center" w:pos="4536"/>
              </w:tabs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b/>
                <w:noProof/>
                <w:lang w:val="fr-FR"/>
              </w:rPr>
              <w:t>Assurer une production alimentaire durable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Adoption de recommandations à l’intention de chaque État membre concernant les neuf objectifs spécifiques de la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politique agricole commune (PAC)</w:t>
            </w:r>
            <w:r>
              <w:rPr>
                <w:rFonts w:ascii="Times New Roman" w:hAnsi="Times New Roman"/>
                <w:noProof/>
                <w:lang w:val="fr-FR"/>
              </w:rPr>
              <w:t>, avant la présentation formelle des projets de plans stratégiques relevant de la PAC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de la directive relative à une utilisation des pesticides compatible avec le développement durable afin de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réduire de manière significative l’utilisation et le risque des pesticides ainsi que la dépendance à leur égard</w:t>
            </w:r>
            <w:r>
              <w:rPr>
                <w:rFonts w:ascii="Times New Roman" w:hAnsi="Times New Roman"/>
                <w:noProof/>
                <w:lang w:val="fr-FR"/>
              </w:rPr>
              <w:t xml:space="preserve"> et de renforcer la lutte intégrée contre les ennemis des cultures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T1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Révision des règlements d’exécution pertinents du cadre relatif aux produits phytopharmaceutiques afin de faciliter la mise sur le marché de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produits phytopharmaceutiques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 xml:space="preserve">contenant des substances actives d’origine biologique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ind w:hanging="326"/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du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règlement relatif aux statistiques sur les pesticides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afin de combler les lacunes en matière de données et de renforcer l’élaboration de politiques reposant sur des données probantes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Évaluation et révision de la législation existante en matière de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bien-être des animaux</w:t>
            </w:r>
            <w:r>
              <w:rPr>
                <w:rFonts w:ascii="Times New Roman" w:hAnsi="Times New Roman"/>
                <w:noProof/>
                <w:lang w:val="fr-FR"/>
              </w:rPr>
              <w:t>, y compris en ce qui concerne le transport et l’abattage des animaux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b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du règlement concernant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les additifs destinés à l’alimentation animale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afin de réduire les effets de l’élevage sur l’environnement</w:t>
            </w:r>
            <w:r>
              <w:rPr>
                <w:rFonts w:ascii="Times New Roman" w:hAnsi="Times New Roman"/>
                <w:bCs/>
                <w:noProof/>
                <w:lang w:val="fr-FR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du règlement relatif au réseau d’information comptable agricole afin de le transformer en un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réseau d’information durable agricole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en vue de contribuer à une large adoption des pratiques agricoles durables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T2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Clarification du champ d’application des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règles de concurrence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énoncées dans le TFUE en ce qui concerne la durabilité dans les actions collectives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Initiatives législatives visant à encourager la coopération des producteurs primaires afin de </w:t>
            </w:r>
            <w:r>
              <w:rPr>
                <w:rFonts w:ascii="Times New Roman" w:hAnsi="Times New Roman"/>
                <w:b/>
                <w:bCs/>
                <w:noProof/>
                <w:lang w:val="fr-FR"/>
              </w:rPr>
              <w:t>soutenir leur position dans la filière alimentaire</w:t>
            </w:r>
            <w:r>
              <w:rPr>
                <w:rFonts w:ascii="Times New Roman" w:hAnsi="Times New Roman"/>
                <w:bCs/>
                <w:noProof/>
                <w:lang w:val="fr-FR"/>
              </w:rPr>
              <w:t xml:space="preserve"> et initiatives non législatives visant à </w:t>
            </w:r>
            <w:r>
              <w:rPr>
                <w:rFonts w:ascii="Times New Roman" w:hAnsi="Times New Roman"/>
                <w:b/>
                <w:bCs/>
                <w:noProof/>
                <w:lang w:val="fr-FR"/>
              </w:rPr>
              <w:t>améliorer la transparence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2021-2022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Initiative de l’UE en faveur du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stockage du carbone dans les sols agricoles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b/>
                <w:noProof/>
                <w:lang w:val="fr-FR"/>
              </w:rPr>
            </w:pPr>
            <w:r>
              <w:rPr>
                <w:rFonts w:ascii="Times New Roman" w:hAnsi="Times New Roman"/>
                <w:b/>
                <w:noProof/>
                <w:lang w:val="fr-FR"/>
              </w:rPr>
              <w:t>Promouvoir des pratiques durables en matière de transformation des denrées alimentaires, de commerce de gros, de commerce de détail d’hôtellerie et de services de restauration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Initiative visant à améliorer le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cadre de la gouvernance d’entreprise</w:t>
            </w:r>
            <w:r>
              <w:rPr>
                <w:rFonts w:ascii="Times New Roman" w:hAnsi="Times New Roman"/>
                <w:noProof/>
                <w:lang w:val="fr-FR"/>
              </w:rPr>
              <w:t xml:space="preserve">, incluant une obligation, pour l’industrie alimentaire, d’intégrer la durabilité dans les stratégies d’entreprise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T1 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Élaboration d’un code et d’un cadre de suivi de l’UE pour un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comportement entrepreneurial et commercial responsable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dans la chaîne d’approvisionnement alimentaire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T2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Lancement d’initiatives visant à encourager la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reformulation</w:t>
            </w:r>
            <w:r>
              <w:rPr>
                <w:rFonts w:ascii="Times New Roman" w:hAnsi="Times New Roman"/>
                <w:noProof/>
                <w:lang w:val="fr-FR"/>
              </w:rPr>
              <w:t xml:space="preserve"> des denrées alimentaires transformées, incluant la fixation de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teneurs maximales pour certains nutriments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 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Instauration de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profils nutritionnels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pour limiter la promotion de denrées alimentaires riches en sel, en sucres et/ou en matières grasses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 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de la législation de l’UE relative aux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matériaux destinés à entrer en contact avec des denrées alimentaires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afin d’améliorer la sécurité des denrées alimentaires, de protéger la santé des citoyens et de réduire l’empreinte environnementale du secteur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 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des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normes de commercialisation de l’UE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pour les produits agricoles, de la pêche et de l’aquaculture afin de garantir l’adoption et l’offre de produits durables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2021-2022 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Renforcement de la coordination afin de faire respecter les règles du marché unique et de lutter contre la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fraude alimentaire</w:t>
            </w:r>
            <w:r>
              <w:rPr>
                <w:rFonts w:ascii="Times New Roman" w:hAnsi="Times New Roman"/>
                <w:noProof/>
                <w:lang w:val="fr-FR"/>
              </w:rPr>
              <w:t>, y compris en envisageant un recours accru aux capacités d’enquête de l’OLAF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2021-2022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rPr>
                <w:rFonts w:ascii="Times New Roman" w:hAnsi="Times New Roman" w:cs="Times New Roman"/>
                <w:b/>
                <w:noProof/>
                <w:lang w:val="fr-FR"/>
              </w:rPr>
            </w:pPr>
            <w:r>
              <w:rPr>
                <w:rFonts w:ascii="Times New Roman" w:hAnsi="Times New Roman"/>
                <w:b/>
                <w:noProof/>
                <w:lang w:val="fr-FR"/>
              </w:rPr>
              <w:t>Promouvoir une consommation alimentaire durable en facilitant l’adoption de régimes alimentaires sains et durables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d’étiquetage nutritionnel obligatoire harmonisé sur la face avant des emballages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afin de permettre aux consommateurs de faire des choix alimentaires en tenant compte du critère «santé»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visant à exiger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l’indication de l’origine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pour certains produits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Détermination des meilleures modalités de fixation des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critères obligatoires minimaux applicables à l’approvisionnement en denrées alimentaires durables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afin de promouvoir des régimes alimentaires sains et durables incluant des produits biologiques dans les écoles et les institutions publiques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T3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2021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d’un cadre pour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l’étiquetage des denrées alimentaires durables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afin de donner aux consommateurs les moyens de faire des choix alimentaires durables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2024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Révision du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programme de promotion de l’UE</w:t>
            </w:r>
            <w:r>
              <w:rPr>
                <w:rFonts w:ascii="Times New Roman" w:hAnsi="Times New Roman"/>
                <w:noProof/>
                <w:lang w:val="fr-FR"/>
              </w:rPr>
              <w:t xml:space="preserve"> en faveur des produits agricoles et alimentaires en vue de renforcer sa contribution à la production et à la consommation durables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2020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Révision du cadre juridique du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programme de l’UE à destination des écoles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en vue de le recentrer sur des denrées alimentaires saines et durables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</w:t>
            </w:r>
          </w:p>
        </w:tc>
        <w:tc>
          <w:tcPr>
            <w:tcW w:w="648" w:type="dxa"/>
            <w:tcBorders>
              <w:bottom w:val="single" w:sz="4" w:space="0" w:color="auto"/>
            </w:tcBorders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tcBorders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9288" w:type="dxa"/>
            <w:gridSpan w:val="3"/>
            <w:shd w:val="clear" w:color="auto" w:fill="808080" w:themeFill="background1" w:themeFillShade="80"/>
          </w:tcPr>
          <w:p>
            <w:pPr>
              <w:jc w:val="center"/>
              <w:rPr>
                <w:rFonts w:ascii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b/>
                <w:noProof/>
                <w:lang w:val="fr-FR"/>
              </w:rPr>
              <w:t>Réduire les pertes et le gaspillage alimentaires</w:t>
            </w: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 xml:space="preserve">d’objectifs de réduction du gaspillage alimentaire à l’échelle de l’UE </w:t>
            </w:r>
            <w:r>
              <w:rPr>
                <w:rFonts w:ascii="Times New Roman" w:hAnsi="Times New Roman"/>
                <w:noProof/>
                <w:lang w:val="fr-FR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2023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noProof/>
                <w:lang w:val="fr-FR"/>
              </w:rPr>
            </w:pPr>
            <w:r>
              <w:rPr>
                <w:rFonts w:ascii="Times New Roman" w:hAnsi="Times New Roman"/>
                <w:noProof/>
                <w:lang w:val="fr-FR"/>
              </w:rPr>
              <w:t xml:space="preserve">Proposition de révision des règles de l’UE relatives à la </w:t>
            </w:r>
            <w:r>
              <w:rPr>
                <w:rFonts w:ascii="Times New Roman" w:hAnsi="Times New Roman"/>
                <w:b/>
                <w:noProof/>
                <w:lang w:val="fr-FR"/>
              </w:rPr>
              <w:t>mention de dates</w:t>
            </w:r>
            <w:r>
              <w:rPr>
                <w:rFonts w:ascii="Times New Roman" w:hAnsi="Times New Roman"/>
                <w:noProof/>
                <w:lang w:val="fr-FR"/>
              </w:rPr>
              <w:t xml:space="preserve"> (dates «à consommer jusqu’au» et «à consommer de préférence avant le») 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T4</w:t>
            </w:r>
          </w:p>
          <w:p>
            <w:pPr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2022</w:t>
            </w:r>
          </w:p>
        </w:tc>
        <w:tc>
          <w:tcPr>
            <w:tcW w:w="648" w:type="dxa"/>
          </w:tcPr>
          <w:p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</w:tbl>
    <w:p>
      <w:pPr>
        <w:rPr>
          <w:noProof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sectPr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  <w:endnote w:type="continuationNotice" w:id="1">
    <w:p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type="continuationNotice" w:id="1">
    <w:p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3F66"/>
    <w:multiLevelType w:val="hybridMultilevel"/>
    <w:tmpl w:val="9F4A706C"/>
    <w:lvl w:ilvl="0" w:tplc="99724D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76D6E"/>
    <w:multiLevelType w:val="multilevel"/>
    <w:tmpl w:val="ADDA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E377F"/>
    <w:multiLevelType w:val="hybridMultilevel"/>
    <w:tmpl w:val="F3549252"/>
    <w:lvl w:ilvl="0" w:tplc="90CEADFC">
      <w:start w:val="20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0C391B"/>
    <w:multiLevelType w:val="hybridMultilevel"/>
    <w:tmpl w:val="E928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A1A65"/>
    <w:multiLevelType w:val="hybridMultilevel"/>
    <w:tmpl w:val="7CC4CB24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03DCD"/>
    <w:multiLevelType w:val="hybridMultilevel"/>
    <w:tmpl w:val="8AE0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A66FCE"/>
    <w:multiLevelType w:val="hybridMultilevel"/>
    <w:tmpl w:val="83A6D9F0"/>
    <w:lvl w:ilvl="0" w:tplc="B79A14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9600A"/>
    <w:multiLevelType w:val="hybridMultilevel"/>
    <w:tmpl w:val="9AA8CD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149D9"/>
    <w:multiLevelType w:val="hybridMultilevel"/>
    <w:tmpl w:val="C4C8D470"/>
    <w:lvl w:ilvl="0" w:tplc="3432C7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3F707C"/>
    <w:multiLevelType w:val="hybridMultilevel"/>
    <w:tmpl w:val="4476DD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032FE"/>
    <w:multiLevelType w:val="hybridMultilevel"/>
    <w:tmpl w:val="D02CA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880712"/>
    <w:multiLevelType w:val="hybridMultilevel"/>
    <w:tmpl w:val="D2709E76"/>
    <w:lvl w:ilvl="0" w:tplc="0C0EE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D13FB0"/>
    <w:multiLevelType w:val="hybridMultilevel"/>
    <w:tmpl w:val="48F68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46035"/>
    <w:multiLevelType w:val="hybridMultilevel"/>
    <w:tmpl w:val="FF4ED90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96052E"/>
    <w:multiLevelType w:val="hybridMultilevel"/>
    <w:tmpl w:val="02A61C7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5A6281"/>
    <w:multiLevelType w:val="hybridMultilevel"/>
    <w:tmpl w:val="5A6C4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5816D3"/>
    <w:multiLevelType w:val="hybridMultilevel"/>
    <w:tmpl w:val="B7221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DF2718"/>
    <w:multiLevelType w:val="hybridMultilevel"/>
    <w:tmpl w:val="D4AA33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58342BC"/>
    <w:multiLevelType w:val="hybridMultilevel"/>
    <w:tmpl w:val="553C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E3538"/>
    <w:multiLevelType w:val="hybridMultilevel"/>
    <w:tmpl w:val="73BEDAE0"/>
    <w:lvl w:ilvl="0" w:tplc="8870C6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A07EFC"/>
    <w:multiLevelType w:val="hybridMultilevel"/>
    <w:tmpl w:val="B6A0BEAC"/>
    <w:lvl w:ilvl="0" w:tplc="4056AC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823644"/>
    <w:multiLevelType w:val="hybridMultilevel"/>
    <w:tmpl w:val="408EF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C4126E"/>
    <w:multiLevelType w:val="hybridMultilevel"/>
    <w:tmpl w:val="76A062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774537"/>
    <w:multiLevelType w:val="hybridMultilevel"/>
    <w:tmpl w:val="468CE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695B1E"/>
    <w:multiLevelType w:val="hybridMultilevel"/>
    <w:tmpl w:val="C2582C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F41252B"/>
    <w:multiLevelType w:val="hybridMultilevel"/>
    <w:tmpl w:val="4EB8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2"/>
  </w:num>
  <w:num w:numId="4">
    <w:abstractNumId w:val="18"/>
  </w:num>
  <w:num w:numId="5">
    <w:abstractNumId w:val="15"/>
  </w:num>
  <w:num w:numId="6">
    <w:abstractNumId w:val="25"/>
  </w:num>
  <w:num w:numId="7">
    <w:abstractNumId w:val="16"/>
  </w:num>
  <w:num w:numId="8">
    <w:abstractNumId w:val="21"/>
  </w:num>
  <w:num w:numId="9">
    <w:abstractNumId w:val="3"/>
  </w:num>
  <w:num w:numId="10">
    <w:abstractNumId w:val="10"/>
  </w:num>
  <w:num w:numId="11">
    <w:abstractNumId w:val="23"/>
  </w:num>
  <w:num w:numId="12">
    <w:abstractNumId w:val="2"/>
  </w:num>
  <w:num w:numId="13">
    <w:abstractNumId w:val="17"/>
  </w:num>
  <w:num w:numId="14">
    <w:abstractNumId w:val="13"/>
  </w:num>
  <w:num w:numId="15">
    <w:abstractNumId w:val="9"/>
  </w:num>
  <w:num w:numId="16">
    <w:abstractNumId w:val="4"/>
  </w:num>
  <w:num w:numId="17">
    <w:abstractNumId w:val="7"/>
  </w:num>
  <w:num w:numId="18">
    <w:abstractNumId w:val="11"/>
  </w:num>
  <w:num w:numId="19">
    <w:abstractNumId w:val="22"/>
  </w:num>
  <w:num w:numId="20">
    <w:abstractNumId w:val="24"/>
  </w:num>
  <w:num w:numId="21">
    <w:abstractNumId w:val="6"/>
  </w:num>
  <w:num w:numId="22">
    <w:abstractNumId w:val="20"/>
  </w:num>
  <w:num w:numId="23">
    <w:abstractNumId w:val="2"/>
  </w:num>
  <w:num w:numId="24">
    <w:abstractNumId w:val="2"/>
  </w:num>
  <w:num w:numId="25">
    <w:abstractNumId w:val="19"/>
  </w:num>
  <w:num w:numId="26">
    <w:abstractNumId w:val="8"/>
  </w:num>
  <w:num w:numId="27">
    <w:abstractNumId w:val="14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removeDateAndTime/>
  <w:hideSpellingErrors/>
  <w:hideGrammaticalErrors/>
  <w:revisionView w:markup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AC39169-5E20-440D-9A96-F5DE22F67740"/>
    <w:docVar w:name="LW_COVERPAGE_TYPE" w:val="1"/>
    <w:docVar w:name="LW_CROSSREFERENCE" w:val="&lt;UNUSED&gt;"/>
    <w:docVar w:name="LW_DocType" w:val="NORMAL"/>
    <w:docVar w:name="LW_EMISSION" w:val="20.5.2020"/>
    <w:docVar w:name="LW_EMISSION_ISODATE" w:val="2020-05-20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.CP" w:val="_x000d__x000d_&lt;FMT:Bold&gt;Une stratégie de la ferme à la table &lt;/FMT&gt;_x000b_&lt;FMT:Bold&gt;pour un système alimentaire équitable, sain et respectueux de l\u8217?environnement&lt;/FMT&gt;_x000d__x000d__x000d__x000d__x000d__x000b__x000d__x000d__x000d__x000d__x000d__x000d__x000d__x000d__x000d__x000d__x000d__x000d__x000d__x000d__x000d__x000d__x000d__x000b__x000d__x000d__x000d__x000d__x000d__x000d__x000d__x000d__x000d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3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E_x000b_"/>
    <w:docVar w:name="LW_TYPEACTEPRINCIPAL.CP" w:val="COMMUNICATION DE LA COMMISSION AU PARLEMENT EUROPÉEN, AU CONSEIL, AU COMITÉ ÉCONOMIQUE ET SOCIAL EUROPÉEN ET AU COMITÉ DES RÉGIONS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 w:cs="Calibri"/>
      <w:lang w:eastAsia="en-GB"/>
    </w:rPr>
  </w:style>
  <w:style w:type="paragraph" w:customStyle="1" w:styleId="Text2">
    <w:name w:val="Text 2"/>
    <w:basedOn w:val="Normal"/>
    <w:uiPriority w:val="90"/>
    <w:qFormat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rFonts w:ascii="Times New Roman" w:hAnsi="Times New Roman" w:cs="Times New Roman" w:hint="default"/>
      <w:color w:val="0000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 w:line="240" w:lineRule="auto"/>
      <w:ind w:left="113" w:right="113"/>
      <w:jc w:val="center"/>
    </w:pPr>
    <w:rPr>
      <w:rFonts w:ascii="Times New Roman" w:hAnsi="Times New Roman" w:cs="Times New Roman"/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paragraph" w:customStyle="1" w:styleId="HeaderSensitivityRight">
    <w:name w:val="Header Sensitivity Right"/>
    <w:basedOn w:val="Normal"/>
    <w:link w:val="HeaderSensitivityRightChar"/>
    <w:pPr>
      <w:spacing w:after="120" w:line="240" w:lineRule="auto"/>
      <w:jc w:val="right"/>
    </w:pPr>
    <w:rPr>
      <w:rFonts w:ascii="Times New Roman" w:hAnsi="Times New Roman" w:cs="Times New Roman"/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hAnsi="Times New Roman" w:cs="Times New Roman"/>
      <w:sz w:val="28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alibri" w:hAnsi="Calibri" w:cs="Calibri"/>
      <w:lang w:eastAsia="en-GB"/>
    </w:rPr>
  </w:style>
  <w:style w:type="paragraph" w:customStyle="1" w:styleId="Text2">
    <w:name w:val="Text 2"/>
    <w:basedOn w:val="Normal"/>
    <w:uiPriority w:val="90"/>
    <w:qFormat/>
    <w:pPr>
      <w:spacing w:after="240" w:line="240" w:lineRule="auto"/>
      <w:ind w:left="1077"/>
      <w:jc w:val="both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SecurityMarking">
    <w:name w:val="SecurityMarking"/>
    <w:basedOn w:val="Normal"/>
    <w:pPr>
      <w:spacing w:after="0"/>
      <w:ind w:left="5103"/>
    </w:pPr>
    <w:rPr>
      <w:rFonts w:ascii="Times New Roman" w:hAnsi="Times New Roman" w:cs="Times New Roman"/>
      <w:sz w:val="28"/>
    </w:rPr>
  </w:style>
  <w:style w:type="paragraph" w:customStyle="1" w:styleId="DateMarking">
    <w:name w:val="DateMarking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  <w:style w:type="paragraph" w:customStyle="1" w:styleId="ReleasableTo">
    <w:name w:val="ReleasableTo"/>
    <w:basedOn w:val="Normal"/>
    <w:pPr>
      <w:spacing w:after="0"/>
      <w:ind w:left="5103"/>
    </w:pPr>
    <w:rPr>
      <w:rFonts w:ascii="Times New Roman" w:hAnsi="Times New Roman" w:cs="Times New Roman"/>
      <w:i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CF3A6540470B74091B363CB4440CF55" ma:contentTypeVersion="0" ma:contentTypeDescription="Fill out this form." ma:contentTypeScope="" ma:versionID="93379f338ad7085f2c74f7983e62fc3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6a8b20833a27003677552a1e403111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3536E2-94C6-4E37-866B-72C54AB7B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71B4E7-598F-416D-B4A3-94CC9C65D4A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A2C6DE-4935-4E98-AAC0-295DD6260C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F2B77C-5F80-421B-A30D-DAF86E9E6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864</Words>
  <Characters>4874</Characters>
  <Application>Microsoft Office Word</Application>
  <DocSecurity>0</DocSecurity>
  <Lines>174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GASSIN Anne-Laure (SANTE)</dc:creator>
  <cp:lastModifiedBy>WES PDFC Administrator</cp:lastModifiedBy>
  <cp:revision>9</cp:revision>
  <dcterms:created xsi:type="dcterms:W3CDTF">2020-05-19T16:43:00Z</dcterms:created>
  <dcterms:modified xsi:type="dcterms:W3CDTF">2020-05-19T19:36:00Z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Last edited using">
    <vt:lpwstr>LW 7.0, Build 20190717</vt:lpwstr>
  </property>
  <property fmtid="{D5CDD505-2E9C-101B-9397-08002B2CF9AE}" pid="4" name="First annex">
    <vt:lpwstr>1</vt:lpwstr>
  </property>
  <property fmtid="{D5CDD505-2E9C-101B-9397-08002B2CF9AE}" pid="5" name="Last annex">
    <vt:lpwstr>1</vt:lpwstr>
  </property>
  <property fmtid="{D5CDD505-2E9C-101B-9397-08002B2CF9AE}" pid="6" name="Unique annex">
    <vt:lpwstr>1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DocStatus">
    <vt:lpwstr>Green</vt:lpwstr>
  </property>
  <property fmtid="{D5CDD505-2E9C-101B-9397-08002B2CF9AE}" pid="10" name="CPTemplateID">
    <vt:lpwstr>CP-039</vt:lpwstr>
  </property>
  <property fmtid="{D5CDD505-2E9C-101B-9397-08002B2CF9AE}" pid="11" name="_LW_INVALIDATED__LW_INVALIDATED__LW_INVALIDATED__LW_INVALIDATED__LW_INVALIDATED__LW_INVALIDATED__LW_INVALIDATED__LW_INVALIDATED__LW_INVALIDATED__LW_INVALIDATED__LW_INVALIDATED__LW_INVALIDATED__LW_INVALIDATED_ContentTypeId">
    <vt:lpwstr>0x01010100ACF3A6540470B74091B363CB4440CF55</vt:lpwstr>
  </property>
</Properties>
</file>