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4CB3C7E6-E110-42F6-9F4F-BBB268A26A1C" style="width:451pt;height:462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w:t xml:space="preserve">СТРАТЕГИЯТА „ОТ ФЕРМАТА ДО ТРАПЕЗАТА“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ПРОЕКТ НА ПЛАН ЗА ДЕЙСТВИЕ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hAnsi="Times New Roman"/>
          <w:i/>
          <w:noProof/>
        </w:rPr>
        <w:t>Мерките, представени в настоящия план за действие, ще трябва да бъдат изпълнени в съответствие с принципите за по-добро законотворчество, включително — по целесъобразност — преценка и оценка на въздействието.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3"/>
        <w:gridCol w:w="1299"/>
        <w:gridCol w:w="636"/>
      </w:tblGrid>
      <w:tr>
        <w:tc>
          <w:tcPr>
            <w:tcW w:w="7668" w:type="dxa"/>
            <w:shd w:val="clear" w:color="auto" w:fill="808080" w:themeFill="background1" w:themeFillShade="80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ДЕЙСТВИЯ</w:t>
            </w:r>
          </w:p>
        </w:tc>
        <w:tc>
          <w:tcPr>
            <w:tcW w:w="972" w:type="dxa"/>
            <w:shd w:val="clear" w:color="auto" w:fill="808080" w:themeFill="background1" w:themeFillShade="80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Примерен график</w:t>
            </w:r>
          </w:p>
        </w:tc>
        <w:tc>
          <w:tcPr>
            <w:tcW w:w="648" w:type="dxa"/>
            <w:shd w:val="clear" w:color="auto" w:fill="808080" w:themeFill="background1" w:themeFillShade="80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№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 xml:space="preserve">Предложение за </w:t>
            </w:r>
            <w:r>
              <w:rPr>
                <w:rFonts w:ascii="Times New Roman" w:hAnsi="Times New Roman"/>
                <w:b/>
                <w:bCs/>
                <w:noProof/>
              </w:rPr>
              <w:t xml:space="preserve">законодателна уредба относно устойчиви продоволствени системи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2023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Разработване </w:t>
            </w:r>
            <w:r>
              <w:rPr>
                <w:rFonts w:ascii="Times New Roman" w:hAnsi="Times New Roman"/>
                <w:b/>
                <w:noProof/>
              </w:rPr>
              <w:t>на план за действие при извънредни ситуации за гарантиране на доставките на храни и продоволствената сигурност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Четвъртото тримесечие на 2021 г.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top w:val="single" w:sz="4" w:space="0" w:color="auto"/>
            </w:tcBorders>
            <w:shd w:val="clear" w:color="auto" w:fill="808080" w:themeFill="background1" w:themeFillShade="80"/>
          </w:tcPr>
          <w:p>
            <w:pPr>
              <w:tabs>
                <w:tab w:val="left" w:pos="2802"/>
                <w:tab w:val="center" w:pos="4536"/>
              </w:tabs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Осигуряване на устойчиво производство на храни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Приемане на препоръки към всяка държава членка, насочени към деветте конкретни цели по </w:t>
            </w:r>
            <w:r>
              <w:rPr>
                <w:rFonts w:ascii="Times New Roman" w:hAnsi="Times New Roman"/>
                <w:b/>
                <w:noProof/>
              </w:rPr>
              <w:t>общата селскостопанска политика (ОСП)</w:t>
            </w:r>
            <w:r>
              <w:rPr>
                <w:rFonts w:ascii="Times New Roman" w:hAnsi="Times New Roman"/>
                <w:noProof/>
              </w:rPr>
              <w:t>, преди проектите за стратегическите планове по ОСП да бъдат официално представени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преразглеждане на Директивата за устойчивата употреба на пестициди, с цел значително </w:t>
            </w:r>
            <w:r>
              <w:rPr>
                <w:rFonts w:ascii="Times New Roman" w:hAnsi="Times New Roman"/>
                <w:b/>
                <w:noProof/>
              </w:rPr>
              <w:t xml:space="preserve">ограничаване на употребата, риска и зависимостта от пестициди </w:t>
            </w:r>
            <w:r>
              <w:rPr>
                <w:rFonts w:ascii="Times New Roman" w:hAnsi="Times New Roman"/>
                <w:noProof/>
              </w:rPr>
              <w:t xml:space="preserve">и подобряване на интегрираното управление на вредителите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Първото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Преразглеждане на съответните регламенти за изпълнение съгласно уредбата относно продуктите за растителна защита, с цел улесняване на пускането на пазара на </w:t>
            </w:r>
            <w:r>
              <w:rPr>
                <w:rFonts w:ascii="Times New Roman" w:hAnsi="Times New Roman"/>
                <w:b/>
                <w:noProof/>
              </w:rPr>
              <w:t xml:space="preserve">продукти за растителна защита, съдържащи биологично активни вещества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преразглеждане на </w:t>
            </w:r>
            <w:r>
              <w:rPr>
                <w:rFonts w:ascii="Times New Roman" w:hAnsi="Times New Roman"/>
                <w:b/>
                <w:noProof/>
              </w:rPr>
              <w:t>регламента относно статистиката за пестицидите</w:t>
            </w:r>
            <w:r>
              <w:rPr>
                <w:rFonts w:ascii="Times New Roman" w:hAnsi="Times New Roman"/>
                <w:noProof/>
              </w:rPr>
              <w:t xml:space="preserve"> с цел преодоляване на пропуските в данните и подкрепа на основано на факти разработване на политики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2023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Оценка и преразглеждане на съществуващото законодателство в областта на </w:t>
            </w:r>
            <w:r>
              <w:rPr>
                <w:rFonts w:ascii="Times New Roman" w:hAnsi="Times New Roman"/>
                <w:b/>
                <w:noProof/>
              </w:rPr>
              <w:t>хуманното отношение към животните</w:t>
            </w:r>
            <w:r>
              <w:rPr>
                <w:rFonts w:ascii="Times New Roman" w:hAnsi="Times New Roman"/>
                <w:noProof/>
              </w:rPr>
              <w:t>, включително за транспортирането и клането на животни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2023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преразглеждане на </w:t>
            </w:r>
            <w:r>
              <w:rPr>
                <w:rFonts w:ascii="Times New Roman" w:hAnsi="Times New Roman"/>
                <w:b/>
                <w:noProof/>
              </w:rPr>
              <w:t>регламента относно фуражните добавки</w:t>
            </w:r>
            <w:r>
              <w:rPr>
                <w:rFonts w:ascii="Times New Roman" w:hAnsi="Times New Roman"/>
                <w:noProof/>
              </w:rPr>
              <w:t xml:space="preserve"> с цел намаляване на въздействието на животновъдството върху околната среда</w:t>
            </w:r>
            <w:r>
              <w:rPr>
                <w:rFonts w:ascii="Times New Roman" w:hAnsi="Times New Roman"/>
                <w:bCs/>
                <w:noProof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преразглеждане на регламента относно системата за земеделска счетоводна информация с цел превръщането ѝ </w:t>
            </w:r>
            <w:r>
              <w:rPr>
                <w:rFonts w:ascii="Times New Roman" w:hAnsi="Times New Roman"/>
                <w:b/>
                <w:noProof/>
              </w:rPr>
              <w:t>в мрежа за данни за устойчивостта на земеделските стопанства</w:t>
            </w:r>
            <w:r>
              <w:rPr>
                <w:rFonts w:ascii="Times New Roman" w:hAnsi="Times New Roman"/>
                <w:noProof/>
              </w:rPr>
              <w:t>, за да се допринесе за по-широко използване на устойчиви селскостопански практики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Второто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Изясняване на обхвата на </w:t>
            </w:r>
            <w:r>
              <w:rPr>
                <w:rFonts w:ascii="Times New Roman" w:hAnsi="Times New Roman"/>
                <w:b/>
                <w:noProof/>
              </w:rPr>
              <w:t>правилата за конкуренцията</w:t>
            </w:r>
            <w:r>
              <w:rPr>
                <w:rFonts w:ascii="Times New Roman" w:hAnsi="Times New Roman"/>
                <w:noProof/>
              </w:rPr>
              <w:t xml:space="preserve"> в ДФЕС по отношение на устойчивостта на колективните дейности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Третото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Законодателни инициативи за активизиране на сътрудничеството на първичните производители </w:t>
            </w:r>
            <w:r>
              <w:rPr>
                <w:rFonts w:ascii="Times New Roman" w:hAnsi="Times New Roman"/>
                <w:b/>
                <w:bCs/>
                <w:noProof/>
              </w:rPr>
              <w:t xml:space="preserve">в подкрепа на тяхната позиция в продоволствената верига и </w:t>
            </w:r>
            <w:r>
              <w:rPr>
                <w:rFonts w:ascii="Times New Roman" w:hAnsi="Times New Roman"/>
                <w:noProof/>
              </w:rPr>
              <w:t xml:space="preserve">незаконодателни инициативи </w:t>
            </w:r>
            <w:r>
              <w:rPr>
                <w:rFonts w:ascii="Times New Roman" w:hAnsi="Times New Roman"/>
                <w:b/>
                <w:bCs/>
                <w:noProof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noProof/>
              </w:rPr>
              <w:lastRenderedPageBreak/>
              <w:t>подобряване на прозрачността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2021—2022 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Инициатива на ЕС за улавяне на въглероден диоксид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Третото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Насърчаване на устойчиви практики при преработката на храни, търговията на едро, търговията на дребно, хотелиерството и услугите в сектора на храненето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Инициатива за подобряване на </w:t>
            </w:r>
            <w:r>
              <w:rPr>
                <w:rFonts w:ascii="Times New Roman" w:hAnsi="Times New Roman"/>
                <w:b/>
                <w:bCs/>
                <w:noProof/>
              </w:rPr>
              <w:t>рамката за корпоративно управление</w:t>
            </w:r>
            <w:r>
              <w:rPr>
                <w:rFonts w:ascii="Times New Roman" w:hAnsi="Times New Roman"/>
                <w:noProof/>
              </w:rPr>
              <w:t xml:space="preserve">, включително изискване хранително-вкусовата промишленост да интегрира въпроса за устойчивостта в корпоративните си стратегии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Първото тримесечие на 2021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Разработване на кодекс на ЕС и рамка за наблюдение за </w:t>
            </w:r>
            <w:r>
              <w:rPr>
                <w:rFonts w:ascii="Times New Roman" w:hAnsi="Times New Roman"/>
                <w:b/>
                <w:noProof/>
              </w:rPr>
              <w:t>отговорно стопанско и маркетингово поведение</w:t>
            </w:r>
            <w:r>
              <w:rPr>
                <w:rFonts w:ascii="Times New Roman" w:hAnsi="Times New Roman"/>
                <w:noProof/>
              </w:rPr>
              <w:t xml:space="preserve"> във веригата за доставки на храни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Второто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Стартиране на инициативи за насърчаване на </w:t>
            </w:r>
            <w:r>
              <w:rPr>
                <w:rFonts w:ascii="Times New Roman" w:hAnsi="Times New Roman"/>
                <w:b/>
                <w:noProof/>
              </w:rPr>
              <w:t>промяната на състава</w:t>
            </w:r>
            <w:r>
              <w:rPr>
                <w:rFonts w:ascii="Times New Roman" w:hAnsi="Times New Roman"/>
                <w:noProof/>
              </w:rPr>
              <w:t xml:space="preserve"> на преработените храни, включително </w:t>
            </w:r>
            <w:r>
              <w:rPr>
                <w:rFonts w:ascii="Times New Roman" w:hAnsi="Times New Roman"/>
                <w:b/>
                <w:noProof/>
              </w:rPr>
              <w:t>определяне на максимални допустими количества за някои хранителни вещества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 2021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Определяне на </w:t>
            </w:r>
            <w:r>
              <w:rPr>
                <w:rFonts w:ascii="Times New Roman" w:hAnsi="Times New Roman"/>
                <w:b/>
                <w:noProof/>
              </w:rPr>
              <w:t xml:space="preserve">профили на хранителните съставки </w:t>
            </w:r>
            <w:r>
              <w:rPr>
                <w:rFonts w:ascii="Times New Roman" w:hAnsi="Times New Roman"/>
                <w:noProof/>
              </w:rPr>
              <w:t>с цел ограничаване на популяризирането на храни с високо съдържание на сол, захари и/или мазнини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 2022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преразглеждане на законодателството на ЕС относно </w:t>
            </w:r>
            <w:r>
              <w:rPr>
                <w:rFonts w:ascii="Times New Roman" w:hAnsi="Times New Roman"/>
                <w:b/>
                <w:noProof/>
              </w:rPr>
              <w:t>материалите, предназначени за контакт с храни</w:t>
            </w:r>
            <w:r>
              <w:rPr>
                <w:rFonts w:ascii="Times New Roman" w:hAnsi="Times New Roman"/>
                <w:noProof/>
              </w:rPr>
              <w:t>, за да се подобри безопасността на храните, да се гарантира здравето на гражданите и да се намали отпечатъкът, който оставя секторът върху околната среда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 2022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преразглеждане на </w:t>
            </w:r>
            <w:r>
              <w:rPr>
                <w:rFonts w:ascii="Times New Roman" w:hAnsi="Times New Roman"/>
                <w:b/>
                <w:noProof/>
              </w:rPr>
              <w:t>пазарните стандарти на ЕС</w:t>
            </w:r>
            <w:r>
              <w:rPr>
                <w:rFonts w:ascii="Times New Roman" w:hAnsi="Times New Roman"/>
                <w:noProof/>
              </w:rPr>
              <w:t xml:space="preserve"> за селскостопански продукти и за продукти от риболов и аквакултури, за да се гарантира навлизането и предлагането на устойчиви продукти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2021—2022 г. 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Подобряване на координацията за укрепване на правилата на единния пазар и за справяне с </w:t>
            </w:r>
            <w:r>
              <w:rPr>
                <w:rFonts w:ascii="Times New Roman" w:hAnsi="Times New Roman"/>
                <w:b/>
                <w:noProof/>
              </w:rPr>
              <w:t>измамите с храни</w:t>
            </w:r>
            <w:r>
              <w:rPr>
                <w:rFonts w:ascii="Times New Roman" w:hAnsi="Times New Roman"/>
                <w:noProof/>
              </w:rPr>
              <w:t>, включително чрез обмисляне на възможността за засилено използване на капацитета за разследване на Европейската служба за борба с измамите (OLAF)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2021—2022 г.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Насърчаване на устойчивото потребление на храни и улесняване на прехода към здравословен и устойчив начин на хранене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</w:t>
            </w:r>
            <w:r>
              <w:rPr>
                <w:rFonts w:ascii="Times New Roman" w:hAnsi="Times New Roman"/>
                <w:b/>
                <w:noProof/>
              </w:rPr>
              <w:t>хармонизирано задължително етикетиране за хранителната стойност върху лицевата страна на опаковката</w:t>
            </w:r>
            <w:r>
              <w:rPr>
                <w:rFonts w:ascii="Times New Roman" w:hAnsi="Times New Roman"/>
                <w:noProof/>
              </w:rPr>
              <w:t>, за да се даде възможност на потребителите да правят осъзнат избор на здравословни храни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изискване за </w:t>
            </w:r>
            <w:r>
              <w:rPr>
                <w:rFonts w:ascii="Times New Roman" w:hAnsi="Times New Roman"/>
                <w:b/>
                <w:noProof/>
              </w:rPr>
              <w:t>посочване на произхода</w:t>
            </w:r>
            <w:r>
              <w:rPr>
                <w:rFonts w:ascii="Times New Roman" w:hAnsi="Times New Roman"/>
                <w:noProof/>
              </w:rPr>
              <w:t xml:space="preserve"> за определени продукти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Набелязване на най-добрите начини за определяне на </w:t>
            </w:r>
            <w:r>
              <w:rPr>
                <w:rFonts w:ascii="Times New Roman" w:hAnsi="Times New Roman"/>
                <w:b/>
                <w:noProof/>
              </w:rPr>
              <w:t>минимални задължителни критерии за обществени поръчки за храни, произведени по устойчив начин,</w:t>
            </w:r>
            <w:r>
              <w:rPr>
                <w:rFonts w:ascii="Times New Roman" w:hAnsi="Times New Roman"/>
                <w:noProof/>
              </w:rPr>
              <w:t xml:space="preserve"> с цел насърчаване на здравословен и устойчив начин на хранене, включително биологични продукти, в училищата и обществените институции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Третото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</w:t>
            </w:r>
            <w:r>
              <w:rPr>
                <w:rFonts w:ascii="Times New Roman" w:hAnsi="Times New Roman"/>
                <w:b/>
                <w:noProof/>
              </w:rPr>
              <w:t>уредба за етикетиране на храни, произведени по устойчив начин,</w:t>
            </w:r>
            <w:r>
              <w:rPr>
                <w:rFonts w:ascii="Times New Roman" w:hAnsi="Times New Roman"/>
                <w:noProof/>
              </w:rPr>
              <w:t xml:space="preserve"> с цел да се даде възможност на потребителите да да избират такива храни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2024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Преглед на </w:t>
            </w:r>
            <w:r>
              <w:rPr>
                <w:rFonts w:ascii="Times New Roman" w:hAnsi="Times New Roman"/>
                <w:b/>
                <w:noProof/>
              </w:rPr>
              <w:t>програмата на ЕС за насърчаване</w:t>
            </w:r>
            <w:r>
              <w:rPr>
                <w:rFonts w:ascii="Times New Roman" w:hAnsi="Times New Roman"/>
                <w:noProof/>
              </w:rPr>
              <w:t xml:space="preserve"> на селскостопански и хранителни продукти с цел увеличаване на нейния принос към устойчивото производство и потребление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Преглед на правната уредба за </w:t>
            </w:r>
            <w:r>
              <w:rPr>
                <w:rFonts w:ascii="Times New Roman" w:hAnsi="Times New Roman"/>
                <w:b/>
                <w:noProof/>
              </w:rPr>
              <w:t>схемата на ЕС за училищата</w:t>
            </w:r>
            <w:r>
              <w:rPr>
                <w:rFonts w:ascii="Times New Roman" w:hAnsi="Times New Roman"/>
                <w:noProof/>
              </w:rPr>
              <w:t xml:space="preserve"> с цел прехвърляне на акцента на схемата върху здравословни и произведени по устойчив начин храни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2023 г.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shd w:val="clear" w:color="auto" w:fill="808080" w:themeFill="background1" w:themeFillShade="80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Намаляване на загубата и разхищението на храни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</w:t>
            </w:r>
            <w:r>
              <w:rPr>
                <w:rFonts w:ascii="Times New Roman" w:hAnsi="Times New Roman"/>
                <w:b/>
                <w:noProof/>
              </w:rPr>
              <w:t xml:space="preserve">цели на равнище ЕС за намаляване на разхищението на храни 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2023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преразглеждане на правилата на ЕС относно </w:t>
            </w:r>
            <w:r>
              <w:rPr>
                <w:rFonts w:ascii="Times New Roman" w:hAnsi="Times New Roman"/>
                <w:b/>
                <w:noProof/>
              </w:rPr>
              <w:t>маркировката на срока</w:t>
            </w:r>
            <w:r>
              <w:rPr>
                <w:rFonts w:ascii="Times New Roman" w:hAnsi="Times New Roman"/>
                <w:noProof/>
              </w:rPr>
              <w:t xml:space="preserve"> („използвай преди“ и „най-добър до“)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Четвъртото тримесечие 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 г.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rPr>
          <w:noProof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BG</w:t>
    </w:r>
    <w:r>
      <w:tab/>
    </w:r>
    <w:r>
      <w:tab/>
    </w:r>
    <w:r>
      <w:tab/>
    </w:r>
    <w:r>
      <w:rPr>
        <w:rFonts w:ascii="Arial" w:hAnsi="Arial"/>
        <w:b/>
        <w:sz w:val="48"/>
      </w:rPr>
      <w:t>BG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F66"/>
    <w:multiLevelType w:val="hybridMultilevel"/>
    <w:tmpl w:val="9F4A706C"/>
    <w:lvl w:ilvl="0" w:tplc="99724D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76D6E"/>
    <w:multiLevelType w:val="multilevel"/>
    <w:tmpl w:val="ADD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E377F"/>
    <w:multiLevelType w:val="hybridMultilevel"/>
    <w:tmpl w:val="F3549252"/>
    <w:lvl w:ilvl="0" w:tplc="90CEADFC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C391B"/>
    <w:multiLevelType w:val="hybridMultilevel"/>
    <w:tmpl w:val="E928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A65"/>
    <w:multiLevelType w:val="hybridMultilevel"/>
    <w:tmpl w:val="7CC4CB2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03DCD"/>
    <w:multiLevelType w:val="hybridMultilevel"/>
    <w:tmpl w:val="8AE0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66FCE"/>
    <w:multiLevelType w:val="hybridMultilevel"/>
    <w:tmpl w:val="83A6D9F0"/>
    <w:lvl w:ilvl="0" w:tplc="B79A1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600A"/>
    <w:multiLevelType w:val="hybridMultilevel"/>
    <w:tmpl w:val="9AA8C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149D9"/>
    <w:multiLevelType w:val="hybridMultilevel"/>
    <w:tmpl w:val="C4C8D470"/>
    <w:lvl w:ilvl="0" w:tplc="3432C7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3F707C"/>
    <w:multiLevelType w:val="hybridMultilevel"/>
    <w:tmpl w:val="4476D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032FE"/>
    <w:multiLevelType w:val="hybridMultilevel"/>
    <w:tmpl w:val="D02C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80712"/>
    <w:multiLevelType w:val="hybridMultilevel"/>
    <w:tmpl w:val="D2709E76"/>
    <w:lvl w:ilvl="0" w:tplc="0C0EE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D13FB0"/>
    <w:multiLevelType w:val="hybridMultilevel"/>
    <w:tmpl w:val="48F6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46035"/>
    <w:multiLevelType w:val="hybridMultilevel"/>
    <w:tmpl w:val="FF4ED9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6052E"/>
    <w:multiLevelType w:val="hybridMultilevel"/>
    <w:tmpl w:val="02A61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A6281"/>
    <w:multiLevelType w:val="hybridMultilevel"/>
    <w:tmpl w:val="5A6C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816D3"/>
    <w:multiLevelType w:val="hybridMultilevel"/>
    <w:tmpl w:val="B722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F2718"/>
    <w:multiLevelType w:val="hybridMultilevel"/>
    <w:tmpl w:val="D4AA3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342BC"/>
    <w:multiLevelType w:val="hybridMultilevel"/>
    <w:tmpl w:val="553C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3538"/>
    <w:multiLevelType w:val="hybridMultilevel"/>
    <w:tmpl w:val="73BEDAE0"/>
    <w:lvl w:ilvl="0" w:tplc="8870C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07EFC"/>
    <w:multiLevelType w:val="hybridMultilevel"/>
    <w:tmpl w:val="B6A0BEAC"/>
    <w:lvl w:ilvl="0" w:tplc="4056A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23644"/>
    <w:multiLevelType w:val="hybridMultilevel"/>
    <w:tmpl w:val="408E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4126E"/>
    <w:multiLevelType w:val="hybridMultilevel"/>
    <w:tmpl w:val="76A06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74537"/>
    <w:multiLevelType w:val="hybridMultilevel"/>
    <w:tmpl w:val="468C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95B1E"/>
    <w:multiLevelType w:val="hybridMultilevel"/>
    <w:tmpl w:val="C2582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41252B"/>
    <w:multiLevelType w:val="hybridMultilevel"/>
    <w:tmpl w:val="4EB8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8"/>
  </w:num>
  <w:num w:numId="5">
    <w:abstractNumId w:val="15"/>
  </w:num>
  <w:num w:numId="6">
    <w:abstractNumId w:val="25"/>
  </w:num>
  <w:num w:numId="7">
    <w:abstractNumId w:val="16"/>
  </w:num>
  <w:num w:numId="8">
    <w:abstractNumId w:val="21"/>
  </w:num>
  <w:num w:numId="9">
    <w:abstractNumId w:val="3"/>
  </w:num>
  <w:num w:numId="10">
    <w:abstractNumId w:val="10"/>
  </w:num>
  <w:num w:numId="11">
    <w:abstractNumId w:val="23"/>
  </w:num>
  <w:num w:numId="12">
    <w:abstractNumId w:val="2"/>
  </w:num>
  <w:num w:numId="13">
    <w:abstractNumId w:val="17"/>
  </w:num>
  <w:num w:numId="14">
    <w:abstractNumId w:val="13"/>
  </w:num>
  <w:num w:numId="15">
    <w:abstractNumId w:val="9"/>
  </w:num>
  <w:num w:numId="16">
    <w:abstractNumId w:val="4"/>
  </w:num>
  <w:num w:numId="17">
    <w:abstractNumId w:val="7"/>
  </w:num>
  <w:num w:numId="18">
    <w:abstractNumId w:val="11"/>
  </w:num>
  <w:num w:numId="19">
    <w:abstractNumId w:val="22"/>
  </w:num>
  <w:num w:numId="20">
    <w:abstractNumId w:val="24"/>
  </w:num>
  <w:num w:numId="21">
    <w:abstractNumId w:val="6"/>
  </w:num>
  <w:num w:numId="22">
    <w:abstractNumId w:val="20"/>
  </w:num>
  <w:num w:numId="23">
    <w:abstractNumId w:val="2"/>
  </w:num>
  <w:num w:numId="24">
    <w:abstractNumId w:val="2"/>
  </w:num>
  <w:num w:numId="25">
    <w:abstractNumId w:val="19"/>
  </w:num>
  <w:num w:numId="26">
    <w:abstractNumId w:val="8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CB3C7E6-E110-42F6-9F4F-BBB268A26A1C"/>
    <w:docVar w:name="LW_COVERPAGE_TYPE" w:val="1"/>
    <w:docVar w:name="LW_CROSSREFERENCE" w:val="&lt;UNUSED&gt;"/>
    <w:docVar w:name="LW_DocType" w:val="NORMAL"/>
    <w:docVar w:name="LW_EMISSION" w:val="20.5.2020"/>
    <w:docVar w:name="LW_EMISSION_ISODATE" w:val="2020-05-2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Font=Calibri Cyr,Italic&gt;\u1057?\u1090?\u1088?\u1072?\u1090?\u1077?\u1075?\u1080?\u1103? \u8222?\u1054?\u1090? \u1092?\u1077?\u1088?\u1084?\u1072?\u1090?\u1072? \u1076?\u1086? \u1090?\u1088?\u1072?\u1087?\u1077?\u1079?\u1072?\u1090?\u1072?\u8220?&lt;/FMT&gt;_x000d__x000b_&lt;FMT:Font=Calibri Cyr,Italic&gt;\u1079?\u1072? \u1089?\u1087?\u1088?\u1072?\u1074?\u1077?\u1076?\u1083?\u1080?\u1074?\u1072?, \u1079?\u1076?\u1088?\u1072?\u1074?\u1086?\u1089?\u1083?\u1086?\u1074?\u1085?\u1072? \u1080? \u1077?\u1082?\u1086?\u1083?\u1086?\u1075?\u1086?\u1089?\u1098?\u1086?\u1073?\u1088?\u1072?\u1079?\u1085?\u1072? \u1087?\u1088?\u1086?\u1076?\u1086?\u1074?\u1086?\u1083?\u1089?\u1090?\u1074?\u1077?\u1085?\u1072? \u1089?\u1080?\u1089?\u1090?\u1077?\u1084?\u1072?&lt;/FMT&gt;_x000d__x000b__x000d__x000b__x000d__x000d__x000d__x000d__x000d__x000d__x000d__x000d__x000d__x000d__x000d__x000d__x000d__x000b__x000d__x000d__x000d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3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 w:cs="Calibri"/>
      <w:lang w:eastAsia="en-GB"/>
    </w:rPr>
  </w:style>
  <w:style w:type="paragraph" w:customStyle="1" w:styleId="Text2">
    <w:name w:val="Text 2"/>
    <w:basedOn w:val="Normal"/>
    <w:uiPriority w:val="90"/>
    <w:qFormat/>
    <w:pPr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 w:cs="Calibri"/>
      <w:lang w:eastAsia="en-GB"/>
    </w:rPr>
  </w:style>
  <w:style w:type="paragraph" w:customStyle="1" w:styleId="Text2">
    <w:name w:val="Text 2"/>
    <w:basedOn w:val="Normal"/>
    <w:uiPriority w:val="90"/>
    <w:qFormat/>
    <w:pPr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CF3A6540470B74091B363CB4440CF55" ma:contentTypeVersion="0" ma:contentTypeDescription="Fill out this form." ma:contentTypeScope="" ma:versionID="93379f338ad7085f2c74f7983e62fc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6a8b20833a27003677552a1e40311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A2C6DE-4935-4E98-AAC0-295DD6260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536E2-94C6-4E37-866B-72C54AB7B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1B4E7-598F-416D-B4A3-94CC9C65D4A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09C4E4-39F3-4F05-883D-29086C48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869</Words>
  <Characters>5106</Characters>
  <Application>Microsoft Office Word</Application>
  <DocSecurity>0</DocSecurity>
  <Lines>222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GASSIN Anne-Laure (SANTE)</dc:creator>
  <cp:lastModifiedBy>DIGIT/C6</cp:lastModifiedBy>
  <cp:revision>12</cp:revision>
  <dcterms:created xsi:type="dcterms:W3CDTF">2020-05-18T18:33:00Z</dcterms:created>
  <dcterms:modified xsi:type="dcterms:W3CDTF">2020-05-23T09:37:00Z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7.0, Build 20190717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DocStatus">
    <vt:lpwstr>Green</vt:lpwstr>
  </property>
  <property fmtid="{D5CDD505-2E9C-101B-9397-08002B2CF9AE}" pid="10" name="CPTemplateID">
    <vt:lpwstr>CP-039</vt:lpwstr>
  </property>
  <property fmtid="{D5CDD505-2E9C-101B-9397-08002B2CF9AE}" pid="11" name="_LW_INVALIDATED__LW_INVALIDATED__LW_INVALIDATED__LW_INVALIDATED__LW_INVALIDATED__LW_INVALIDATED__LW_INVALIDATED__LW_INVALIDATED__LW_INVALIDATED_ContentTypeId">
    <vt:lpwstr>0x01010100ACF3A6540470B74091B363CB4440CF55</vt:lpwstr>
  </property>
</Properties>
</file>