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7957BF3F-5806-486D-A872-04C9558751F6" style="width:450.5pt;height:397.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rPr>
          <w:noProof/>
        </w:rPr>
      </w:pPr>
      <w:r>
        <w:rPr>
          <w:noProof/>
        </w:rPr>
        <w:t>The Annex to Regulation (EU) 2019/1838 is amended as follows:</w:t>
      </w:r>
    </w:p>
    <w:p>
      <w:pPr>
        <w:ind w:left="720" w:hanging="720"/>
        <w:rPr>
          <w:noProof/>
        </w:rPr>
      </w:pPr>
      <w:r>
        <w:rPr>
          <w:noProof/>
        </w:rPr>
        <w:t>(1)</w:t>
      </w:r>
      <w:r>
        <w:rPr>
          <w:noProof/>
        </w:rPr>
        <w:tab/>
        <w:t>In the fishing opportunities table for cod in ICES subdivisions 25-32, footnote 2 is replaced by the following:</w:t>
      </w:r>
    </w:p>
    <w:p>
      <w:pPr>
        <w:ind w:left="720"/>
        <w:rPr>
          <w:noProof/>
        </w:rPr>
      </w:pPr>
      <w:r>
        <w:rPr>
          <w:noProof/>
        </w:rPr>
        <w:t>“</w:t>
      </w:r>
      <w:r>
        <w:rPr>
          <w:rFonts w:eastAsia="Times New Roman"/>
          <w:noProof/>
          <w:color w:val="000000"/>
          <w:sz w:val="18"/>
          <w:szCs w:val="18"/>
          <w:vertAlign w:val="superscript"/>
          <w:lang w:eastAsia="en-GB"/>
        </w:rPr>
        <w:t xml:space="preserve">(2) </w:t>
      </w:r>
      <w:r>
        <w:rPr>
          <w:noProof/>
        </w:rPr>
        <w:t>In subdivisions 25 and 26 it shall be prohibited to fish this quota from 1 May to 31 August.</w:t>
      </w:r>
    </w:p>
    <w:p>
      <w:pPr>
        <w:ind w:left="720"/>
        <w:rPr>
          <w:noProof/>
        </w:rPr>
      </w:pPr>
      <w:r>
        <w:rPr>
          <w:noProof/>
        </w:rPr>
        <w:t>By way of derogation from the first paragraph, fishing operations conducted for the exclusive purpose of scientific investigations may be undertaken provided that those investigations are carried out in full compliance with the conditions set out in Article 25 of Regulation (EU) 2019/1241.</w:t>
      </w:r>
    </w:p>
    <w:p>
      <w:pPr>
        <w:ind w:left="720"/>
        <w:rPr>
          <w:noProof/>
        </w:rPr>
      </w:pPr>
      <w:r>
        <w:rPr>
          <w:noProof/>
        </w:rPr>
        <w:t xml:space="preserve">By way of derogation from the first paragraph, that closure period shall not apply to Union fishing vessels of less than 12 metres in length overall that fish with gillnets, entangling nets or trammel nets, with bottom set lines, longlines, handlines and jigging equipment or other passive gear in areas where the water depth is less than 20 meters according to the coordinates on the official sea chart issued by the competent national authorities. Masters of those fishing vessels shall ensure that their fishing activity can be monitored at any time by the control authorities of the Member State.”; </w:t>
      </w:r>
    </w:p>
    <w:p>
      <w:pPr>
        <w:ind w:left="720" w:hanging="720"/>
        <w:rPr>
          <w:noProof/>
        </w:rPr>
      </w:pPr>
      <w:r>
        <w:rPr>
          <w:noProof/>
        </w:rPr>
        <w:t>(2)</w:t>
      </w:r>
      <w:r>
        <w:rPr>
          <w:noProof/>
        </w:rPr>
        <w:tab/>
        <w:t>In the fishing opportunities table for cod in ICES subdivisions 22-24, footnote 2 is replaced by the following:</w:t>
      </w:r>
    </w:p>
    <w:p>
      <w:pPr>
        <w:ind w:left="720"/>
        <w:rPr>
          <w:noProof/>
        </w:rPr>
      </w:pPr>
      <w:r>
        <w:rPr>
          <w:noProof/>
        </w:rPr>
        <w:t>“</w:t>
      </w:r>
      <w:r>
        <w:rPr>
          <w:rFonts w:eastAsia="Times New Roman"/>
          <w:noProof/>
          <w:color w:val="000000"/>
          <w:sz w:val="18"/>
          <w:szCs w:val="18"/>
          <w:vertAlign w:val="superscript"/>
          <w:lang w:eastAsia="en-GB"/>
        </w:rPr>
        <w:t xml:space="preserve">(2) </w:t>
      </w:r>
      <w:r>
        <w:rPr>
          <w:noProof/>
        </w:rPr>
        <w:t xml:space="preserve">It shall be prohibited to fish this quota in subdivisions 22 and 23 from 1 February to 31 March and in subdivision 24 from 1 June to 31 July. </w:t>
      </w:r>
    </w:p>
    <w:p>
      <w:pPr>
        <w:ind w:left="720"/>
        <w:rPr>
          <w:noProof/>
        </w:rPr>
      </w:pPr>
      <w:r>
        <w:rPr>
          <w:noProof/>
        </w:rPr>
        <w:t>By way of derogation from the first paragraph, fishing operations conducted for the exclusive purpose of scientific investigations may be undertaken provided that those investigations are carried out in full compliance with the conditions set out in Article 25 of Regulation (EU) 2019/1241.</w:t>
      </w:r>
    </w:p>
    <w:p>
      <w:pPr>
        <w:ind w:left="720"/>
        <w:rPr>
          <w:noProof/>
        </w:rPr>
      </w:pPr>
      <w:r>
        <w:rPr>
          <w:noProof/>
        </w:rPr>
        <w:t>By way of derogation from the first paragraph, that closure period shall not apply to Union fishing vessels of less than 12 metres in length overall that fish with gillnets, entangling nets or trammel nets, with bottom set lines, longlines, handlines and jigging equipment or other passive gear in areas where the water depth is less than 20 meters according to the coordinates on the official sea chart issued by the competent national authorities. Masters of those fishing vessels shall ensure that their fishing activity can be monitored at any time by the control authorities of the Member State.”.</w:t>
      </w:r>
    </w:p>
    <w:p>
      <w:pPr>
        <w:rPr>
          <w:b/>
          <w:noProof/>
        </w:rPr>
      </w:pPr>
    </w:p>
    <w:p>
      <w:pPr>
        <w:jc w:val="center"/>
        <w:rPr>
          <w:noProof/>
        </w:rPr>
      </w:pPr>
      <w:r>
        <w:rPr>
          <w:b/>
          <w:noProof/>
        </w:rPr>
        <w:t>ANNEX II</w:t>
      </w:r>
    </w:p>
    <w:p>
      <w:pPr>
        <w:rPr>
          <w:noProof/>
        </w:rPr>
      </w:pPr>
      <w:r>
        <w:rPr>
          <w:noProof/>
        </w:rPr>
        <w:t>Annexes IA, ID, IH and V to Regulation (EU) 2020/123 are amended as follows:</w:t>
      </w:r>
    </w:p>
    <w:p>
      <w:pPr>
        <w:pStyle w:val="Point0number"/>
        <w:numPr>
          <w:ilvl w:val="0"/>
          <w:numId w:val="1"/>
        </w:numPr>
        <w:rPr>
          <w:noProof/>
        </w:rPr>
      </w:pPr>
      <w:r>
        <w:rPr>
          <w:noProof/>
        </w:rPr>
        <w:t>Annex IA is amended as follows:</w:t>
      </w:r>
    </w:p>
    <w:p>
      <w:pPr>
        <w:pStyle w:val="Point1letter"/>
        <w:rPr>
          <w:noProof/>
        </w:rPr>
      </w:pPr>
      <w:r>
        <w:rPr>
          <w:noProof/>
        </w:rPr>
        <w:t>the fishing opportunities table for Northern prawn in ICES division 3a is replaced by the following:</w:t>
      </w:r>
    </w:p>
    <w:tbl>
      <w:tblPr>
        <w:tblW w:w="8290" w:type="dxa"/>
        <w:tblInd w:w="108" w:type="dxa"/>
        <w:tblLook w:val="04A0" w:firstRow="1" w:lastRow="0" w:firstColumn="1" w:lastColumn="0" w:noHBand="0" w:noVBand="1"/>
      </w:tblPr>
      <w:tblGrid>
        <w:gridCol w:w="976"/>
        <w:gridCol w:w="1503"/>
        <w:gridCol w:w="1207"/>
        <w:gridCol w:w="392"/>
        <w:gridCol w:w="1034"/>
        <w:gridCol w:w="1267"/>
        <w:gridCol w:w="868"/>
        <w:gridCol w:w="1043"/>
      </w:tblGrid>
      <w:tr>
        <w:trPr>
          <w:trHeight w:val="255"/>
        </w:trPr>
        <w:tc>
          <w:tcPr>
            <w:tcW w:w="976"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710" w:type="dxa"/>
            <w:gridSpan w:val="2"/>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Northern prawn</w:t>
            </w:r>
          </w:p>
        </w:tc>
        <w:tc>
          <w:tcPr>
            <w:tcW w:w="392"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34"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267"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868"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43"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76"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503" w:type="dxa"/>
            <w:noWrap/>
            <w:hideMark/>
          </w:tcPr>
          <w:p>
            <w:pPr>
              <w:spacing w:after="0"/>
              <w:rPr>
                <w:rFonts w:eastAsia="Times New Roman"/>
                <w:i/>
                <w:iCs/>
                <w:noProof/>
                <w:sz w:val="18"/>
                <w:szCs w:val="18"/>
                <w:lang w:eastAsia="en-GB"/>
              </w:rPr>
            </w:pPr>
            <w:r>
              <w:rPr>
                <w:rFonts w:eastAsia="Times New Roman"/>
                <w:i/>
                <w:iCs/>
                <w:noProof/>
                <w:sz w:val="18"/>
                <w:szCs w:val="18"/>
                <w:lang w:eastAsia="en-GB"/>
              </w:rPr>
              <w:t>Pandalus borealis</w:t>
            </w:r>
          </w:p>
        </w:tc>
        <w:tc>
          <w:tcPr>
            <w:tcW w:w="1207" w:type="dxa"/>
            <w:tcBorders>
              <w:top w:val="nil"/>
              <w:left w:val="nil"/>
              <w:bottom w:val="single" w:sz="8" w:space="0" w:color="000000"/>
              <w:right w:val="nil"/>
            </w:tcBorders>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392" w:type="dxa"/>
            <w:tcBorders>
              <w:top w:val="nil"/>
              <w:left w:val="nil"/>
              <w:bottom w:val="single" w:sz="8" w:space="0" w:color="000000"/>
              <w:right w:val="nil"/>
            </w:tcBorders>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34"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67"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(PRA/03A.)</w:t>
            </w:r>
          </w:p>
        </w:tc>
        <w:tc>
          <w:tcPr>
            <w:tcW w:w="868"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43"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503" w:type="dxa"/>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07"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2 123</w:t>
            </w:r>
          </w:p>
        </w:tc>
        <w:tc>
          <w:tcPr>
            <w:tcW w:w="392" w:type="dxa"/>
            <w:noWrap/>
            <w:hideMark/>
          </w:tcPr>
          <w:p>
            <w:pPr>
              <w:rPr>
                <w:rFonts w:eastAsia="Times New Roman"/>
                <w:noProof/>
                <w:color w:val="000000"/>
                <w:sz w:val="18"/>
                <w:szCs w:val="18"/>
                <w:lang w:eastAsia="en-GB"/>
              </w:rPr>
            </w:pPr>
          </w:p>
        </w:tc>
        <w:tc>
          <w:tcPr>
            <w:tcW w:w="2301" w:type="dxa"/>
            <w:gridSpan w:val="2"/>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868"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4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503" w:type="dxa"/>
            <w:noWrap/>
            <w:hideMark/>
          </w:tcPr>
          <w:p>
            <w:pPr>
              <w:rPr>
                <w:rFonts w:eastAsia="Times New Roman"/>
                <w:noProof/>
                <w:color w:val="000000"/>
                <w:sz w:val="18"/>
                <w:szCs w:val="18"/>
                <w:lang w:eastAsia="en-GB"/>
              </w:rPr>
            </w:pPr>
          </w:p>
        </w:tc>
        <w:tc>
          <w:tcPr>
            <w:tcW w:w="1207"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1 143</w:t>
            </w:r>
          </w:p>
        </w:tc>
        <w:tc>
          <w:tcPr>
            <w:tcW w:w="392" w:type="dxa"/>
            <w:noWrap/>
            <w:hideMark/>
          </w:tcPr>
          <w:p>
            <w:pPr>
              <w:rPr>
                <w:rFonts w:eastAsia="Times New Roman"/>
                <w:noProof/>
                <w:color w:val="000000"/>
                <w:sz w:val="18"/>
                <w:szCs w:val="18"/>
                <w:lang w:eastAsia="en-GB"/>
              </w:rPr>
            </w:pPr>
          </w:p>
        </w:tc>
        <w:tc>
          <w:tcPr>
            <w:tcW w:w="1034" w:type="dxa"/>
            <w:noWrap/>
            <w:hideMark/>
          </w:tcPr>
          <w:p>
            <w:pPr>
              <w:spacing w:after="0"/>
              <w:rPr>
                <w:noProof/>
                <w:sz w:val="20"/>
                <w:szCs w:val="20"/>
                <w:lang w:eastAsia="en-GB"/>
              </w:rPr>
            </w:pPr>
          </w:p>
        </w:tc>
        <w:tc>
          <w:tcPr>
            <w:tcW w:w="1267" w:type="dxa"/>
            <w:noWrap/>
            <w:hideMark/>
          </w:tcPr>
          <w:p>
            <w:pPr>
              <w:spacing w:after="0"/>
              <w:rPr>
                <w:noProof/>
                <w:sz w:val="20"/>
                <w:szCs w:val="20"/>
                <w:lang w:eastAsia="en-GB"/>
              </w:rPr>
            </w:pPr>
          </w:p>
        </w:tc>
        <w:tc>
          <w:tcPr>
            <w:tcW w:w="868"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503" w:type="dxa"/>
            <w:noWrap/>
            <w:hideMark/>
          </w:tcPr>
          <w:p>
            <w:pPr>
              <w:rPr>
                <w:rFonts w:eastAsia="Times New Roman"/>
                <w:noProof/>
                <w:color w:val="000000"/>
                <w:sz w:val="18"/>
                <w:szCs w:val="18"/>
                <w:lang w:eastAsia="en-GB"/>
              </w:rPr>
            </w:pPr>
          </w:p>
        </w:tc>
        <w:tc>
          <w:tcPr>
            <w:tcW w:w="1207"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3 266</w:t>
            </w:r>
          </w:p>
        </w:tc>
        <w:tc>
          <w:tcPr>
            <w:tcW w:w="392" w:type="dxa"/>
            <w:noWrap/>
            <w:hideMark/>
          </w:tcPr>
          <w:p>
            <w:pPr>
              <w:rPr>
                <w:rFonts w:eastAsia="Times New Roman"/>
                <w:noProof/>
                <w:color w:val="000000"/>
                <w:sz w:val="18"/>
                <w:szCs w:val="18"/>
                <w:lang w:eastAsia="en-GB"/>
              </w:rPr>
            </w:pPr>
          </w:p>
        </w:tc>
        <w:tc>
          <w:tcPr>
            <w:tcW w:w="1034" w:type="dxa"/>
            <w:noWrap/>
            <w:hideMark/>
          </w:tcPr>
          <w:p>
            <w:pPr>
              <w:spacing w:after="0"/>
              <w:rPr>
                <w:noProof/>
                <w:sz w:val="20"/>
                <w:szCs w:val="20"/>
                <w:lang w:eastAsia="en-GB"/>
              </w:rPr>
            </w:pPr>
          </w:p>
        </w:tc>
        <w:tc>
          <w:tcPr>
            <w:tcW w:w="1267" w:type="dxa"/>
            <w:noWrap/>
            <w:hideMark/>
          </w:tcPr>
          <w:p>
            <w:pPr>
              <w:spacing w:after="0"/>
              <w:rPr>
                <w:noProof/>
                <w:sz w:val="20"/>
                <w:szCs w:val="20"/>
                <w:lang w:eastAsia="en-GB"/>
              </w:rPr>
            </w:pPr>
          </w:p>
        </w:tc>
        <w:tc>
          <w:tcPr>
            <w:tcW w:w="868"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noWrap/>
            <w:hideMark/>
          </w:tcPr>
          <w:p>
            <w:pPr>
              <w:spacing w:after="0"/>
              <w:rPr>
                <w:noProof/>
                <w:sz w:val="20"/>
                <w:szCs w:val="20"/>
                <w:lang w:eastAsia="en-GB"/>
              </w:rPr>
            </w:pPr>
          </w:p>
        </w:tc>
        <w:tc>
          <w:tcPr>
            <w:tcW w:w="1503" w:type="dxa"/>
            <w:noWrap/>
            <w:hideMark/>
          </w:tcPr>
          <w:p>
            <w:pPr>
              <w:spacing w:after="0"/>
              <w:rPr>
                <w:noProof/>
                <w:sz w:val="20"/>
                <w:szCs w:val="20"/>
                <w:lang w:eastAsia="en-GB"/>
              </w:rPr>
            </w:pPr>
          </w:p>
        </w:tc>
        <w:tc>
          <w:tcPr>
            <w:tcW w:w="1207" w:type="dxa"/>
            <w:noWrap/>
            <w:hideMark/>
          </w:tcPr>
          <w:p>
            <w:pPr>
              <w:spacing w:after="0"/>
              <w:rPr>
                <w:noProof/>
                <w:sz w:val="20"/>
                <w:szCs w:val="20"/>
                <w:lang w:eastAsia="en-GB"/>
              </w:rPr>
            </w:pPr>
          </w:p>
        </w:tc>
        <w:tc>
          <w:tcPr>
            <w:tcW w:w="392" w:type="dxa"/>
            <w:noWrap/>
            <w:hideMark/>
          </w:tcPr>
          <w:p>
            <w:pPr>
              <w:spacing w:after="0"/>
              <w:rPr>
                <w:noProof/>
                <w:sz w:val="20"/>
                <w:szCs w:val="20"/>
                <w:lang w:eastAsia="en-GB"/>
              </w:rPr>
            </w:pPr>
          </w:p>
        </w:tc>
        <w:tc>
          <w:tcPr>
            <w:tcW w:w="1034" w:type="dxa"/>
            <w:noWrap/>
            <w:hideMark/>
          </w:tcPr>
          <w:p>
            <w:pPr>
              <w:spacing w:after="0"/>
              <w:rPr>
                <w:noProof/>
                <w:sz w:val="20"/>
                <w:szCs w:val="20"/>
                <w:lang w:eastAsia="en-GB"/>
              </w:rPr>
            </w:pPr>
          </w:p>
        </w:tc>
        <w:tc>
          <w:tcPr>
            <w:tcW w:w="1267" w:type="dxa"/>
            <w:noWrap/>
            <w:hideMark/>
          </w:tcPr>
          <w:p>
            <w:pPr>
              <w:spacing w:after="0"/>
              <w:rPr>
                <w:noProof/>
                <w:sz w:val="20"/>
                <w:szCs w:val="20"/>
                <w:lang w:eastAsia="en-GB"/>
              </w:rPr>
            </w:pPr>
          </w:p>
        </w:tc>
        <w:tc>
          <w:tcPr>
            <w:tcW w:w="868"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tcBorders>
              <w:bottom w:val="single" w:sz="4" w:space="0" w:color="auto"/>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503" w:type="dxa"/>
            <w:tcBorders>
              <w:bottom w:val="single" w:sz="4" w:space="0" w:color="auto"/>
            </w:tcBorders>
            <w:noWrap/>
            <w:hideMark/>
          </w:tcPr>
          <w:p>
            <w:pPr>
              <w:rPr>
                <w:rFonts w:eastAsia="Times New Roman"/>
                <w:noProof/>
                <w:color w:val="000000"/>
                <w:sz w:val="18"/>
                <w:szCs w:val="18"/>
                <w:lang w:eastAsia="en-GB"/>
              </w:rPr>
            </w:pPr>
          </w:p>
        </w:tc>
        <w:tc>
          <w:tcPr>
            <w:tcW w:w="1207" w:type="dxa"/>
            <w:tcBorders>
              <w:bottom w:val="single" w:sz="4"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6 116”</w:t>
            </w:r>
          </w:p>
        </w:tc>
        <w:tc>
          <w:tcPr>
            <w:tcW w:w="392" w:type="dxa"/>
            <w:tcBorders>
              <w:bottom w:val="single" w:sz="4" w:space="0" w:color="auto"/>
            </w:tcBorders>
            <w:noWrap/>
            <w:hideMark/>
          </w:tcPr>
          <w:p>
            <w:pPr>
              <w:rPr>
                <w:rFonts w:eastAsia="Times New Roman"/>
                <w:noProof/>
                <w:color w:val="000000"/>
                <w:sz w:val="18"/>
                <w:szCs w:val="18"/>
                <w:lang w:eastAsia="en-GB"/>
              </w:rPr>
            </w:pPr>
          </w:p>
        </w:tc>
        <w:tc>
          <w:tcPr>
            <w:tcW w:w="1034" w:type="dxa"/>
            <w:tcBorders>
              <w:bottom w:val="single" w:sz="4" w:space="0" w:color="auto"/>
            </w:tcBorders>
            <w:noWrap/>
            <w:hideMark/>
          </w:tcPr>
          <w:p>
            <w:pPr>
              <w:spacing w:after="0"/>
              <w:rPr>
                <w:noProof/>
                <w:sz w:val="20"/>
                <w:szCs w:val="20"/>
                <w:lang w:eastAsia="en-GB"/>
              </w:rPr>
            </w:pPr>
          </w:p>
        </w:tc>
        <w:tc>
          <w:tcPr>
            <w:tcW w:w="1267" w:type="dxa"/>
            <w:tcBorders>
              <w:bottom w:val="single" w:sz="4" w:space="0" w:color="auto"/>
            </w:tcBorders>
            <w:noWrap/>
            <w:hideMark/>
          </w:tcPr>
          <w:p>
            <w:pPr>
              <w:spacing w:after="0"/>
              <w:rPr>
                <w:noProof/>
                <w:sz w:val="20"/>
                <w:szCs w:val="20"/>
                <w:lang w:eastAsia="en-GB"/>
              </w:rPr>
            </w:pPr>
          </w:p>
        </w:tc>
        <w:tc>
          <w:tcPr>
            <w:tcW w:w="868" w:type="dxa"/>
            <w:tcBorders>
              <w:bottom w:val="single" w:sz="4" w:space="0" w:color="auto"/>
            </w:tcBorders>
            <w:noWrap/>
            <w:hideMark/>
          </w:tcPr>
          <w:p>
            <w:pPr>
              <w:spacing w:after="0"/>
              <w:rPr>
                <w:noProof/>
                <w:sz w:val="20"/>
                <w:szCs w:val="20"/>
                <w:lang w:eastAsia="en-GB"/>
              </w:rPr>
            </w:pPr>
          </w:p>
        </w:tc>
        <w:tc>
          <w:tcPr>
            <w:tcW w:w="1043" w:type="dxa"/>
            <w:tcBorders>
              <w:bottom w:val="single" w:sz="4" w:space="0" w:color="auto"/>
            </w:tcBorders>
            <w:noWrap/>
            <w:hideMark/>
          </w:tcPr>
          <w:p>
            <w:pPr>
              <w:spacing w:after="0"/>
              <w:rPr>
                <w:noProof/>
                <w:sz w:val="20"/>
                <w:szCs w:val="20"/>
                <w:lang w:eastAsia="en-GB"/>
              </w:rPr>
            </w:pPr>
          </w:p>
        </w:tc>
      </w:tr>
    </w:tbl>
    <w:p>
      <w:pPr>
        <w:rPr>
          <w:noProof/>
        </w:rPr>
      </w:pPr>
      <w:r>
        <w:rPr>
          <w:noProof/>
        </w:rPr>
        <w:t>;</w:t>
      </w:r>
    </w:p>
    <w:p>
      <w:pPr>
        <w:pStyle w:val="Point1letter"/>
        <w:rPr>
          <w:noProof/>
        </w:rPr>
      </w:pPr>
      <w:r>
        <w:rPr>
          <w:noProof/>
        </w:rPr>
        <w:tab/>
        <w:t>the following fishing opportunities table for sprat and associated by-catches in Union waters of ICES division 3a is inserted:</w:t>
      </w:r>
    </w:p>
    <w:tbl>
      <w:tblPr>
        <w:tblW w:w="9180" w:type="dxa"/>
        <w:tblInd w:w="108" w:type="dxa"/>
        <w:tblLook w:val="04A0" w:firstRow="1" w:lastRow="0" w:firstColumn="1" w:lastColumn="0" w:noHBand="0" w:noVBand="1"/>
      </w:tblPr>
      <w:tblGrid>
        <w:gridCol w:w="1050"/>
        <w:gridCol w:w="2309"/>
        <w:gridCol w:w="806"/>
        <w:gridCol w:w="806"/>
        <w:gridCol w:w="905"/>
        <w:gridCol w:w="1756"/>
        <w:gridCol w:w="742"/>
        <w:gridCol w:w="806"/>
      </w:tblGrid>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30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90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5"/>
        </w:trPr>
        <w:tc>
          <w:tcPr>
            <w:tcW w:w="1050"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921"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Sprat and associated by-catches</w:t>
            </w:r>
          </w:p>
        </w:tc>
        <w:tc>
          <w:tcPr>
            <w:tcW w:w="905" w:type="dxa"/>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75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742"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0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050"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11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Sprattus sprattus</w:t>
            </w:r>
          </w:p>
        </w:tc>
        <w:tc>
          <w:tcPr>
            <w:tcW w:w="806"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905" w:type="dxa"/>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75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(SPR/03A.2)</w:t>
            </w:r>
          </w:p>
        </w:tc>
        <w:tc>
          <w:tcPr>
            <w:tcW w:w="742"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0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230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2661"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742"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230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90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230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90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230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90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230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90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230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06"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806" w:type="dxa"/>
            <w:tcBorders>
              <w:top w:val="nil"/>
              <w:left w:val="nil"/>
              <w:bottom w:val="nil"/>
              <w:right w:val="nil"/>
            </w:tcBorders>
            <w:shd w:val="clear" w:color="auto" w:fill="auto"/>
            <w:noWrap/>
            <w:hideMark/>
          </w:tcPr>
          <w:p>
            <w:pPr>
              <w:spacing w:after="0"/>
              <w:rPr>
                <w:rFonts w:eastAsia="Times New Roman"/>
                <w:noProof/>
                <w:color w:val="000000"/>
                <w:sz w:val="18"/>
                <w:szCs w:val="18"/>
                <w:vertAlign w:val="superscript"/>
                <w:lang w:eastAsia="en-GB"/>
              </w:rPr>
            </w:pPr>
            <w:r>
              <w:rPr>
                <w:rFonts w:eastAsia="Times New Roman"/>
                <w:noProof/>
                <w:color w:val="000000"/>
                <w:sz w:val="18"/>
                <w:szCs w:val="18"/>
                <w:vertAlign w:val="superscript"/>
                <w:lang w:eastAsia="en-GB"/>
              </w:rPr>
              <w:t>(2)</w:t>
            </w:r>
            <w:r>
              <w:rPr>
                <w:rFonts w:eastAsia="Times New Roman"/>
                <w:noProof/>
                <w:color w:val="000000"/>
                <w:sz w:val="18"/>
                <w:szCs w:val="18"/>
                <w:lang w:eastAsia="en-GB"/>
              </w:rPr>
              <w:t xml:space="preserve"> ”</w:t>
            </w:r>
          </w:p>
        </w:tc>
        <w:tc>
          <w:tcPr>
            <w:tcW w:w="90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75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42"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8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05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_____________</w:t>
            </w:r>
            <w:r>
              <w:rPr>
                <w:rFonts w:eastAsia="Times New Roman"/>
                <w:noProof/>
                <w:color w:val="000000"/>
                <w:sz w:val="18"/>
                <w:szCs w:val="18"/>
                <w:vertAlign w:val="superscript"/>
                <w:lang w:eastAsia="en-GB"/>
              </w:rPr>
              <w:br/>
              <w:t>(1)</w:t>
            </w:r>
          </w:p>
        </w:tc>
        <w:tc>
          <w:tcPr>
            <w:tcW w:w="8130" w:type="dxa"/>
            <w:gridSpan w:val="7"/>
            <w:tcBorders>
              <w:top w:val="nil"/>
              <w:left w:val="nil"/>
              <w:bottom w:val="nil"/>
              <w:right w:val="nil"/>
            </w:tcBorders>
            <w:shd w:val="clear" w:color="auto" w:fill="auto"/>
            <w:noWrap/>
            <w:hideMark/>
          </w:tcPr>
          <w:p>
            <w:pPr>
              <w:spacing w:after="0"/>
              <w:rPr>
                <w:rFonts w:eastAsia="Times New Roman"/>
                <w:noProof/>
                <w:sz w:val="18"/>
                <w:szCs w:val="18"/>
                <w:vertAlign w:val="superscript"/>
                <w:lang w:eastAsia="en-GB"/>
              </w:rPr>
            </w:pPr>
          </w:p>
          <w:p>
            <w:pPr>
              <w:spacing w:after="0"/>
              <w:rPr>
                <w:rFonts w:eastAsia="Times New Roman"/>
                <w:noProof/>
                <w:sz w:val="18"/>
                <w:szCs w:val="18"/>
                <w:lang w:eastAsia="en-GB"/>
              </w:rPr>
            </w:pPr>
            <w:r>
              <w:rPr>
                <w:rFonts w:eastAsia="Times New Roman"/>
                <w:noProof/>
                <w:sz w:val="18"/>
                <w:szCs w:val="18"/>
                <w:vertAlign w:val="superscript"/>
                <w:lang w:eastAsia="en-GB"/>
              </w:rPr>
              <w:t>Up to 5 % of the quota may consist of by-catches of whiting and haddock (OTH/*03A.2). By-catches of whiting and haddock counted against the quota pursuant to this provision and by-catches of species counted against the quota pursuant to Article 15(8) of Regulation (EU) No 1380/2013 shall, together, not exceed 9% of the quota.</w:t>
            </w:r>
          </w:p>
        </w:tc>
      </w:tr>
      <w:tr>
        <w:trPr>
          <w:trHeight w:val="285"/>
        </w:trPr>
        <w:tc>
          <w:tcPr>
            <w:tcW w:w="1050"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130" w:type="dxa"/>
            <w:gridSpan w:val="7"/>
            <w:tcBorders>
              <w:top w:val="nil"/>
              <w:left w:val="nil"/>
              <w:bottom w:val="single" w:sz="8" w:space="0" w:color="auto"/>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This quota may only be fished from 1 July 2020 to 30 June 2021. Transfers of this quota may be effected to Union waters of 2a and 4. However, such transfers shall be notified in advance to the Commission.</w:t>
            </w:r>
          </w:p>
        </w:tc>
      </w:tr>
    </w:tbl>
    <w:p>
      <w:pPr>
        <w:rPr>
          <w:noProof/>
        </w:rPr>
      </w:pPr>
      <w:r>
        <w:rPr>
          <w:noProof/>
        </w:rPr>
        <w:t>;</w:t>
      </w:r>
    </w:p>
    <w:p>
      <w:pPr>
        <w:pStyle w:val="Point1letter"/>
        <w:rPr>
          <w:noProof/>
        </w:rPr>
      </w:pPr>
      <w:r>
        <w:rPr>
          <w:noProof/>
        </w:rPr>
        <w:tab/>
        <w:t>the fishing opportunities table for sprat and associated by-catches in Union waters of ICES division 2a and ICES subarea 4 is replaced by the following:</w:t>
      </w:r>
    </w:p>
    <w:tbl>
      <w:tblPr>
        <w:tblW w:w="9150" w:type="dxa"/>
        <w:tblInd w:w="108" w:type="dxa"/>
        <w:tblLook w:val="04A0" w:firstRow="1" w:lastRow="0" w:firstColumn="1" w:lastColumn="0" w:noHBand="0" w:noVBand="1"/>
      </w:tblPr>
      <w:tblGrid>
        <w:gridCol w:w="1126"/>
        <w:gridCol w:w="1414"/>
        <w:gridCol w:w="1142"/>
        <w:gridCol w:w="790"/>
        <w:gridCol w:w="969"/>
        <w:gridCol w:w="513"/>
        <w:gridCol w:w="2049"/>
        <w:gridCol w:w="625"/>
        <w:gridCol w:w="261"/>
        <w:gridCol w:w="261"/>
      </w:tblGrid>
      <w:tr>
        <w:trPr>
          <w:trHeight w:val="255"/>
        </w:trPr>
        <w:tc>
          <w:tcPr>
            <w:tcW w:w="1126" w:type="dxa"/>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346" w:type="dxa"/>
            <w:gridSpan w:val="3"/>
            <w:tcBorders>
              <w:top w:val="single" w:sz="4" w:space="0" w:color="auto"/>
              <w:left w:val="nil"/>
              <w:bottom w:val="nil"/>
              <w:right w:val="single" w:sz="4" w:space="0" w:color="auto"/>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Sprat and associated by-catches</w:t>
            </w:r>
          </w:p>
        </w:tc>
        <w:tc>
          <w:tcPr>
            <w:tcW w:w="969" w:type="dxa"/>
            <w:tcBorders>
              <w:top w:val="single" w:sz="4" w:space="0" w:color="auto"/>
              <w:left w:val="single" w:sz="4" w:space="0" w:color="auto"/>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448" w:type="dxa"/>
            <w:gridSpan w:val="4"/>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261" w:type="dxa"/>
            <w:tcBorders>
              <w:top w:val="single" w:sz="8" w:space="0" w:color="auto"/>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r>
      <w:tr>
        <w:trPr>
          <w:trHeight w:val="463"/>
        </w:trPr>
        <w:tc>
          <w:tcPr>
            <w:tcW w:w="11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5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Sprattus sprattus</w:t>
            </w:r>
          </w:p>
        </w:tc>
        <w:tc>
          <w:tcPr>
            <w:tcW w:w="790" w:type="dxa"/>
            <w:tcBorders>
              <w:top w:val="nil"/>
              <w:left w:val="nil"/>
              <w:bottom w:val="single" w:sz="8" w:space="0" w:color="000000"/>
              <w:right w:val="single" w:sz="4" w:space="0" w:color="auto"/>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969" w:type="dxa"/>
            <w:tcBorders>
              <w:top w:val="nil"/>
              <w:left w:val="single" w:sz="4" w:space="0" w:color="auto"/>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c>
          <w:tcPr>
            <w:tcW w:w="3187" w:type="dxa"/>
            <w:gridSpan w:val="3"/>
            <w:tcBorders>
              <w:top w:val="nil"/>
              <w:left w:val="nil"/>
              <w:bottom w:val="single" w:sz="8" w:space="0" w:color="auto"/>
              <w:right w:val="nil"/>
            </w:tcBorders>
            <w:shd w:val="clear" w:color="auto" w:fill="auto"/>
            <w:hideMark/>
          </w:tcPr>
          <w:p>
            <w:pPr>
              <w:spacing w:after="0"/>
              <w:rPr>
                <w:rFonts w:eastAsia="Times New Roman"/>
                <w:noProof/>
                <w:sz w:val="18"/>
                <w:szCs w:val="18"/>
                <w:lang w:eastAsia="en-GB"/>
              </w:rPr>
            </w:pPr>
            <w:r>
              <w:rPr>
                <w:rFonts w:eastAsia="Times New Roman"/>
                <w:noProof/>
                <w:sz w:val="18"/>
                <w:szCs w:val="18"/>
                <w:lang w:eastAsia="en-GB"/>
              </w:rPr>
              <w:t>(SPR/2AC4-C)</w:t>
            </w: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1"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48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2674"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96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7"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540"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(2)(3)</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540"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540"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(1)(4)</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r>
              <w:rPr>
                <w:rFonts w:eastAsia="Times New Roman"/>
                <w:noProof/>
                <w:color w:val="000000"/>
                <w:sz w:val="18"/>
                <w:szCs w:val="18"/>
                <w:lang w:eastAsia="en-GB"/>
              </w:rPr>
              <w:t xml:space="preserve"> ”</w:t>
            </w:r>
          </w:p>
        </w:tc>
        <w:tc>
          <w:tcPr>
            <w:tcW w:w="96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_______________</w:t>
            </w:r>
            <w:r>
              <w:rPr>
                <w:rFonts w:eastAsia="Times New Roman"/>
                <w:noProof/>
                <w:color w:val="000000"/>
                <w:sz w:val="18"/>
                <w:szCs w:val="18"/>
                <w:vertAlign w:val="superscript"/>
                <w:lang w:eastAsia="en-GB"/>
              </w:rPr>
              <w:br/>
              <w:t>(1)</w:t>
            </w:r>
          </w:p>
        </w:tc>
        <w:tc>
          <w:tcPr>
            <w:tcW w:w="7502" w:type="dxa"/>
            <w:gridSpan w:val="7"/>
            <w:tcBorders>
              <w:top w:val="nil"/>
              <w:left w:val="nil"/>
              <w:bottom w:val="nil"/>
              <w:right w:val="nil"/>
            </w:tcBorders>
            <w:shd w:val="clear" w:color="auto" w:fill="auto"/>
            <w:noWrap/>
            <w:hideMark/>
          </w:tcPr>
          <w:p>
            <w:pPr>
              <w:spacing w:after="0"/>
              <w:rPr>
                <w:rFonts w:eastAsia="Times New Roman"/>
                <w:noProof/>
                <w:sz w:val="18"/>
                <w:szCs w:val="18"/>
                <w:vertAlign w:val="superscript"/>
                <w:lang w:eastAsia="en-GB"/>
              </w:rPr>
            </w:pPr>
          </w:p>
          <w:p>
            <w:pPr>
              <w:spacing w:after="0"/>
              <w:rPr>
                <w:rFonts w:eastAsia="Times New Roman"/>
                <w:noProof/>
                <w:color w:val="000000"/>
                <w:sz w:val="18"/>
                <w:szCs w:val="18"/>
                <w:lang w:eastAsia="en-GB"/>
              </w:rPr>
            </w:pPr>
            <w:r>
              <w:rPr>
                <w:rFonts w:eastAsia="Times New Roman"/>
                <w:noProof/>
                <w:sz w:val="18"/>
                <w:szCs w:val="18"/>
                <w:vertAlign w:val="superscript"/>
                <w:lang w:eastAsia="en-GB"/>
              </w:rPr>
              <w:t>The quota may only be fished from 1 July 2020 to 30 June 2021.</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024" w:type="dxa"/>
            <w:gridSpan w:val="9"/>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Up to 2 % of the quota may consist of by-catches of whiting (OTH/ *2AC4C). By-catches of whiting counted against the quota pursuant to this provision and by-catches of species counted against the quota pursuant to Article 15(8) of Regulation (EU) No 1380/2013 shall, together, not exceed  9% of the quota.</w:t>
            </w: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414"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Including sandeel.</w:t>
            </w:r>
          </w:p>
        </w:tc>
        <w:tc>
          <w:tcPr>
            <w:tcW w:w="11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96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8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1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334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May contain up to 4% of by-catch of herring.</w:t>
            </w:r>
          </w:p>
        </w:tc>
        <w:tc>
          <w:tcPr>
            <w:tcW w:w="969"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62"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8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bl>
    <w:p>
      <w:pPr>
        <w:rPr>
          <w:noProof/>
        </w:rPr>
      </w:pPr>
      <w:r>
        <w:rPr>
          <w:noProof/>
        </w:rPr>
        <w:t>;</w:t>
      </w:r>
    </w:p>
    <w:p>
      <w:pPr>
        <w:pStyle w:val="Point1letter"/>
        <w:rPr>
          <w:noProof/>
        </w:rPr>
      </w:pPr>
      <w:r>
        <w:rPr>
          <w:noProof/>
        </w:rPr>
        <w:tab/>
        <w:t>the fishing opportunities table for anchovy in ICES subareas 9 and 10; Union waters of CECAF 34.1.1 is replaced by the following:</w:t>
      </w:r>
    </w:p>
    <w:tbl>
      <w:tblPr>
        <w:tblW w:w="9289" w:type="dxa"/>
        <w:tblLook w:val="04A0" w:firstRow="1" w:lastRow="0" w:firstColumn="1" w:lastColumn="0" w:noHBand="0" w:noVBand="1"/>
      </w:tblPr>
      <w:tblGrid>
        <w:gridCol w:w="1028"/>
        <w:gridCol w:w="1115"/>
        <w:gridCol w:w="1027"/>
        <w:gridCol w:w="1028"/>
        <w:gridCol w:w="1019"/>
        <w:gridCol w:w="1021"/>
        <w:gridCol w:w="956"/>
        <w:gridCol w:w="1048"/>
        <w:gridCol w:w="1047"/>
      </w:tblGrid>
      <w:tr>
        <w:trPr>
          <w:trHeight w:val="254"/>
        </w:trPr>
        <w:tc>
          <w:tcPr>
            <w:tcW w:w="1028"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115" w:type="dxa"/>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Anchovy</w:t>
            </w:r>
          </w:p>
        </w:tc>
        <w:tc>
          <w:tcPr>
            <w:tcW w:w="1027" w:type="dxa"/>
            <w:tcBorders>
              <w:top w:val="single" w:sz="8" w:space="0" w:color="000000"/>
              <w:left w:val="nil"/>
              <w:bottom w:val="nil"/>
              <w:right w:val="nil"/>
            </w:tcBorders>
          </w:tcPr>
          <w:p>
            <w:pPr>
              <w:spacing w:after="0"/>
              <w:jc w:val="right"/>
              <w:rPr>
                <w:rFonts w:eastAsia="Times New Roman"/>
                <w:noProof/>
                <w:color w:val="000000"/>
                <w:sz w:val="18"/>
                <w:szCs w:val="18"/>
                <w:lang w:eastAsia="en-GB"/>
              </w:rPr>
            </w:pPr>
          </w:p>
        </w:tc>
        <w:tc>
          <w:tcPr>
            <w:tcW w:w="1028" w:type="dxa"/>
            <w:tcBorders>
              <w:top w:val="single" w:sz="8" w:space="0" w:color="000000"/>
              <w:left w:val="nil"/>
              <w:bottom w:val="nil"/>
              <w:right w:val="nil"/>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1019"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21"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051" w:type="dxa"/>
            <w:gridSpan w:val="3"/>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9 and 10; Union waters of CECAF 34.1.1</w:t>
            </w:r>
          </w:p>
        </w:tc>
      </w:tr>
      <w:tr>
        <w:trPr>
          <w:trHeight w:val="269"/>
        </w:trPr>
        <w:tc>
          <w:tcPr>
            <w:tcW w:w="1028"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3170" w:type="dxa"/>
            <w:gridSpan w:val="3"/>
            <w:tcBorders>
              <w:top w:val="nil"/>
              <w:left w:val="nil"/>
              <w:bottom w:val="single" w:sz="8" w:space="0" w:color="000000"/>
              <w:right w:val="nil"/>
            </w:tcBorders>
          </w:tcPr>
          <w:p>
            <w:pPr>
              <w:spacing w:after="0"/>
              <w:rPr>
                <w:rFonts w:eastAsia="Times New Roman"/>
                <w:i/>
                <w:iCs/>
                <w:noProof/>
                <w:sz w:val="18"/>
                <w:szCs w:val="18"/>
                <w:lang w:eastAsia="en-GB"/>
              </w:rPr>
            </w:pPr>
            <w:r>
              <w:rPr>
                <w:rFonts w:eastAsia="Times New Roman"/>
                <w:i/>
                <w:iCs/>
                <w:noProof/>
                <w:sz w:val="18"/>
                <w:szCs w:val="18"/>
                <w:lang w:eastAsia="en-GB"/>
              </w:rPr>
              <w:t>Engraulis encrasicolus</w:t>
            </w:r>
          </w:p>
          <w:p>
            <w:pPr>
              <w:spacing w:after="0"/>
              <w:rPr>
                <w:rFonts w:eastAsia="Times New Roman"/>
                <w:i/>
                <w:iCs/>
                <w:noProof/>
                <w:sz w:val="18"/>
                <w:szCs w:val="18"/>
                <w:lang w:eastAsia="en-GB"/>
              </w:rPr>
            </w:pPr>
          </w:p>
        </w:tc>
        <w:tc>
          <w:tcPr>
            <w:tcW w:w="1019" w:type="dxa"/>
            <w:tcBorders>
              <w:top w:val="nil"/>
              <w:left w:val="nil"/>
              <w:bottom w:val="single" w:sz="8" w:space="0" w:color="000000"/>
              <w:right w:val="nil"/>
            </w:tcBorders>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21"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004" w:type="dxa"/>
            <w:gridSpan w:val="2"/>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(ANE/9/3411)</w:t>
            </w:r>
          </w:p>
        </w:tc>
        <w:tc>
          <w:tcPr>
            <w:tcW w:w="1047"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9"/>
        </w:trPr>
        <w:tc>
          <w:tcPr>
            <w:tcW w:w="1028"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115" w:type="dxa"/>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27" w:type="dxa"/>
          </w:tcPr>
          <w:p>
            <w:pPr>
              <w:spacing w:after="0"/>
              <w:jc w:val="right"/>
              <w:rPr>
                <w:rFonts w:eastAsia="Times New Roman"/>
                <w:noProof/>
                <w:color w:val="000000"/>
                <w:sz w:val="18"/>
                <w:szCs w:val="18"/>
                <w:lang w:eastAsia="en-GB"/>
              </w:rPr>
            </w:pPr>
          </w:p>
        </w:tc>
        <w:tc>
          <w:tcPr>
            <w:tcW w:w="1028"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1 922</w:t>
            </w:r>
          </w:p>
        </w:tc>
        <w:tc>
          <w:tcPr>
            <w:tcW w:w="1019"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977" w:type="dxa"/>
            <w:gridSpan w:val="2"/>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1048"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47"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69"/>
        </w:trPr>
        <w:tc>
          <w:tcPr>
            <w:tcW w:w="1028"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115" w:type="dxa"/>
            <w:noWrap/>
            <w:hideMark/>
          </w:tcPr>
          <w:p>
            <w:pPr>
              <w:rPr>
                <w:rFonts w:eastAsia="Times New Roman"/>
                <w:noProof/>
                <w:color w:val="000000"/>
                <w:sz w:val="18"/>
                <w:szCs w:val="18"/>
                <w:lang w:eastAsia="en-GB"/>
              </w:rPr>
            </w:pPr>
          </w:p>
        </w:tc>
        <w:tc>
          <w:tcPr>
            <w:tcW w:w="1027" w:type="dxa"/>
          </w:tcPr>
          <w:p>
            <w:pPr>
              <w:spacing w:after="0"/>
              <w:jc w:val="right"/>
              <w:rPr>
                <w:rFonts w:eastAsia="Times New Roman"/>
                <w:noProof/>
                <w:color w:val="000000"/>
                <w:sz w:val="18"/>
                <w:szCs w:val="18"/>
                <w:lang w:eastAsia="en-GB"/>
              </w:rPr>
            </w:pPr>
          </w:p>
        </w:tc>
        <w:tc>
          <w:tcPr>
            <w:tcW w:w="1028"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2 096</w:t>
            </w:r>
          </w:p>
        </w:tc>
        <w:tc>
          <w:tcPr>
            <w:tcW w:w="1019"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021" w:type="dxa"/>
            <w:noWrap/>
            <w:hideMark/>
          </w:tcPr>
          <w:p>
            <w:pPr>
              <w:rPr>
                <w:rFonts w:eastAsia="Times New Roman"/>
                <w:noProof/>
                <w:color w:val="000000"/>
                <w:sz w:val="18"/>
                <w:szCs w:val="18"/>
                <w:lang w:eastAsia="en-GB"/>
              </w:rPr>
            </w:pPr>
          </w:p>
        </w:tc>
        <w:tc>
          <w:tcPr>
            <w:tcW w:w="956" w:type="dxa"/>
            <w:noWrap/>
            <w:hideMark/>
          </w:tcPr>
          <w:p>
            <w:pPr>
              <w:spacing w:after="0"/>
              <w:rPr>
                <w:rFonts w:asciiTheme="minorHAnsi" w:hAnsiTheme="minorHAnsi" w:cstheme="minorBidi"/>
                <w:noProof/>
                <w:sz w:val="20"/>
                <w:szCs w:val="20"/>
                <w:lang w:eastAsia="en-GB"/>
              </w:rPr>
            </w:pPr>
          </w:p>
        </w:tc>
        <w:tc>
          <w:tcPr>
            <w:tcW w:w="1048" w:type="dxa"/>
            <w:noWrap/>
            <w:hideMark/>
          </w:tcPr>
          <w:p>
            <w:pPr>
              <w:spacing w:after="0"/>
              <w:rPr>
                <w:rFonts w:asciiTheme="minorHAnsi" w:hAnsiTheme="minorHAnsi" w:cstheme="minorBidi"/>
                <w:noProof/>
                <w:sz w:val="20"/>
                <w:szCs w:val="20"/>
                <w:lang w:eastAsia="en-GB"/>
              </w:rPr>
            </w:pPr>
          </w:p>
        </w:tc>
        <w:tc>
          <w:tcPr>
            <w:tcW w:w="1047" w:type="dxa"/>
            <w:noWrap/>
            <w:hideMark/>
          </w:tcPr>
          <w:p>
            <w:pPr>
              <w:spacing w:after="0"/>
              <w:rPr>
                <w:rFonts w:asciiTheme="minorHAnsi" w:hAnsiTheme="minorHAnsi" w:cstheme="minorBidi"/>
                <w:noProof/>
                <w:sz w:val="20"/>
                <w:szCs w:val="20"/>
                <w:lang w:eastAsia="en-GB"/>
              </w:rPr>
            </w:pPr>
          </w:p>
        </w:tc>
      </w:tr>
      <w:tr>
        <w:trPr>
          <w:trHeight w:val="269"/>
        </w:trPr>
        <w:tc>
          <w:tcPr>
            <w:tcW w:w="1028"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115" w:type="dxa"/>
            <w:noWrap/>
            <w:hideMark/>
          </w:tcPr>
          <w:p>
            <w:pPr>
              <w:rPr>
                <w:rFonts w:eastAsia="Times New Roman"/>
                <w:noProof/>
                <w:color w:val="000000"/>
                <w:sz w:val="18"/>
                <w:szCs w:val="18"/>
                <w:lang w:eastAsia="en-GB"/>
              </w:rPr>
            </w:pPr>
          </w:p>
        </w:tc>
        <w:tc>
          <w:tcPr>
            <w:tcW w:w="1027" w:type="dxa"/>
          </w:tcPr>
          <w:p>
            <w:pPr>
              <w:spacing w:after="0"/>
              <w:jc w:val="right"/>
              <w:rPr>
                <w:rFonts w:eastAsia="Times New Roman"/>
                <w:noProof/>
                <w:color w:val="000000"/>
                <w:sz w:val="18"/>
                <w:szCs w:val="18"/>
                <w:lang w:eastAsia="en-GB"/>
              </w:rPr>
            </w:pPr>
          </w:p>
        </w:tc>
        <w:tc>
          <w:tcPr>
            <w:tcW w:w="1028"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4 018</w:t>
            </w:r>
          </w:p>
        </w:tc>
        <w:tc>
          <w:tcPr>
            <w:tcW w:w="1019"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021" w:type="dxa"/>
            <w:noWrap/>
            <w:hideMark/>
          </w:tcPr>
          <w:p>
            <w:pPr>
              <w:rPr>
                <w:rFonts w:eastAsia="Times New Roman"/>
                <w:noProof/>
                <w:color w:val="000000"/>
                <w:sz w:val="18"/>
                <w:szCs w:val="18"/>
                <w:lang w:eastAsia="en-GB"/>
              </w:rPr>
            </w:pPr>
          </w:p>
        </w:tc>
        <w:tc>
          <w:tcPr>
            <w:tcW w:w="956" w:type="dxa"/>
            <w:noWrap/>
            <w:hideMark/>
          </w:tcPr>
          <w:p>
            <w:pPr>
              <w:spacing w:after="0"/>
              <w:rPr>
                <w:rFonts w:asciiTheme="minorHAnsi" w:hAnsiTheme="minorHAnsi" w:cstheme="minorBidi"/>
                <w:noProof/>
                <w:sz w:val="20"/>
                <w:szCs w:val="20"/>
                <w:lang w:eastAsia="en-GB"/>
              </w:rPr>
            </w:pPr>
          </w:p>
        </w:tc>
        <w:tc>
          <w:tcPr>
            <w:tcW w:w="1048" w:type="dxa"/>
            <w:noWrap/>
            <w:hideMark/>
          </w:tcPr>
          <w:p>
            <w:pPr>
              <w:spacing w:after="0"/>
              <w:rPr>
                <w:rFonts w:asciiTheme="minorHAnsi" w:hAnsiTheme="minorHAnsi" w:cstheme="minorBidi"/>
                <w:noProof/>
                <w:sz w:val="20"/>
                <w:szCs w:val="20"/>
                <w:lang w:eastAsia="en-GB"/>
              </w:rPr>
            </w:pPr>
          </w:p>
        </w:tc>
        <w:tc>
          <w:tcPr>
            <w:tcW w:w="1047" w:type="dxa"/>
            <w:noWrap/>
            <w:hideMark/>
          </w:tcPr>
          <w:p>
            <w:pPr>
              <w:spacing w:after="0"/>
              <w:rPr>
                <w:rFonts w:asciiTheme="minorHAnsi" w:hAnsiTheme="minorHAnsi" w:cstheme="minorBidi"/>
                <w:noProof/>
                <w:sz w:val="20"/>
                <w:szCs w:val="20"/>
                <w:lang w:eastAsia="en-GB"/>
              </w:rPr>
            </w:pPr>
          </w:p>
        </w:tc>
      </w:tr>
      <w:tr>
        <w:trPr>
          <w:trHeight w:val="254"/>
        </w:trPr>
        <w:tc>
          <w:tcPr>
            <w:tcW w:w="1028" w:type="dxa"/>
            <w:noWrap/>
            <w:hideMark/>
          </w:tcPr>
          <w:p>
            <w:pPr>
              <w:spacing w:after="0"/>
              <w:rPr>
                <w:rFonts w:asciiTheme="minorHAnsi" w:hAnsiTheme="minorHAnsi" w:cstheme="minorBidi"/>
                <w:noProof/>
                <w:sz w:val="20"/>
                <w:szCs w:val="20"/>
                <w:lang w:eastAsia="en-GB"/>
              </w:rPr>
            </w:pPr>
          </w:p>
        </w:tc>
        <w:tc>
          <w:tcPr>
            <w:tcW w:w="1115" w:type="dxa"/>
            <w:noWrap/>
            <w:hideMark/>
          </w:tcPr>
          <w:p>
            <w:pPr>
              <w:spacing w:after="0"/>
              <w:rPr>
                <w:rFonts w:asciiTheme="minorHAnsi" w:hAnsiTheme="minorHAnsi" w:cstheme="minorBidi"/>
                <w:noProof/>
                <w:sz w:val="20"/>
                <w:szCs w:val="20"/>
                <w:lang w:eastAsia="en-GB"/>
              </w:rPr>
            </w:pPr>
          </w:p>
        </w:tc>
        <w:tc>
          <w:tcPr>
            <w:tcW w:w="1027" w:type="dxa"/>
          </w:tcPr>
          <w:p>
            <w:pPr>
              <w:spacing w:after="0"/>
              <w:rPr>
                <w:rFonts w:asciiTheme="minorHAnsi" w:hAnsiTheme="minorHAnsi" w:cstheme="minorBidi"/>
                <w:noProof/>
                <w:sz w:val="20"/>
                <w:szCs w:val="20"/>
                <w:lang w:eastAsia="en-GB"/>
              </w:rPr>
            </w:pPr>
          </w:p>
        </w:tc>
        <w:tc>
          <w:tcPr>
            <w:tcW w:w="1028" w:type="dxa"/>
            <w:noWrap/>
            <w:hideMark/>
          </w:tcPr>
          <w:p>
            <w:pPr>
              <w:spacing w:after="0"/>
              <w:rPr>
                <w:rFonts w:asciiTheme="minorHAnsi" w:hAnsiTheme="minorHAnsi" w:cstheme="minorBidi"/>
                <w:noProof/>
                <w:sz w:val="20"/>
                <w:szCs w:val="20"/>
                <w:lang w:eastAsia="en-GB"/>
              </w:rPr>
            </w:pPr>
          </w:p>
        </w:tc>
        <w:tc>
          <w:tcPr>
            <w:tcW w:w="1019" w:type="dxa"/>
            <w:noWrap/>
            <w:hideMark/>
          </w:tcPr>
          <w:p>
            <w:pPr>
              <w:spacing w:after="0"/>
              <w:rPr>
                <w:rFonts w:asciiTheme="minorHAnsi" w:hAnsiTheme="minorHAnsi" w:cstheme="minorBidi"/>
                <w:noProof/>
                <w:sz w:val="20"/>
                <w:szCs w:val="20"/>
                <w:lang w:eastAsia="en-GB"/>
              </w:rPr>
            </w:pPr>
          </w:p>
        </w:tc>
        <w:tc>
          <w:tcPr>
            <w:tcW w:w="1021" w:type="dxa"/>
            <w:noWrap/>
            <w:hideMark/>
          </w:tcPr>
          <w:p>
            <w:pPr>
              <w:spacing w:after="0"/>
              <w:rPr>
                <w:rFonts w:asciiTheme="minorHAnsi" w:hAnsiTheme="minorHAnsi" w:cstheme="minorBidi"/>
                <w:noProof/>
                <w:sz w:val="20"/>
                <w:szCs w:val="20"/>
                <w:lang w:eastAsia="en-GB"/>
              </w:rPr>
            </w:pPr>
          </w:p>
        </w:tc>
        <w:tc>
          <w:tcPr>
            <w:tcW w:w="956" w:type="dxa"/>
            <w:noWrap/>
            <w:hideMark/>
          </w:tcPr>
          <w:p>
            <w:pPr>
              <w:spacing w:after="0"/>
              <w:rPr>
                <w:rFonts w:asciiTheme="minorHAnsi" w:hAnsiTheme="minorHAnsi" w:cstheme="minorBidi"/>
                <w:noProof/>
                <w:sz w:val="20"/>
                <w:szCs w:val="20"/>
                <w:lang w:eastAsia="en-GB"/>
              </w:rPr>
            </w:pPr>
          </w:p>
        </w:tc>
        <w:tc>
          <w:tcPr>
            <w:tcW w:w="1048" w:type="dxa"/>
            <w:noWrap/>
            <w:hideMark/>
          </w:tcPr>
          <w:p>
            <w:pPr>
              <w:spacing w:after="0"/>
              <w:rPr>
                <w:rFonts w:asciiTheme="minorHAnsi" w:hAnsiTheme="minorHAnsi" w:cstheme="minorBidi"/>
                <w:noProof/>
                <w:sz w:val="20"/>
                <w:szCs w:val="20"/>
                <w:lang w:eastAsia="en-GB"/>
              </w:rPr>
            </w:pPr>
          </w:p>
        </w:tc>
        <w:tc>
          <w:tcPr>
            <w:tcW w:w="1047" w:type="dxa"/>
            <w:noWrap/>
            <w:hideMark/>
          </w:tcPr>
          <w:p>
            <w:pPr>
              <w:spacing w:after="0"/>
              <w:rPr>
                <w:rFonts w:asciiTheme="minorHAnsi" w:hAnsiTheme="minorHAnsi" w:cstheme="minorBidi"/>
                <w:noProof/>
                <w:sz w:val="20"/>
                <w:szCs w:val="20"/>
                <w:lang w:eastAsia="en-GB"/>
              </w:rPr>
            </w:pPr>
          </w:p>
        </w:tc>
      </w:tr>
      <w:tr>
        <w:trPr>
          <w:trHeight w:val="269"/>
        </w:trPr>
        <w:tc>
          <w:tcPr>
            <w:tcW w:w="1028"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115" w:type="dxa"/>
            <w:noWrap/>
            <w:hideMark/>
          </w:tcPr>
          <w:p>
            <w:pPr>
              <w:rPr>
                <w:rFonts w:eastAsia="Times New Roman"/>
                <w:noProof/>
                <w:color w:val="000000"/>
                <w:sz w:val="18"/>
                <w:szCs w:val="18"/>
                <w:lang w:eastAsia="en-GB"/>
              </w:rPr>
            </w:pPr>
          </w:p>
        </w:tc>
        <w:tc>
          <w:tcPr>
            <w:tcW w:w="1027" w:type="dxa"/>
          </w:tcPr>
          <w:p>
            <w:pPr>
              <w:spacing w:after="0"/>
              <w:jc w:val="right"/>
              <w:rPr>
                <w:rFonts w:eastAsia="Times New Roman"/>
                <w:noProof/>
                <w:color w:val="000000"/>
                <w:sz w:val="18"/>
                <w:szCs w:val="18"/>
                <w:lang w:eastAsia="en-GB"/>
              </w:rPr>
            </w:pPr>
          </w:p>
        </w:tc>
        <w:tc>
          <w:tcPr>
            <w:tcW w:w="1028"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4 018</w:t>
            </w:r>
          </w:p>
        </w:tc>
        <w:tc>
          <w:tcPr>
            <w:tcW w:w="1019"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r>
              <w:rPr>
                <w:rFonts w:eastAsia="Times New Roman"/>
                <w:noProof/>
                <w:color w:val="000000"/>
                <w:sz w:val="18"/>
                <w:szCs w:val="18"/>
                <w:lang w:eastAsia="en-GB"/>
              </w:rPr>
              <w:t xml:space="preserve"> ”</w:t>
            </w:r>
          </w:p>
        </w:tc>
        <w:tc>
          <w:tcPr>
            <w:tcW w:w="1021" w:type="dxa"/>
            <w:noWrap/>
            <w:hideMark/>
          </w:tcPr>
          <w:p>
            <w:pPr>
              <w:rPr>
                <w:rFonts w:eastAsia="Times New Roman"/>
                <w:noProof/>
                <w:color w:val="000000"/>
                <w:sz w:val="18"/>
                <w:szCs w:val="18"/>
                <w:lang w:eastAsia="en-GB"/>
              </w:rPr>
            </w:pPr>
          </w:p>
        </w:tc>
        <w:tc>
          <w:tcPr>
            <w:tcW w:w="956" w:type="dxa"/>
            <w:noWrap/>
            <w:hideMark/>
          </w:tcPr>
          <w:p>
            <w:pPr>
              <w:spacing w:after="0"/>
              <w:rPr>
                <w:rFonts w:asciiTheme="minorHAnsi" w:hAnsiTheme="minorHAnsi" w:cstheme="minorBidi"/>
                <w:noProof/>
                <w:sz w:val="20"/>
                <w:szCs w:val="20"/>
                <w:lang w:eastAsia="en-GB"/>
              </w:rPr>
            </w:pPr>
          </w:p>
        </w:tc>
        <w:tc>
          <w:tcPr>
            <w:tcW w:w="1048" w:type="dxa"/>
            <w:noWrap/>
            <w:hideMark/>
          </w:tcPr>
          <w:p>
            <w:pPr>
              <w:spacing w:after="0"/>
              <w:rPr>
                <w:rFonts w:asciiTheme="minorHAnsi" w:hAnsiTheme="minorHAnsi" w:cstheme="minorBidi"/>
                <w:noProof/>
                <w:sz w:val="20"/>
                <w:szCs w:val="20"/>
                <w:lang w:eastAsia="en-GB"/>
              </w:rPr>
            </w:pPr>
          </w:p>
        </w:tc>
        <w:tc>
          <w:tcPr>
            <w:tcW w:w="1047" w:type="dxa"/>
            <w:noWrap/>
            <w:hideMark/>
          </w:tcPr>
          <w:p>
            <w:pPr>
              <w:spacing w:after="0"/>
              <w:rPr>
                <w:rFonts w:asciiTheme="minorHAnsi" w:hAnsiTheme="minorHAnsi" w:cstheme="minorBidi"/>
                <w:noProof/>
                <w:sz w:val="20"/>
                <w:szCs w:val="20"/>
                <w:lang w:eastAsia="en-GB"/>
              </w:rPr>
            </w:pPr>
          </w:p>
        </w:tc>
      </w:tr>
      <w:tr>
        <w:trPr>
          <w:trHeight w:val="284"/>
        </w:trPr>
        <w:tc>
          <w:tcPr>
            <w:tcW w:w="1028" w:type="dxa"/>
            <w:tcBorders>
              <w:bottom w:val="single" w:sz="8" w:space="0" w:color="000000"/>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261" w:type="dxa"/>
            <w:gridSpan w:val="8"/>
            <w:tcBorders>
              <w:bottom w:val="single" w:sz="8" w:space="0" w:color="000000"/>
            </w:tcBorders>
          </w:tcPr>
          <w:p>
            <w:pPr>
              <w:spacing w:after="0"/>
              <w:rPr>
                <w:rFonts w:asciiTheme="minorHAnsi" w:hAnsiTheme="minorHAnsi" w:cstheme="minorBidi"/>
                <w:noProof/>
                <w:sz w:val="20"/>
                <w:szCs w:val="20"/>
                <w:lang w:eastAsia="en-GB"/>
              </w:rPr>
            </w:pPr>
            <w:r>
              <w:rPr>
                <w:rFonts w:eastAsia="Times New Roman"/>
                <w:noProof/>
                <w:sz w:val="18"/>
                <w:szCs w:val="18"/>
                <w:vertAlign w:val="superscript"/>
                <w:lang w:eastAsia="en-GB"/>
              </w:rPr>
              <w:t>The quota may only be fished from 1 July 2020 to 30 June 2021.</w:t>
            </w:r>
          </w:p>
        </w:tc>
      </w:tr>
    </w:tbl>
    <w:p>
      <w:pPr>
        <w:rPr>
          <w:noProof/>
        </w:rPr>
      </w:pPr>
      <w:r>
        <w:rPr>
          <w:noProof/>
        </w:rPr>
        <w:t>;</w:t>
      </w:r>
    </w:p>
    <w:p>
      <w:pPr>
        <w:pStyle w:val="Point1letter"/>
        <w:rPr>
          <w:noProof/>
        </w:rPr>
      </w:pPr>
      <w:r>
        <w:rPr>
          <w:noProof/>
        </w:rPr>
        <w:tab/>
        <w:t>the fishing opportunities table for herring in Union and Norwegian waters of 4 north of 53º 30' N, is replaced by the following:</w:t>
      </w:r>
    </w:p>
    <w:tbl>
      <w:tblPr>
        <w:tblW w:w="9289" w:type="dxa"/>
        <w:tblLook w:val="04A0" w:firstRow="1" w:lastRow="0" w:firstColumn="1" w:lastColumn="0" w:noHBand="0" w:noVBand="1"/>
      </w:tblPr>
      <w:tblGrid>
        <w:gridCol w:w="1470"/>
        <w:gridCol w:w="1296"/>
        <w:gridCol w:w="1427"/>
        <w:gridCol w:w="449"/>
        <w:gridCol w:w="698"/>
        <w:gridCol w:w="1317"/>
        <w:gridCol w:w="1316"/>
        <w:gridCol w:w="1316"/>
      </w:tblGrid>
      <w:tr>
        <w:trPr>
          <w:trHeight w:val="214"/>
        </w:trPr>
        <w:tc>
          <w:tcPr>
            <w:tcW w:w="1510" w:type="dxa"/>
            <w:tcBorders>
              <w:top w:val="single" w:sz="4" w:space="0" w:color="auto"/>
              <w:left w:val="nil"/>
              <w:bottom w:val="nil"/>
              <w:right w:val="nil"/>
            </w:tcBorders>
            <w:shd w:val="clear" w:color="auto" w:fill="auto"/>
            <w:noWrap/>
            <w:hideMark/>
          </w:tcPr>
          <w:p>
            <w:pPr>
              <w:spacing w:before="0" w:after="160" w:line="259" w:lineRule="auto"/>
              <w:rPr>
                <w:noProof/>
                <w:sz w:val="18"/>
                <w:szCs w:val="18"/>
              </w:rPr>
            </w:pPr>
            <w:r>
              <w:rPr>
                <w:noProof/>
                <w:sz w:val="18"/>
                <w:szCs w:val="18"/>
              </w:rPr>
              <w:t>“Species:</w:t>
            </w:r>
          </w:p>
        </w:tc>
        <w:tc>
          <w:tcPr>
            <w:tcW w:w="1307" w:type="dxa"/>
            <w:tcBorders>
              <w:top w:val="single" w:sz="4" w:space="0" w:color="auto"/>
              <w:left w:val="nil"/>
              <w:bottom w:val="nil"/>
              <w:right w:val="nil"/>
            </w:tcBorders>
            <w:shd w:val="clear" w:color="auto" w:fill="auto"/>
            <w:noWrap/>
            <w:hideMark/>
          </w:tcPr>
          <w:p>
            <w:pPr>
              <w:spacing w:before="0" w:after="160" w:line="259" w:lineRule="auto"/>
              <w:rPr>
                <w:noProof/>
                <w:sz w:val="18"/>
                <w:szCs w:val="18"/>
              </w:rPr>
            </w:pPr>
            <w:r>
              <w:rPr>
                <w:noProof/>
                <w:sz w:val="18"/>
                <w:szCs w:val="18"/>
              </w:rPr>
              <w:t>Herring</w:t>
            </w:r>
            <w:r>
              <w:rPr>
                <w:b/>
                <w:bCs/>
                <w:noProof/>
                <w:sz w:val="18"/>
                <w:szCs w:val="18"/>
                <w:vertAlign w:val="superscript"/>
              </w:rPr>
              <w:t>(1)</w:t>
            </w:r>
          </w:p>
        </w:tc>
        <w:tc>
          <w:tcPr>
            <w:tcW w:w="0" w:type="auto"/>
            <w:tcBorders>
              <w:top w:val="single" w:sz="4" w:space="0" w:color="auto"/>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single" w:sz="4" w:space="0" w:color="auto"/>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single" w:sz="4" w:space="0" w:color="auto"/>
              <w:left w:val="single" w:sz="8" w:space="0" w:color="000000"/>
              <w:bottom w:val="nil"/>
              <w:right w:val="nil"/>
            </w:tcBorders>
            <w:shd w:val="clear" w:color="auto" w:fill="auto"/>
            <w:noWrap/>
            <w:hideMark/>
          </w:tcPr>
          <w:p>
            <w:pPr>
              <w:spacing w:before="0" w:after="160" w:line="259" w:lineRule="auto"/>
              <w:rPr>
                <w:noProof/>
                <w:sz w:val="18"/>
                <w:szCs w:val="18"/>
              </w:rPr>
            </w:pPr>
            <w:r>
              <w:rPr>
                <w:noProof/>
                <w:sz w:val="18"/>
                <w:szCs w:val="18"/>
              </w:rPr>
              <w:t>Zone:</w:t>
            </w:r>
          </w:p>
        </w:tc>
        <w:tc>
          <w:tcPr>
            <w:tcW w:w="0" w:type="auto"/>
            <w:gridSpan w:val="3"/>
            <w:tcBorders>
              <w:top w:val="single" w:sz="4" w:space="0" w:color="auto"/>
              <w:left w:val="nil"/>
              <w:bottom w:val="nil"/>
              <w:right w:val="nil"/>
            </w:tcBorders>
            <w:shd w:val="clear" w:color="auto" w:fill="auto"/>
            <w:noWrap/>
            <w:hideMark/>
          </w:tcPr>
          <w:p>
            <w:pPr>
              <w:spacing w:before="0" w:after="160" w:line="259" w:lineRule="auto"/>
              <w:rPr>
                <w:noProof/>
                <w:sz w:val="18"/>
                <w:szCs w:val="18"/>
              </w:rPr>
            </w:pPr>
            <w:r>
              <w:rPr>
                <w:noProof/>
                <w:sz w:val="18"/>
                <w:szCs w:val="18"/>
              </w:rPr>
              <w:t>Union and Norwegian waters of 4 north of 53º 30' N</w:t>
            </w:r>
          </w:p>
        </w:tc>
      </w:tr>
      <w:tr>
        <w:trPr>
          <w:trHeight w:val="214"/>
        </w:trPr>
        <w:tc>
          <w:tcPr>
            <w:tcW w:w="1510" w:type="dxa"/>
            <w:tcBorders>
              <w:top w:val="nil"/>
              <w:left w:val="nil"/>
              <w:bottom w:val="single" w:sz="8" w:space="0" w:color="000000"/>
              <w:right w:val="nil"/>
            </w:tcBorders>
            <w:shd w:val="clear" w:color="auto" w:fill="auto"/>
            <w:noWrap/>
            <w:hideMark/>
          </w:tcPr>
          <w:p>
            <w:pPr>
              <w:spacing w:before="0" w:after="160" w:line="259" w:lineRule="auto"/>
              <w:rPr>
                <w:noProof/>
                <w:sz w:val="18"/>
                <w:szCs w:val="18"/>
              </w:rPr>
            </w:pPr>
          </w:p>
        </w:tc>
        <w:tc>
          <w:tcPr>
            <w:tcW w:w="2763" w:type="dxa"/>
            <w:gridSpan w:val="2"/>
            <w:tcBorders>
              <w:top w:val="nil"/>
              <w:left w:val="nil"/>
              <w:bottom w:val="single" w:sz="8" w:space="0" w:color="000000"/>
              <w:right w:val="nil"/>
            </w:tcBorders>
            <w:shd w:val="clear" w:color="auto" w:fill="auto"/>
            <w:noWrap/>
            <w:hideMark/>
          </w:tcPr>
          <w:p>
            <w:pPr>
              <w:spacing w:before="0" w:after="160" w:line="259" w:lineRule="auto"/>
              <w:rPr>
                <w:i/>
                <w:iCs/>
                <w:noProof/>
                <w:sz w:val="18"/>
                <w:szCs w:val="18"/>
              </w:rPr>
            </w:pPr>
            <w:r>
              <w:rPr>
                <w:i/>
                <w:iCs/>
                <w:noProof/>
                <w:sz w:val="18"/>
                <w:szCs w:val="18"/>
              </w:rPr>
              <w:t>Clupea harengus</w:t>
            </w:r>
          </w:p>
        </w:tc>
        <w:tc>
          <w:tcPr>
            <w:tcW w:w="0" w:type="auto"/>
            <w:tcBorders>
              <w:top w:val="nil"/>
              <w:left w:val="nil"/>
              <w:bottom w:val="single" w:sz="8" w:space="0" w:color="000000"/>
              <w:right w:val="nil"/>
            </w:tcBorders>
            <w:shd w:val="clear" w:color="auto" w:fill="auto"/>
            <w:noWrap/>
            <w:hideMark/>
          </w:tcPr>
          <w:p>
            <w:pPr>
              <w:spacing w:before="0" w:after="160" w:line="259" w:lineRule="auto"/>
              <w:rPr>
                <w:i/>
                <w:iCs/>
                <w:noProof/>
                <w:sz w:val="18"/>
                <w:szCs w:val="18"/>
              </w:rPr>
            </w:pPr>
          </w:p>
        </w:tc>
        <w:tc>
          <w:tcPr>
            <w:tcW w:w="0" w:type="auto"/>
            <w:tcBorders>
              <w:top w:val="nil"/>
              <w:left w:val="single" w:sz="8" w:space="0" w:color="000000"/>
              <w:bottom w:val="single" w:sz="8" w:space="0" w:color="000000"/>
              <w:right w:val="nil"/>
            </w:tcBorders>
            <w:shd w:val="clear" w:color="auto" w:fill="auto"/>
            <w:noWrap/>
            <w:hideMark/>
          </w:tcPr>
          <w:p>
            <w:pPr>
              <w:spacing w:before="0" w:after="160" w:line="259" w:lineRule="auto"/>
              <w:rPr>
                <w:noProof/>
                <w:sz w:val="18"/>
                <w:szCs w:val="18"/>
              </w:rPr>
            </w:pPr>
          </w:p>
        </w:tc>
        <w:tc>
          <w:tcPr>
            <w:tcW w:w="0" w:type="auto"/>
            <w:gridSpan w:val="2"/>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(HER/4AB.)</w:t>
            </w: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Denmark</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59 468</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gridSpan w:val="2"/>
            <w:tcBorders>
              <w:top w:val="single" w:sz="8" w:space="0" w:color="000000"/>
              <w:left w:val="nil"/>
              <w:bottom w:val="nil"/>
              <w:right w:val="nil"/>
            </w:tcBorders>
            <w:shd w:val="clear" w:color="auto" w:fill="auto"/>
            <w:noWrap/>
            <w:hideMark/>
          </w:tcPr>
          <w:p>
            <w:pPr>
              <w:spacing w:before="0" w:after="160" w:line="259" w:lineRule="auto"/>
              <w:rPr>
                <w:noProof/>
                <w:sz w:val="18"/>
                <w:szCs w:val="18"/>
              </w:rPr>
            </w:pPr>
            <w:r>
              <w:rPr>
                <w:noProof/>
                <w:sz w:val="18"/>
                <w:szCs w:val="18"/>
              </w:rPr>
              <w:t>Analytical TAC</w:t>
            </w:r>
          </w:p>
        </w:tc>
        <w:tc>
          <w:tcPr>
            <w:tcW w:w="0" w:type="auto"/>
            <w:tcBorders>
              <w:top w:val="single" w:sz="8" w:space="0" w:color="000000"/>
              <w:left w:val="nil"/>
              <w:bottom w:val="nil"/>
              <w:right w:val="nil"/>
            </w:tcBorders>
            <w:shd w:val="clear" w:color="auto" w:fill="auto"/>
            <w:noWrap/>
            <w:hideMark/>
          </w:tcPr>
          <w:p>
            <w:pPr>
              <w:spacing w:before="0" w:after="160" w:line="259" w:lineRule="auto"/>
              <w:rPr>
                <w:noProof/>
              </w:rPr>
            </w:pPr>
          </w:p>
        </w:tc>
        <w:tc>
          <w:tcPr>
            <w:tcW w:w="0" w:type="auto"/>
            <w:tcBorders>
              <w:top w:val="single" w:sz="8" w:space="0" w:color="000000"/>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Germany</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39 404</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gridSpan w:val="3"/>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Article 7(2) of this Regulation applies</w:t>
            </w: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France</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20 670</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0" w:type="auto"/>
            <w:gridSpan w:val="2"/>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The Netherlands</w:t>
            </w: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51 717</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Sweden</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3 913</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0" w:type="auto"/>
            <w:gridSpan w:val="2"/>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United Kingdom</w:t>
            </w: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55 583</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Union</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230 755</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0" w:type="auto"/>
            <w:gridSpan w:val="2"/>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Faroe Islands</w:t>
            </w: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250</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Norway</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right"/>
              <w:rPr>
                <w:noProof/>
                <w:sz w:val="18"/>
                <w:szCs w:val="18"/>
              </w:rPr>
            </w:pPr>
            <w:r>
              <w:rPr>
                <w:noProof/>
                <w:sz w:val="18"/>
                <w:szCs w:val="18"/>
              </w:rPr>
              <w:t>111 652</w:t>
            </w:r>
          </w:p>
        </w:tc>
        <w:tc>
          <w:tcPr>
            <w:tcW w:w="0" w:type="auto"/>
            <w:tcBorders>
              <w:top w:val="nil"/>
              <w:left w:val="nil"/>
              <w:bottom w:val="nil"/>
              <w:right w:val="nil"/>
            </w:tcBorders>
            <w:shd w:val="clear" w:color="auto" w:fill="auto"/>
            <w:noWrap/>
            <w:hideMark/>
          </w:tcPr>
          <w:p>
            <w:pPr>
              <w:spacing w:before="0" w:after="160" w:line="259" w:lineRule="auto"/>
              <w:rPr>
                <w:b/>
                <w:bCs/>
                <w:noProof/>
                <w:sz w:val="18"/>
                <w:szCs w:val="18"/>
              </w:rPr>
            </w:pPr>
            <w:r>
              <w:rPr>
                <w:b/>
                <w:bCs/>
                <w:noProof/>
                <w:sz w:val="18"/>
                <w:szCs w:val="18"/>
                <w:vertAlign w:val="superscript"/>
              </w:rPr>
              <w:t>(2)</w:t>
            </w: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r>
              <w:rPr>
                <w:noProof/>
                <w:sz w:val="18"/>
                <w:szCs w:val="18"/>
              </w:rPr>
              <w:t>TAC</w:t>
            </w: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r>
              <w:rPr>
                <w:noProof/>
                <w:sz w:val="18"/>
                <w:szCs w:val="18"/>
              </w:rPr>
              <w:t>385 008</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jc w:val="left"/>
              <w:rPr>
                <w:b/>
                <w:bCs/>
                <w:noProof/>
                <w:sz w:val="18"/>
                <w:szCs w:val="18"/>
              </w:rPr>
            </w:pPr>
            <w:r>
              <w:rPr>
                <w:b/>
                <w:bCs/>
                <w:noProof/>
                <w:sz w:val="18"/>
                <w:szCs w:val="18"/>
                <w:vertAlign w:val="superscript"/>
              </w:rPr>
              <w:t>(1)</w:t>
            </w:r>
          </w:p>
        </w:tc>
        <w:tc>
          <w:tcPr>
            <w:tcW w:w="7779" w:type="dxa"/>
            <w:gridSpan w:val="7"/>
            <w:tcBorders>
              <w:top w:val="nil"/>
              <w:left w:val="nil"/>
              <w:bottom w:val="nil"/>
              <w:right w:val="nil"/>
            </w:tcBorders>
            <w:shd w:val="clear" w:color="auto" w:fill="auto"/>
            <w:noWrap/>
            <w:hideMark/>
          </w:tcPr>
          <w:p>
            <w:pPr>
              <w:spacing w:before="0" w:after="160" w:line="259" w:lineRule="auto"/>
              <w:rPr>
                <w:noProof/>
              </w:rPr>
            </w:pPr>
            <w:r>
              <w:rPr>
                <w:noProof/>
                <w:sz w:val="18"/>
                <w:szCs w:val="18"/>
              </w:rPr>
              <w:t>Catches of herring taken in fisheries using nets with mesh sizes equal to or larger than 32 mm.</w:t>
            </w:r>
          </w:p>
        </w:tc>
      </w:tr>
      <w:tr>
        <w:trPr>
          <w:trHeight w:val="214"/>
        </w:trPr>
        <w:tc>
          <w:tcPr>
            <w:tcW w:w="1510" w:type="dxa"/>
            <w:tcBorders>
              <w:top w:val="nil"/>
              <w:left w:val="nil"/>
              <w:bottom w:val="nil"/>
              <w:right w:val="nil"/>
            </w:tcBorders>
            <w:shd w:val="clear" w:color="auto" w:fill="auto"/>
            <w:noWrap/>
            <w:hideMark/>
          </w:tcPr>
          <w:p>
            <w:pPr>
              <w:spacing w:before="0" w:after="160" w:line="259" w:lineRule="auto"/>
              <w:jc w:val="left"/>
              <w:rPr>
                <w:b/>
                <w:bCs/>
                <w:noProof/>
                <w:sz w:val="18"/>
                <w:szCs w:val="18"/>
              </w:rPr>
            </w:pPr>
            <w:r>
              <w:rPr>
                <w:b/>
                <w:bCs/>
                <w:noProof/>
                <w:sz w:val="18"/>
                <w:szCs w:val="18"/>
                <w:vertAlign w:val="superscript"/>
              </w:rPr>
              <w:t>(2)</w:t>
            </w:r>
          </w:p>
        </w:tc>
        <w:tc>
          <w:tcPr>
            <w:tcW w:w="7779" w:type="dxa"/>
            <w:gridSpan w:val="7"/>
            <w:tcBorders>
              <w:top w:val="nil"/>
              <w:left w:val="nil"/>
              <w:bottom w:val="nil"/>
              <w:right w:val="nil"/>
            </w:tcBorders>
            <w:shd w:val="clear" w:color="auto" w:fill="auto"/>
            <w:noWrap/>
            <w:hideMark/>
          </w:tcPr>
          <w:p>
            <w:pPr>
              <w:spacing w:before="0" w:after="160" w:line="259" w:lineRule="auto"/>
              <w:rPr>
                <w:noProof/>
                <w:sz w:val="18"/>
                <w:szCs w:val="18"/>
                <w:highlight w:val="yellow"/>
              </w:rPr>
            </w:pPr>
            <w:r>
              <w:rPr>
                <w:noProof/>
                <w:sz w:val="18"/>
                <w:szCs w:val="18"/>
              </w:rPr>
              <w:t>Catches taken within this quota are to be deducted from Norway’s share of the TAC. Within the limit of this quota, no more than the quantity given below may be taken in Union waters of 4a and 4b (HER/*4AB-C). An additional quantity of maximum 10 000 tonnes will be granted if such an increase is called for by Norway.</w:t>
            </w:r>
          </w:p>
        </w:tc>
      </w:tr>
      <w:tr>
        <w:trPr>
          <w:trHeight w:val="214"/>
        </w:trPr>
        <w:tc>
          <w:tcPr>
            <w:tcW w:w="1510"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1307" w:type="dxa"/>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r>
              <w:rPr>
                <w:noProof/>
                <w:sz w:val="18"/>
                <w:szCs w:val="18"/>
              </w:rPr>
              <w:t>50 000</w:t>
            </w:r>
          </w:p>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rPr>
                <w:noProof/>
              </w:rPr>
            </w:pPr>
          </w:p>
        </w:tc>
        <w:tc>
          <w:tcPr>
            <w:tcW w:w="0" w:type="auto"/>
            <w:tcBorders>
              <w:top w:val="nil"/>
              <w:left w:val="nil"/>
              <w:bottom w:val="nil"/>
              <w:right w:val="nil"/>
            </w:tcBorders>
            <w:shd w:val="clear" w:color="auto" w:fill="auto"/>
            <w:noWrap/>
            <w:hideMark/>
          </w:tcPr>
          <w:p>
            <w:pPr>
              <w:spacing w:before="0" w:after="160" w:line="259" w:lineRule="auto"/>
              <w:rPr>
                <w:noProof/>
              </w:rPr>
            </w:pPr>
          </w:p>
        </w:tc>
      </w:tr>
      <w:tr>
        <w:trPr>
          <w:trHeight w:val="214"/>
        </w:trPr>
        <w:tc>
          <w:tcPr>
            <w:tcW w:w="0" w:type="auto"/>
            <w:gridSpan w:val="8"/>
            <w:tcBorders>
              <w:top w:val="single" w:sz="4" w:space="0" w:color="auto"/>
              <w:left w:val="nil"/>
              <w:bottom w:val="nil"/>
              <w:right w:val="nil"/>
            </w:tcBorders>
            <w:shd w:val="clear" w:color="auto" w:fill="auto"/>
            <w:noWrap/>
            <w:hideMark/>
          </w:tcPr>
          <w:p>
            <w:pPr>
              <w:spacing w:before="0" w:after="160" w:line="259" w:lineRule="auto"/>
              <w:jc w:val="left"/>
              <w:rPr>
                <w:noProof/>
                <w:sz w:val="18"/>
                <w:szCs w:val="18"/>
              </w:rPr>
            </w:pPr>
            <w:r>
              <w:rPr>
                <w:noProof/>
                <w:sz w:val="18"/>
                <w:szCs w:val="18"/>
              </w:rPr>
              <w:t xml:space="preserve">Special condition: within the limits of the abovementioned quotas, no more than the quantities given below may be taken by the Union in Norwegian waters south of 62° N. An additional quantity of maximum 10 000 tonnes will be granted if such an increase is called for by the European Union.  </w:t>
            </w:r>
          </w:p>
          <w:p>
            <w:pPr>
              <w:spacing w:before="0" w:after="0" w:line="259" w:lineRule="auto"/>
              <w:jc w:val="center"/>
              <w:rPr>
                <w:noProof/>
                <w:sz w:val="18"/>
                <w:szCs w:val="18"/>
              </w:rPr>
            </w:pPr>
            <w:r>
              <w:rPr>
                <w:noProof/>
                <w:sz w:val="18"/>
                <w:szCs w:val="18"/>
              </w:rPr>
              <w:t xml:space="preserve">Norwegian waters south of 62° N </w:t>
            </w:r>
          </w:p>
          <w:p>
            <w:pPr>
              <w:spacing w:before="0" w:after="160" w:line="259" w:lineRule="auto"/>
              <w:jc w:val="center"/>
              <w:rPr>
                <w:noProof/>
                <w:sz w:val="18"/>
                <w:szCs w:val="18"/>
              </w:rPr>
            </w:pPr>
            <w:r>
              <w:rPr>
                <w:noProof/>
                <w:sz w:val="18"/>
                <w:szCs w:val="18"/>
              </w:rPr>
              <w:t>(HER/*04N-)</w:t>
            </w:r>
            <w:r>
              <w:rPr>
                <w:b/>
                <w:bCs/>
                <w:noProof/>
                <w:sz w:val="18"/>
                <w:szCs w:val="18"/>
                <w:vertAlign w:val="superscript"/>
              </w:rPr>
              <w:t>(1)</w:t>
            </w:r>
          </w:p>
        </w:tc>
      </w:tr>
      <w:tr>
        <w:trPr>
          <w:trHeight w:val="214"/>
        </w:trPr>
        <w:tc>
          <w:tcPr>
            <w:tcW w:w="0" w:type="auto"/>
            <w:gridSpan w:val="2"/>
            <w:tcBorders>
              <w:top w:val="nil"/>
              <w:left w:val="nil"/>
              <w:bottom w:val="nil"/>
              <w:right w:val="nil"/>
            </w:tcBorders>
            <w:shd w:val="clear" w:color="auto" w:fill="auto"/>
            <w:noWrap/>
            <w:hideMark/>
          </w:tcPr>
          <w:p>
            <w:pPr>
              <w:spacing w:before="0" w:after="160" w:line="259" w:lineRule="auto"/>
              <w:jc w:val="left"/>
              <w:rPr>
                <w:noProof/>
                <w:sz w:val="18"/>
                <w:szCs w:val="18"/>
              </w:rPr>
            </w:pPr>
            <w:r>
              <w:rPr>
                <w:noProof/>
                <w:sz w:val="18"/>
                <w:szCs w:val="18"/>
              </w:rPr>
              <w:t xml:space="preserve">                                    </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r>
              <w:rPr>
                <w:noProof/>
                <w:sz w:val="18"/>
                <w:szCs w:val="18"/>
              </w:rPr>
              <w:t>50 000</w:t>
            </w: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sz w:val="18"/>
                <w:szCs w:val="18"/>
              </w:rPr>
            </w:pPr>
          </w:p>
        </w:tc>
        <w:tc>
          <w:tcPr>
            <w:tcW w:w="0" w:type="auto"/>
            <w:tcBorders>
              <w:top w:val="nil"/>
              <w:left w:val="nil"/>
              <w:bottom w:val="nil"/>
              <w:right w:val="nil"/>
            </w:tcBorders>
            <w:shd w:val="clear" w:color="auto" w:fill="auto"/>
            <w:noWrap/>
            <w:hideMark/>
          </w:tcPr>
          <w:p>
            <w:pPr>
              <w:spacing w:before="0" w:after="160" w:line="259" w:lineRule="auto"/>
              <w:jc w:val="left"/>
              <w:rPr>
                <w:noProof/>
              </w:rPr>
            </w:pPr>
          </w:p>
        </w:tc>
        <w:tc>
          <w:tcPr>
            <w:tcW w:w="0" w:type="auto"/>
            <w:tcBorders>
              <w:top w:val="nil"/>
              <w:left w:val="nil"/>
              <w:bottom w:val="nil"/>
              <w:right w:val="nil"/>
            </w:tcBorders>
            <w:shd w:val="clear" w:color="auto" w:fill="auto"/>
            <w:noWrap/>
            <w:hideMark/>
          </w:tcPr>
          <w:p>
            <w:pPr>
              <w:spacing w:before="0" w:after="160" w:line="259" w:lineRule="auto"/>
              <w:jc w:val="left"/>
              <w:rPr>
                <w:noProof/>
              </w:rPr>
            </w:pPr>
          </w:p>
        </w:tc>
      </w:tr>
      <w:tr>
        <w:trPr>
          <w:trHeight w:val="214"/>
        </w:trPr>
        <w:tc>
          <w:tcPr>
            <w:tcW w:w="1510" w:type="dxa"/>
            <w:tcBorders>
              <w:top w:val="nil"/>
              <w:left w:val="nil"/>
              <w:bottom w:val="nil"/>
              <w:right w:val="nil"/>
            </w:tcBorders>
            <w:shd w:val="clear" w:color="auto" w:fill="auto"/>
            <w:noWrap/>
            <w:hideMark/>
          </w:tcPr>
          <w:p>
            <w:pPr>
              <w:spacing w:before="0" w:after="160" w:line="259" w:lineRule="auto"/>
              <w:jc w:val="left"/>
              <w:rPr>
                <w:b/>
                <w:bCs/>
                <w:noProof/>
                <w:sz w:val="18"/>
                <w:szCs w:val="18"/>
                <w:vertAlign w:val="superscript"/>
              </w:rPr>
            </w:pPr>
          </w:p>
          <w:p>
            <w:pPr>
              <w:spacing w:before="0" w:after="160" w:line="259" w:lineRule="auto"/>
              <w:jc w:val="left"/>
              <w:rPr>
                <w:b/>
                <w:bCs/>
                <w:noProof/>
                <w:sz w:val="18"/>
                <w:szCs w:val="18"/>
              </w:rPr>
            </w:pPr>
          </w:p>
        </w:tc>
        <w:tc>
          <w:tcPr>
            <w:tcW w:w="7779" w:type="dxa"/>
            <w:gridSpan w:val="7"/>
            <w:tcBorders>
              <w:top w:val="nil"/>
              <w:left w:val="nil"/>
              <w:bottom w:val="nil"/>
              <w:right w:val="nil"/>
            </w:tcBorders>
            <w:shd w:val="clear" w:color="auto" w:fill="auto"/>
            <w:noWrap/>
            <w:hideMark/>
          </w:tcPr>
          <w:p>
            <w:pPr>
              <w:spacing w:before="0" w:after="160" w:line="480" w:lineRule="auto"/>
              <w:jc w:val="left"/>
              <w:rPr>
                <w:noProof/>
                <w:sz w:val="18"/>
                <w:szCs w:val="18"/>
              </w:rPr>
            </w:pPr>
            <w:r>
              <w:rPr>
                <w:noProof/>
                <w:sz w:val="18"/>
                <w:szCs w:val="18"/>
              </w:rPr>
              <w:t>”</w:t>
            </w:r>
          </w:p>
        </w:tc>
      </w:tr>
    </w:tbl>
    <w:p>
      <w:pPr>
        <w:rPr>
          <w:noProof/>
        </w:rPr>
      </w:pPr>
      <w:r>
        <w:rPr>
          <w:noProof/>
        </w:rPr>
        <w:t>;</w:t>
      </w:r>
    </w:p>
    <w:p>
      <w:pPr>
        <w:pStyle w:val="Point0"/>
        <w:rPr>
          <w:noProof/>
        </w:rPr>
      </w:pPr>
      <w:r>
        <w:rPr>
          <w:noProof/>
        </w:rPr>
        <w:t>(2)</w:t>
      </w:r>
      <w:r>
        <w:rPr>
          <w:noProof/>
        </w:rPr>
        <w:tab/>
        <w:t>In Annex ID, the fishing opportunities table for swordfish in the Mediterranean is replaced by the following:</w:t>
      </w:r>
    </w:p>
    <w:tbl>
      <w:tblPr>
        <w:tblW w:w="5000" w:type="pct"/>
        <w:tblLook w:val="06A0" w:firstRow="1" w:lastRow="0" w:firstColumn="1" w:lastColumn="0" w:noHBand="1" w:noVBand="1"/>
      </w:tblPr>
      <w:tblGrid>
        <w:gridCol w:w="1737"/>
        <w:gridCol w:w="1518"/>
        <w:gridCol w:w="1222"/>
        <w:gridCol w:w="28"/>
        <w:gridCol w:w="1182"/>
        <w:gridCol w:w="3602"/>
      </w:tblGrid>
      <w:tr>
        <w:trPr>
          <w:trHeight w:val="227"/>
        </w:trPr>
        <w:tc>
          <w:tcPr>
            <w:tcW w:w="935" w:type="pct"/>
            <w:tcBorders>
              <w:top w:val="single" w:sz="4" w:space="0" w:color="auto"/>
              <w:bottom w:val="single" w:sz="4" w:space="0" w:color="auto"/>
            </w:tcBorders>
          </w:tcPr>
          <w:p>
            <w:pPr>
              <w:pageBreakBefore/>
              <w:spacing w:before="60" w:after="60"/>
              <w:rPr>
                <w:noProof/>
                <w:sz w:val="18"/>
                <w:szCs w:val="18"/>
              </w:rPr>
            </w:pPr>
            <w:r>
              <w:rPr>
                <w:noProof/>
                <w:sz w:val="18"/>
                <w:szCs w:val="18"/>
              </w:rPr>
              <w:t>“Species</w:t>
            </w:r>
          </w:p>
        </w:tc>
        <w:tc>
          <w:tcPr>
            <w:tcW w:w="1475" w:type="pct"/>
            <w:gridSpan w:val="2"/>
            <w:tcBorders>
              <w:top w:val="single" w:sz="4" w:space="0" w:color="auto"/>
              <w:bottom w:val="single" w:sz="4" w:space="0" w:color="auto"/>
              <w:right w:val="single" w:sz="4" w:space="0" w:color="auto"/>
            </w:tcBorders>
          </w:tcPr>
          <w:p>
            <w:pPr>
              <w:spacing w:before="60" w:after="60"/>
              <w:rPr>
                <w:noProof/>
                <w:sz w:val="18"/>
                <w:szCs w:val="18"/>
              </w:rPr>
            </w:pPr>
            <w:r>
              <w:rPr>
                <w:noProof/>
                <w:sz w:val="18"/>
                <w:szCs w:val="18"/>
              </w:rPr>
              <w:t>Swordfish</w:t>
            </w:r>
          </w:p>
          <w:p>
            <w:pPr>
              <w:spacing w:before="60" w:after="60"/>
              <w:rPr>
                <w:i/>
                <w:iCs/>
                <w:noProof/>
                <w:sz w:val="18"/>
                <w:szCs w:val="18"/>
              </w:rPr>
            </w:pPr>
            <w:r>
              <w:rPr>
                <w:i/>
                <w:iCs/>
                <w:noProof/>
                <w:sz w:val="18"/>
                <w:szCs w:val="18"/>
              </w:rPr>
              <w:t>Xiphias gladius</w:t>
            </w:r>
          </w:p>
        </w:tc>
        <w:tc>
          <w:tcPr>
            <w:tcW w:w="651" w:type="pct"/>
            <w:gridSpan w:val="2"/>
            <w:tcBorders>
              <w:top w:val="single" w:sz="4" w:space="0" w:color="auto"/>
              <w:left w:val="single" w:sz="4" w:space="0" w:color="auto"/>
              <w:bottom w:val="single" w:sz="4" w:space="0" w:color="auto"/>
              <w:right w:val="nil"/>
            </w:tcBorders>
          </w:tcPr>
          <w:p>
            <w:pPr>
              <w:spacing w:before="60" w:after="60"/>
              <w:rPr>
                <w:noProof/>
                <w:sz w:val="18"/>
                <w:szCs w:val="18"/>
              </w:rPr>
            </w:pPr>
            <w:r>
              <w:rPr>
                <w:noProof/>
                <w:sz w:val="18"/>
                <w:szCs w:val="18"/>
              </w:rPr>
              <w:t>Zone:</w:t>
            </w:r>
          </w:p>
        </w:tc>
        <w:tc>
          <w:tcPr>
            <w:tcW w:w="1939" w:type="pct"/>
            <w:tcBorders>
              <w:top w:val="single" w:sz="4" w:space="0" w:color="auto"/>
              <w:bottom w:val="single" w:sz="4" w:space="0" w:color="auto"/>
            </w:tcBorders>
          </w:tcPr>
          <w:p>
            <w:pPr>
              <w:spacing w:before="60" w:after="60"/>
              <w:rPr>
                <w:noProof/>
                <w:sz w:val="18"/>
                <w:szCs w:val="18"/>
              </w:rPr>
            </w:pPr>
            <w:r>
              <w:rPr>
                <w:noProof/>
                <w:sz w:val="18"/>
                <w:szCs w:val="18"/>
              </w:rPr>
              <w:t>Mediterranean Sea</w:t>
            </w:r>
          </w:p>
          <w:p>
            <w:pPr>
              <w:spacing w:before="60" w:after="60"/>
              <w:rPr>
                <w:noProof/>
                <w:sz w:val="18"/>
                <w:szCs w:val="18"/>
              </w:rPr>
            </w:pPr>
            <w:r>
              <w:rPr>
                <w:noProof/>
                <w:sz w:val="18"/>
                <w:szCs w:val="18"/>
              </w:rPr>
              <w:t>(SWO/MED)</w:t>
            </w:r>
          </w:p>
        </w:tc>
      </w:tr>
      <w:tr>
        <w:trPr>
          <w:trHeight w:val="227"/>
        </w:trPr>
        <w:tc>
          <w:tcPr>
            <w:tcW w:w="935" w:type="pct"/>
            <w:tcBorders>
              <w:top w:val="single" w:sz="4" w:space="0" w:color="auto"/>
            </w:tcBorders>
          </w:tcPr>
          <w:p>
            <w:pPr>
              <w:spacing w:before="60" w:after="60"/>
              <w:rPr>
                <w:noProof/>
                <w:sz w:val="18"/>
                <w:szCs w:val="18"/>
              </w:rPr>
            </w:pPr>
            <w:r>
              <w:rPr>
                <w:noProof/>
                <w:sz w:val="18"/>
                <w:szCs w:val="18"/>
                <w:lang w:eastAsia="en-GB"/>
              </w:rPr>
              <w:t>Croatia</w:t>
            </w:r>
          </w:p>
        </w:tc>
        <w:tc>
          <w:tcPr>
            <w:tcW w:w="817" w:type="pct"/>
            <w:tcBorders>
              <w:top w:val="single" w:sz="4" w:space="0" w:color="auto"/>
            </w:tcBorders>
          </w:tcPr>
          <w:p>
            <w:pPr>
              <w:spacing w:before="60" w:after="60"/>
              <w:jc w:val="right"/>
              <w:rPr>
                <w:noProof/>
                <w:color w:val="000000"/>
                <w:sz w:val="18"/>
                <w:szCs w:val="18"/>
                <w:lang w:eastAsia="en-GB"/>
              </w:rPr>
            </w:pPr>
            <w:r>
              <w:rPr>
                <w:noProof/>
                <w:color w:val="000000"/>
                <w:sz w:val="18"/>
                <w:szCs w:val="18"/>
                <w:lang w:eastAsia="en-GB"/>
              </w:rPr>
              <w:t>14,60</w:t>
            </w:r>
          </w:p>
        </w:tc>
        <w:tc>
          <w:tcPr>
            <w:tcW w:w="673" w:type="pct"/>
            <w:gridSpan w:val="2"/>
            <w:tcBorders>
              <w:top w:val="single" w:sz="4" w:space="0" w:color="auto"/>
              <w:right w:val="nil"/>
            </w:tcBorders>
          </w:tcPr>
          <w:p>
            <w:pPr>
              <w:spacing w:before="60" w:after="60"/>
              <w:rPr>
                <w:noProof/>
                <w:sz w:val="18"/>
                <w:szCs w:val="18"/>
              </w:rPr>
            </w:pPr>
            <w:r>
              <w:rPr>
                <w:b/>
                <w:bCs/>
                <w:noProof/>
                <w:sz w:val="18"/>
                <w:szCs w:val="18"/>
                <w:vertAlign w:val="superscript"/>
              </w:rPr>
              <w:t>(1)</w:t>
            </w:r>
          </w:p>
        </w:tc>
        <w:tc>
          <w:tcPr>
            <w:tcW w:w="2575" w:type="pct"/>
            <w:gridSpan w:val="2"/>
            <w:vMerge w:val="restart"/>
            <w:tcBorders>
              <w:top w:val="single" w:sz="4" w:space="0" w:color="auto"/>
            </w:tcBorders>
          </w:tcPr>
          <w:p>
            <w:pPr>
              <w:spacing w:before="60" w:after="60"/>
              <w:rPr>
                <w:noProof/>
                <w:sz w:val="18"/>
                <w:szCs w:val="18"/>
                <w:lang w:val="en-IE"/>
              </w:rPr>
            </w:pPr>
            <w:r>
              <w:rPr>
                <w:noProof/>
                <w:sz w:val="18"/>
                <w:szCs w:val="18"/>
                <w:lang w:val="en-IE"/>
              </w:rPr>
              <w:t>Analytical TAC</w:t>
            </w:r>
          </w:p>
          <w:p>
            <w:pPr>
              <w:spacing w:before="60" w:after="60"/>
              <w:rPr>
                <w:noProof/>
                <w:sz w:val="18"/>
                <w:szCs w:val="18"/>
                <w:lang w:val="en-IE"/>
              </w:rPr>
            </w:pPr>
            <w:r>
              <w:rPr>
                <w:noProof/>
                <w:sz w:val="18"/>
                <w:szCs w:val="18"/>
                <w:lang w:val="en-IE"/>
              </w:rPr>
              <w:t>Article 3 of Regulation (EC) No 847/96 shall not apply.</w:t>
            </w:r>
          </w:p>
          <w:p>
            <w:pPr>
              <w:spacing w:before="60" w:after="60"/>
              <w:rPr>
                <w:noProof/>
                <w:sz w:val="18"/>
                <w:szCs w:val="18"/>
                <w:lang w:val="en-IE"/>
              </w:rPr>
            </w:pPr>
            <w:r>
              <w:rPr>
                <w:noProof/>
                <w:sz w:val="18"/>
                <w:szCs w:val="18"/>
                <w:lang w:val="en-IE"/>
              </w:rPr>
              <w:t>Article 4 of Regulation (EC) No 847/96 shall not apply.</w:t>
            </w:r>
          </w:p>
        </w:tc>
      </w:tr>
      <w:tr>
        <w:trPr>
          <w:trHeight w:val="227"/>
        </w:trPr>
        <w:tc>
          <w:tcPr>
            <w:tcW w:w="935" w:type="pct"/>
          </w:tcPr>
          <w:p>
            <w:pPr>
              <w:spacing w:before="60" w:after="60"/>
              <w:rPr>
                <w:noProof/>
                <w:sz w:val="18"/>
                <w:szCs w:val="18"/>
              </w:rPr>
            </w:pPr>
            <w:r>
              <w:rPr>
                <w:noProof/>
                <w:sz w:val="18"/>
                <w:szCs w:val="18"/>
                <w:lang w:eastAsia="en-GB"/>
              </w:rPr>
              <w:t>Cyprus</w:t>
            </w:r>
          </w:p>
        </w:tc>
        <w:tc>
          <w:tcPr>
            <w:tcW w:w="817" w:type="pct"/>
          </w:tcPr>
          <w:p>
            <w:pPr>
              <w:spacing w:before="60" w:after="60"/>
              <w:jc w:val="right"/>
              <w:rPr>
                <w:noProof/>
                <w:color w:val="000000"/>
                <w:sz w:val="18"/>
                <w:szCs w:val="18"/>
                <w:lang w:eastAsia="en-GB"/>
              </w:rPr>
            </w:pPr>
            <w:r>
              <w:rPr>
                <w:noProof/>
                <w:color w:val="000000"/>
                <w:sz w:val="18"/>
                <w:szCs w:val="18"/>
                <w:lang w:eastAsia="en-GB"/>
              </w:rPr>
              <w:t>53,85</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Spain</w:t>
            </w:r>
          </w:p>
        </w:tc>
        <w:tc>
          <w:tcPr>
            <w:tcW w:w="817" w:type="pct"/>
          </w:tcPr>
          <w:p>
            <w:pPr>
              <w:spacing w:before="60" w:after="60"/>
              <w:jc w:val="right"/>
              <w:rPr>
                <w:noProof/>
                <w:color w:val="000000"/>
                <w:sz w:val="18"/>
                <w:szCs w:val="18"/>
                <w:lang w:eastAsia="en-GB"/>
              </w:rPr>
            </w:pPr>
            <w:r>
              <w:rPr>
                <w:noProof/>
                <w:color w:val="000000"/>
                <w:sz w:val="18"/>
                <w:szCs w:val="18"/>
                <w:lang w:eastAsia="en-GB"/>
              </w:rPr>
              <w:t>1 663,34</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France</w:t>
            </w:r>
          </w:p>
        </w:tc>
        <w:tc>
          <w:tcPr>
            <w:tcW w:w="817" w:type="pct"/>
          </w:tcPr>
          <w:p>
            <w:pPr>
              <w:spacing w:before="60" w:after="60"/>
              <w:jc w:val="right"/>
              <w:rPr>
                <w:noProof/>
                <w:color w:val="000000"/>
                <w:sz w:val="18"/>
                <w:szCs w:val="18"/>
                <w:lang w:eastAsia="en-GB"/>
              </w:rPr>
            </w:pPr>
            <w:r>
              <w:rPr>
                <w:noProof/>
                <w:color w:val="000000"/>
                <w:sz w:val="18"/>
                <w:szCs w:val="18"/>
                <w:lang w:eastAsia="en-GB"/>
              </w:rPr>
              <w:t>115,93</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Greece</w:t>
            </w:r>
          </w:p>
        </w:tc>
        <w:tc>
          <w:tcPr>
            <w:tcW w:w="817" w:type="pct"/>
          </w:tcPr>
          <w:p>
            <w:pPr>
              <w:spacing w:before="60" w:after="60"/>
              <w:jc w:val="right"/>
              <w:rPr>
                <w:noProof/>
                <w:color w:val="000000"/>
                <w:sz w:val="18"/>
                <w:szCs w:val="18"/>
                <w:lang w:eastAsia="en-GB"/>
              </w:rPr>
            </w:pPr>
            <w:r>
              <w:rPr>
                <w:noProof/>
                <w:color w:val="000000"/>
                <w:sz w:val="18"/>
                <w:szCs w:val="18"/>
                <w:lang w:eastAsia="en-GB"/>
              </w:rPr>
              <w:t>1 101,10</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Italy</w:t>
            </w:r>
          </w:p>
        </w:tc>
        <w:tc>
          <w:tcPr>
            <w:tcW w:w="817" w:type="pct"/>
          </w:tcPr>
          <w:p>
            <w:pPr>
              <w:spacing w:before="60" w:after="60"/>
              <w:jc w:val="right"/>
              <w:rPr>
                <w:noProof/>
                <w:color w:val="000000"/>
                <w:sz w:val="18"/>
                <w:szCs w:val="18"/>
                <w:lang w:eastAsia="en-GB"/>
              </w:rPr>
            </w:pPr>
            <w:r>
              <w:rPr>
                <w:noProof/>
                <w:color w:val="000000"/>
                <w:sz w:val="18"/>
                <w:szCs w:val="18"/>
                <w:lang w:eastAsia="en-GB"/>
              </w:rPr>
              <w:t>3 409,98</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Malta</w:t>
            </w:r>
          </w:p>
        </w:tc>
        <w:tc>
          <w:tcPr>
            <w:tcW w:w="817" w:type="pct"/>
          </w:tcPr>
          <w:p>
            <w:pPr>
              <w:spacing w:before="60" w:after="60"/>
              <w:jc w:val="right"/>
              <w:rPr>
                <w:noProof/>
                <w:color w:val="000000"/>
                <w:sz w:val="18"/>
                <w:szCs w:val="18"/>
                <w:lang w:eastAsia="en-GB"/>
              </w:rPr>
            </w:pPr>
            <w:r>
              <w:rPr>
                <w:noProof/>
                <w:color w:val="000000"/>
                <w:sz w:val="18"/>
                <w:szCs w:val="18"/>
                <w:lang w:eastAsia="en-GB"/>
              </w:rPr>
              <w:t>404,55</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Union</w:t>
            </w:r>
          </w:p>
        </w:tc>
        <w:tc>
          <w:tcPr>
            <w:tcW w:w="817" w:type="pct"/>
          </w:tcPr>
          <w:p>
            <w:pPr>
              <w:spacing w:before="60" w:after="60"/>
              <w:jc w:val="right"/>
              <w:rPr>
                <w:noProof/>
                <w:color w:val="000000"/>
                <w:sz w:val="18"/>
                <w:szCs w:val="18"/>
                <w:lang w:eastAsia="en-GB"/>
              </w:rPr>
            </w:pPr>
            <w:r>
              <w:rPr>
                <w:noProof/>
                <w:color w:val="000000"/>
                <w:sz w:val="18"/>
                <w:szCs w:val="18"/>
                <w:lang w:eastAsia="en-GB"/>
              </w:rPr>
              <w:t>6 763,35</w:t>
            </w:r>
          </w:p>
        </w:tc>
        <w:tc>
          <w:tcPr>
            <w:tcW w:w="673" w:type="pct"/>
            <w:gridSpan w:val="2"/>
            <w:tcBorders>
              <w:right w:val="nil"/>
            </w:tcBorders>
          </w:tcPr>
          <w:p>
            <w:pPr>
              <w:spacing w:before="60" w:after="60"/>
              <w:rPr>
                <w:noProof/>
                <w:sz w:val="18"/>
                <w:szCs w:val="18"/>
              </w:rPr>
            </w:pPr>
            <w:r>
              <w:rPr>
                <w:b/>
                <w:bCs/>
                <w:noProof/>
                <w:sz w:val="18"/>
                <w:szCs w:val="18"/>
                <w:vertAlign w:val="superscript"/>
              </w:rPr>
              <w:t>(1)</w:t>
            </w:r>
          </w:p>
        </w:tc>
        <w:tc>
          <w:tcPr>
            <w:tcW w:w="2575" w:type="pct"/>
            <w:gridSpan w:val="2"/>
            <w:vMerge/>
          </w:tcPr>
          <w:p>
            <w:pPr>
              <w:spacing w:before="60" w:after="60"/>
              <w:rPr>
                <w:noProof/>
                <w:sz w:val="18"/>
                <w:szCs w:val="18"/>
              </w:rPr>
            </w:pPr>
          </w:p>
        </w:tc>
      </w:tr>
      <w:tr>
        <w:trPr>
          <w:trHeight w:val="227"/>
        </w:trPr>
        <w:tc>
          <w:tcPr>
            <w:tcW w:w="935" w:type="pct"/>
          </w:tcPr>
          <w:p>
            <w:pPr>
              <w:spacing w:before="60" w:after="60"/>
              <w:rPr>
                <w:noProof/>
                <w:sz w:val="18"/>
                <w:szCs w:val="18"/>
              </w:rPr>
            </w:pPr>
            <w:r>
              <w:rPr>
                <w:noProof/>
                <w:sz w:val="18"/>
                <w:szCs w:val="18"/>
              </w:rPr>
              <w:t>TAC</w:t>
            </w:r>
          </w:p>
        </w:tc>
        <w:tc>
          <w:tcPr>
            <w:tcW w:w="817" w:type="pct"/>
          </w:tcPr>
          <w:p>
            <w:pPr>
              <w:spacing w:before="60" w:after="60"/>
              <w:jc w:val="right"/>
              <w:rPr>
                <w:noProof/>
                <w:color w:val="000000"/>
                <w:sz w:val="18"/>
                <w:szCs w:val="18"/>
                <w:lang w:eastAsia="en-GB"/>
              </w:rPr>
            </w:pPr>
            <w:r>
              <w:rPr>
                <w:noProof/>
                <w:color w:val="000000"/>
                <w:sz w:val="18"/>
                <w:szCs w:val="18"/>
                <w:lang w:eastAsia="en-GB"/>
              </w:rPr>
              <w:t>9 583,07”</w:t>
            </w:r>
          </w:p>
        </w:tc>
        <w:tc>
          <w:tcPr>
            <w:tcW w:w="673" w:type="pct"/>
            <w:gridSpan w:val="2"/>
            <w:tcBorders>
              <w:right w:val="nil"/>
            </w:tcBorders>
          </w:tcPr>
          <w:p>
            <w:pPr>
              <w:spacing w:before="60" w:after="60"/>
              <w:rPr>
                <w:noProof/>
                <w:sz w:val="18"/>
                <w:szCs w:val="18"/>
              </w:rPr>
            </w:pPr>
          </w:p>
        </w:tc>
        <w:tc>
          <w:tcPr>
            <w:tcW w:w="2575" w:type="pct"/>
            <w:gridSpan w:val="2"/>
            <w:vMerge/>
          </w:tcPr>
          <w:p>
            <w:pPr>
              <w:spacing w:before="60" w:after="60"/>
              <w:rPr>
                <w:noProof/>
                <w:sz w:val="18"/>
                <w:szCs w:val="18"/>
              </w:rPr>
            </w:pPr>
          </w:p>
        </w:tc>
      </w:tr>
      <w:tr>
        <w:trPr>
          <w:trHeight w:val="227"/>
        </w:trPr>
        <w:tc>
          <w:tcPr>
            <w:tcW w:w="935" w:type="pct"/>
            <w:tcBorders>
              <w:bottom w:val="single" w:sz="4" w:space="0" w:color="auto"/>
            </w:tcBorders>
          </w:tcPr>
          <w:p>
            <w:pPr>
              <w:spacing w:before="60" w:after="60"/>
              <w:jc w:val="right"/>
              <w:rPr>
                <w:noProof/>
                <w:sz w:val="18"/>
                <w:szCs w:val="18"/>
              </w:rPr>
            </w:pPr>
            <w:r>
              <w:rPr>
                <w:b/>
                <w:bCs/>
                <w:noProof/>
                <w:sz w:val="18"/>
                <w:szCs w:val="18"/>
                <w:vertAlign w:val="superscript"/>
              </w:rPr>
              <w:t>(1)</w:t>
            </w:r>
          </w:p>
        </w:tc>
        <w:tc>
          <w:tcPr>
            <w:tcW w:w="4065" w:type="pct"/>
            <w:gridSpan w:val="5"/>
            <w:tcBorders>
              <w:bottom w:val="single" w:sz="4" w:space="0" w:color="auto"/>
            </w:tcBorders>
          </w:tcPr>
          <w:p>
            <w:pPr>
              <w:spacing w:before="60" w:after="60"/>
              <w:rPr>
                <w:noProof/>
                <w:sz w:val="18"/>
                <w:szCs w:val="18"/>
                <w:lang w:val="en-IE"/>
              </w:rPr>
            </w:pPr>
            <w:r>
              <w:rPr>
                <w:noProof/>
                <w:sz w:val="18"/>
                <w:szCs w:val="18"/>
                <w:lang w:val="en-IE"/>
              </w:rPr>
              <w:t>This quota may only be fished from 1 April to 31 December.</w:t>
            </w:r>
          </w:p>
        </w:tc>
      </w:tr>
      <w:tr>
        <w:trPr>
          <w:trHeight w:val="227"/>
        </w:trPr>
        <w:tc>
          <w:tcPr>
            <w:tcW w:w="5000" w:type="pct"/>
            <w:gridSpan w:val="6"/>
            <w:tcBorders>
              <w:top w:val="single" w:sz="4" w:space="0" w:color="auto"/>
            </w:tcBorders>
          </w:tcPr>
          <w:p>
            <w:pPr>
              <w:spacing w:before="60" w:after="60"/>
              <w:jc w:val="left"/>
              <w:rPr>
                <w:noProof/>
                <w:lang w:val="en-IE"/>
              </w:rPr>
            </w:pPr>
            <w:r>
              <w:rPr>
                <w:noProof/>
                <w:lang w:val="en-IE"/>
              </w:rPr>
              <w:t>;</w:t>
            </w:r>
          </w:p>
        </w:tc>
      </w:tr>
    </w:tbl>
    <w:p>
      <w:pPr>
        <w:pStyle w:val="Point0"/>
        <w:rPr>
          <w:noProof/>
        </w:rPr>
      </w:pPr>
      <w:r>
        <w:rPr>
          <w:noProof/>
        </w:rPr>
        <w:t>(3)</w:t>
      </w:r>
      <w:r>
        <w:rPr>
          <w:noProof/>
        </w:rPr>
        <w:tab/>
        <w:t>In Annex IH, the fishing opportunities table for Jack Mackerel in the SPRFMO convention area is replaced by the following:</w:t>
      </w:r>
    </w:p>
    <w:tbl>
      <w:tblPr>
        <w:tblW w:w="9639" w:type="dxa"/>
        <w:tblInd w:w="108" w:type="dxa"/>
        <w:tblLook w:val="04A0" w:firstRow="1" w:lastRow="0" w:firstColumn="1" w:lastColumn="0" w:noHBand="0" w:noVBand="1"/>
      </w:tblPr>
      <w:tblGrid>
        <w:gridCol w:w="896"/>
        <w:gridCol w:w="992"/>
        <w:gridCol w:w="1701"/>
        <w:gridCol w:w="851"/>
        <w:gridCol w:w="850"/>
        <w:gridCol w:w="4394"/>
      </w:tblGrid>
      <w:tr>
        <w:trPr>
          <w:trHeight w:val="20"/>
        </w:trPr>
        <w:tc>
          <w:tcPr>
            <w:tcW w:w="851" w:type="dxa"/>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“Species:</w:t>
            </w:r>
          </w:p>
        </w:tc>
        <w:tc>
          <w:tcPr>
            <w:tcW w:w="3544" w:type="dxa"/>
            <w:gridSpan w:val="3"/>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Jack mackerel</w:t>
            </w:r>
          </w:p>
          <w:p>
            <w:pPr>
              <w:keepNext/>
              <w:tabs>
                <w:tab w:val="left" w:pos="850"/>
              </w:tabs>
              <w:spacing w:before="60" w:after="60"/>
              <w:outlineLvl w:val="0"/>
              <w:rPr>
                <w:noProof/>
                <w:sz w:val="18"/>
                <w:szCs w:val="16"/>
              </w:rPr>
            </w:pPr>
            <w:r>
              <w:rPr>
                <w:i/>
                <w:iCs/>
                <w:noProof/>
                <w:sz w:val="18"/>
                <w:szCs w:val="16"/>
              </w:rPr>
              <w:t>Trachurus murphyi</w:t>
            </w:r>
          </w:p>
        </w:tc>
        <w:tc>
          <w:tcPr>
            <w:tcW w:w="850" w:type="dxa"/>
            <w:tcBorders>
              <w:top w:val="single" w:sz="8" w:space="0" w:color="auto"/>
              <w:left w:val="single" w:sz="8" w:space="0" w:color="auto"/>
              <w:bottom w:val="single" w:sz="8" w:space="0" w:color="auto"/>
              <w:right w:val="nil"/>
            </w:tcBorders>
            <w:noWrap/>
            <w:hideMark/>
          </w:tcPr>
          <w:p>
            <w:pPr>
              <w:spacing w:before="60" w:after="60"/>
              <w:rPr>
                <w:noProof/>
                <w:sz w:val="18"/>
                <w:szCs w:val="16"/>
              </w:rPr>
            </w:pPr>
            <w:r>
              <w:rPr>
                <w:noProof/>
                <w:sz w:val="18"/>
                <w:szCs w:val="16"/>
              </w:rPr>
              <w:t>Zone:</w:t>
            </w:r>
          </w:p>
        </w:tc>
        <w:tc>
          <w:tcPr>
            <w:tcW w:w="4394" w:type="dxa"/>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SPRFMO Convention Area</w:t>
            </w:r>
          </w:p>
          <w:p>
            <w:pPr>
              <w:spacing w:before="60" w:after="60"/>
              <w:rPr>
                <w:noProof/>
                <w:sz w:val="18"/>
                <w:szCs w:val="16"/>
              </w:rPr>
            </w:pPr>
            <w:r>
              <w:rPr>
                <w:noProof/>
                <w:sz w:val="18"/>
                <w:szCs w:val="16"/>
              </w:rPr>
              <w:t>(CJM/SPRFMO)</w:t>
            </w:r>
          </w:p>
        </w:tc>
      </w:tr>
      <w:tr>
        <w:trPr>
          <w:trHeight w:val="20"/>
        </w:trPr>
        <w:tc>
          <w:tcPr>
            <w:tcW w:w="1843" w:type="dxa"/>
            <w:gridSpan w:val="2"/>
            <w:tcBorders>
              <w:top w:val="single" w:sz="8" w:space="0" w:color="auto"/>
            </w:tcBorders>
            <w:noWrap/>
            <w:hideMark/>
          </w:tcPr>
          <w:p>
            <w:pPr>
              <w:spacing w:before="60" w:after="60"/>
              <w:rPr>
                <w:noProof/>
                <w:sz w:val="18"/>
                <w:szCs w:val="16"/>
              </w:rPr>
            </w:pPr>
            <w:r>
              <w:rPr>
                <w:noProof/>
                <w:sz w:val="18"/>
                <w:szCs w:val="16"/>
              </w:rPr>
              <w:t>Germany</w:t>
            </w:r>
          </w:p>
        </w:tc>
        <w:tc>
          <w:tcPr>
            <w:tcW w:w="1701" w:type="dxa"/>
            <w:tcBorders>
              <w:top w:val="single" w:sz="8" w:space="0" w:color="auto"/>
            </w:tcBorders>
            <w:noWrap/>
            <w:hideMark/>
          </w:tcPr>
          <w:p>
            <w:pPr>
              <w:spacing w:before="60" w:after="60"/>
              <w:jc w:val="right"/>
              <w:rPr>
                <w:noProof/>
                <w:sz w:val="18"/>
                <w:szCs w:val="16"/>
              </w:rPr>
            </w:pPr>
            <w:r>
              <w:rPr>
                <w:noProof/>
                <w:sz w:val="18"/>
                <w:szCs w:val="16"/>
              </w:rPr>
              <w:t>10 446,80</w:t>
            </w:r>
          </w:p>
        </w:tc>
        <w:tc>
          <w:tcPr>
            <w:tcW w:w="851" w:type="dxa"/>
            <w:tcBorders>
              <w:top w:val="single" w:sz="8" w:space="0" w:color="auto"/>
            </w:tcBorders>
          </w:tcPr>
          <w:p>
            <w:pPr>
              <w:spacing w:before="60" w:after="60"/>
              <w:rPr>
                <w:noProof/>
                <w:sz w:val="18"/>
                <w:szCs w:val="16"/>
                <w:vertAlign w:val="superscript"/>
              </w:rPr>
            </w:pPr>
          </w:p>
        </w:tc>
        <w:tc>
          <w:tcPr>
            <w:tcW w:w="5244" w:type="dxa"/>
            <w:gridSpan w:val="2"/>
            <w:vMerge w:val="restart"/>
            <w:tcBorders>
              <w:top w:val="single" w:sz="8" w:space="0" w:color="auto"/>
            </w:tcBorders>
            <w:noWrap/>
            <w:hideMark/>
          </w:tcPr>
          <w:p>
            <w:pPr>
              <w:spacing w:before="60" w:after="60"/>
              <w:rPr>
                <w:noProof/>
                <w:sz w:val="18"/>
                <w:szCs w:val="16"/>
              </w:rPr>
            </w:pPr>
            <w:r>
              <w:rPr>
                <w:noProof/>
                <w:sz w:val="18"/>
                <w:szCs w:val="16"/>
              </w:rPr>
              <w:t>Analytical TAC</w:t>
            </w:r>
          </w:p>
          <w:p>
            <w:pPr>
              <w:spacing w:before="60" w:after="60"/>
              <w:rPr>
                <w:noProof/>
                <w:sz w:val="18"/>
                <w:szCs w:val="16"/>
              </w:rPr>
            </w:pPr>
            <w:r>
              <w:rPr>
                <w:noProof/>
                <w:sz w:val="18"/>
                <w:szCs w:val="16"/>
              </w:rPr>
              <w:t>Article 3 of Regulation (EC) No 847/96 shall not apply</w:t>
            </w:r>
          </w:p>
          <w:p>
            <w:pPr>
              <w:spacing w:before="60" w:after="60"/>
              <w:rPr>
                <w:noProof/>
                <w:sz w:val="18"/>
                <w:szCs w:val="16"/>
              </w:rPr>
            </w:pPr>
            <w:r>
              <w:rPr>
                <w:noProof/>
                <w:sz w:val="18"/>
                <w:szCs w:val="16"/>
              </w:rPr>
              <w:t>Article 4 of Regulation (EC) No 847/96 shall not apply</w:t>
            </w:r>
          </w:p>
        </w:tc>
      </w:tr>
      <w:tr>
        <w:trPr>
          <w:trHeight w:val="20"/>
        </w:trPr>
        <w:tc>
          <w:tcPr>
            <w:tcW w:w="1843" w:type="dxa"/>
            <w:gridSpan w:val="2"/>
            <w:noWrap/>
            <w:hideMark/>
          </w:tcPr>
          <w:p>
            <w:pPr>
              <w:spacing w:before="60" w:after="60"/>
              <w:rPr>
                <w:noProof/>
                <w:sz w:val="18"/>
                <w:szCs w:val="16"/>
              </w:rPr>
            </w:pPr>
            <w:r>
              <w:rPr>
                <w:noProof/>
                <w:sz w:val="18"/>
                <w:szCs w:val="16"/>
              </w:rPr>
              <w:t>The Netherlands</w:t>
            </w:r>
          </w:p>
        </w:tc>
        <w:tc>
          <w:tcPr>
            <w:tcW w:w="1701" w:type="dxa"/>
            <w:noWrap/>
          </w:tcPr>
          <w:p>
            <w:pPr>
              <w:spacing w:before="60" w:after="60"/>
              <w:jc w:val="right"/>
              <w:rPr>
                <w:noProof/>
                <w:sz w:val="18"/>
                <w:szCs w:val="16"/>
              </w:rPr>
            </w:pPr>
            <w:r>
              <w:rPr>
                <w:noProof/>
                <w:sz w:val="18"/>
                <w:szCs w:val="18"/>
              </w:rPr>
              <w:t>11 323,26</w:t>
            </w:r>
          </w:p>
        </w:tc>
        <w:tc>
          <w:tcPr>
            <w:tcW w:w="851" w:type="dxa"/>
          </w:tcPr>
          <w:p>
            <w:pPr>
              <w:spacing w:before="60" w:after="60"/>
              <w:rPr>
                <w:noProof/>
                <w:sz w:val="18"/>
                <w:szCs w:val="16"/>
              </w:rPr>
            </w:pPr>
          </w:p>
        </w:tc>
        <w:tc>
          <w:tcPr>
            <w:tcW w:w="5244" w:type="dxa"/>
            <w:gridSpan w:val="2"/>
            <w:vMerge/>
            <w:noWrap/>
            <w:hideMark/>
          </w:tcPr>
          <w:p>
            <w:pPr>
              <w:spacing w:before="60" w:after="60"/>
              <w:rPr>
                <w:noProof/>
                <w:sz w:val="18"/>
                <w:szCs w:val="16"/>
              </w:rPr>
            </w:pPr>
          </w:p>
        </w:tc>
      </w:tr>
      <w:tr>
        <w:trPr>
          <w:trHeight w:val="20"/>
        </w:trPr>
        <w:tc>
          <w:tcPr>
            <w:tcW w:w="1843" w:type="dxa"/>
            <w:gridSpan w:val="2"/>
            <w:noWrap/>
            <w:hideMark/>
          </w:tcPr>
          <w:p>
            <w:pPr>
              <w:spacing w:before="60" w:after="60"/>
              <w:rPr>
                <w:noProof/>
                <w:sz w:val="18"/>
                <w:szCs w:val="16"/>
              </w:rPr>
            </w:pPr>
            <w:r>
              <w:rPr>
                <w:noProof/>
                <w:sz w:val="18"/>
                <w:szCs w:val="16"/>
              </w:rPr>
              <w:t>Lithuania</w:t>
            </w:r>
          </w:p>
        </w:tc>
        <w:tc>
          <w:tcPr>
            <w:tcW w:w="1701" w:type="dxa"/>
            <w:noWrap/>
          </w:tcPr>
          <w:p>
            <w:pPr>
              <w:spacing w:before="60" w:after="60"/>
              <w:jc w:val="right"/>
              <w:rPr>
                <w:noProof/>
                <w:sz w:val="18"/>
                <w:szCs w:val="16"/>
              </w:rPr>
            </w:pPr>
            <w:r>
              <w:rPr>
                <w:noProof/>
                <w:sz w:val="18"/>
                <w:szCs w:val="16"/>
              </w:rPr>
              <w:t>7 269,16</w:t>
            </w:r>
          </w:p>
        </w:tc>
        <w:tc>
          <w:tcPr>
            <w:tcW w:w="851" w:type="dxa"/>
          </w:tcPr>
          <w:p>
            <w:pPr>
              <w:spacing w:before="60" w:after="60"/>
              <w:rPr>
                <w:noProof/>
                <w:sz w:val="18"/>
                <w:szCs w:val="16"/>
              </w:rPr>
            </w:pPr>
          </w:p>
        </w:tc>
        <w:tc>
          <w:tcPr>
            <w:tcW w:w="5244" w:type="dxa"/>
            <w:gridSpan w:val="2"/>
            <w:vMerge/>
            <w:noWrap/>
            <w:hideMark/>
          </w:tcPr>
          <w:p>
            <w:pPr>
              <w:spacing w:before="60" w:after="60"/>
              <w:rPr>
                <w:noProof/>
                <w:sz w:val="18"/>
                <w:szCs w:val="16"/>
              </w:rPr>
            </w:pPr>
          </w:p>
        </w:tc>
      </w:tr>
      <w:tr>
        <w:trPr>
          <w:trHeight w:val="20"/>
        </w:trPr>
        <w:tc>
          <w:tcPr>
            <w:tcW w:w="1843" w:type="dxa"/>
            <w:gridSpan w:val="2"/>
            <w:noWrap/>
            <w:hideMark/>
          </w:tcPr>
          <w:p>
            <w:pPr>
              <w:spacing w:before="60" w:after="60"/>
              <w:rPr>
                <w:noProof/>
                <w:sz w:val="18"/>
                <w:szCs w:val="16"/>
              </w:rPr>
            </w:pPr>
            <w:r>
              <w:rPr>
                <w:noProof/>
                <w:sz w:val="18"/>
                <w:szCs w:val="16"/>
              </w:rPr>
              <w:t>Poland</w:t>
            </w:r>
          </w:p>
        </w:tc>
        <w:tc>
          <w:tcPr>
            <w:tcW w:w="1701" w:type="dxa"/>
            <w:noWrap/>
          </w:tcPr>
          <w:p>
            <w:pPr>
              <w:spacing w:before="60" w:after="60"/>
              <w:jc w:val="right"/>
              <w:rPr>
                <w:noProof/>
                <w:sz w:val="18"/>
                <w:szCs w:val="16"/>
              </w:rPr>
            </w:pPr>
            <w:r>
              <w:rPr>
                <w:noProof/>
                <w:sz w:val="18"/>
                <w:szCs w:val="18"/>
              </w:rPr>
              <w:t>12 498,78</w:t>
            </w:r>
          </w:p>
        </w:tc>
        <w:tc>
          <w:tcPr>
            <w:tcW w:w="851" w:type="dxa"/>
          </w:tcPr>
          <w:p>
            <w:pPr>
              <w:spacing w:before="60" w:after="60"/>
              <w:rPr>
                <w:noProof/>
                <w:sz w:val="18"/>
                <w:szCs w:val="16"/>
              </w:rPr>
            </w:pPr>
          </w:p>
        </w:tc>
        <w:tc>
          <w:tcPr>
            <w:tcW w:w="5244" w:type="dxa"/>
            <w:gridSpan w:val="2"/>
            <w:vMerge/>
            <w:noWrap/>
            <w:hideMark/>
          </w:tcPr>
          <w:p>
            <w:pPr>
              <w:spacing w:before="60" w:after="60"/>
              <w:rPr>
                <w:noProof/>
                <w:sz w:val="18"/>
                <w:szCs w:val="16"/>
              </w:rPr>
            </w:pPr>
          </w:p>
        </w:tc>
      </w:tr>
      <w:tr>
        <w:trPr>
          <w:trHeight w:val="20"/>
        </w:trPr>
        <w:tc>
          <w:tcPr>
            <w:tcW w:w="1843" w:type="dxa"/>
            <w:gridSpan w:val="2"/>
            <w:noWrap/>
            <w:hideMark/>
          </w:tcPr>
          <w:p>
            <w:pPr>
              <w:spacing w:before="60" w:after="60"/>
              <w:rPr>
                <w:noProof/>
                <w:sz w:val="18"/>
                <w:szCs w:val="16"/>
              </w:rPr>
            </w:pPr>
            <w:r>
              <w:rPr>
                <w:noProof/>
                <w:sz w:val="18"/>
                <w:szCs w:val="16"/>
              </w:rPr>
              <w:t>Union</w:t>
            </w:r>
          </w:p>
        </w:tc>
        <w:tc>
          <w:tcPr>
            <w:tcW w:w="1701" w:type="dxa"/>
            <w:noWrap/>
          </w:tcPr>
          <w:p>
            <w:pPr>
              <w:spacing w:before="60" w:after="60"/>
              <w:jc w:val="right"/>
              <w:rPr>
                <w:noProof/>
                <w:sz w:val="18"/>
                <w:szCs w:val="16"/>
              </w:rPr>
            </w:pPr>
            <w:r>
              <w:rPr>
                <w:noProof/>
                <w:sz w:val="18"/>
                <w:szCs w:val="16"/>
              </w:rPr>
              <w:t>41 538</w:t>
            </w:r>
          </w:p>
        </w:tc>
        <w:tc>
          <w:tcPr>
            <w:tcW w:w="851" w:type="dxa"/>
          </w:tcPr>
          <w:p>
            <w:pPr>
              <w:spacing w:before="60" w:after="60"/>
              <w:rPr>
                <w:noProof/>
                <w:sz w:val="18"/>
                <w:szCs w:val="16"/>
              </w:rPr>
            </w:pPr>
          </w:p>
        </w:tc>
        <w:tc>
          <w:tcPr>
            <w:tcW w:w="5244" w:type="dxa"/>
            <w:gridSpan w:val="2"/>
            <w:vMerge/>
            <w:noWrap/>
            <w:hideMark/>
          </w:tcPr>
          <w:p>
            <w:pPr>
              <w:spacing w:before="60" w:after="60"/>
              <w:rPr>
                <w:noProof/>
                <w:sz w:val="18"/>
                <w:szCs w:val="16"/>
              </w:rPr>
            </w:pPr>
          </w:p>
        </w:tc>
      </w:tr>
      <w:tr>
        <w:trPr>
          <w:trHeight w:val="20"/>
        </w:trPr>
        <w:tc>
          <w:tcPr>
            <w:tcW w:w="1843" w:type="dxa"/>
            <w:gridSpan w:val="2"/>
            <w:noWrap/>
            <w:hideMark/>
          </w:tcPr>
          <w:p>
            <w:pPr>
              <w:spacing w:before="60" w:after="60"/>
              <w:rPr>
                <w:noProof/>
                <w:sz w:val="18"/>
                <w:szCs w:val="16"/>
              </w:rPr>
            </w:pPr>
            <w:r>
              <w:rPr>
                <w:noProof/>
                <w:sz w:val="18"/>
                <w:szCs w:val="16"/>
              </w:rPr>
              <w:t>TAC</w:t>
            </w:r>
          </w:p>
        </w:tc>
        <w:tc>
          <w:tcPr>
            <w:tcW w:w="1701" w:type="dxa"/>
            <w:noWrap/>
            <w:hideMark/>
          </w:tcPr>
          <w:p>
            <w:pPr>
              <w:spacing w:before="60" w:after="60"/>
              <w:jc w:val="right"/>
              <w:rPr>
                <w:noProof/>
                <w:sz w:val="18"/>
                <w:szCs w:val="16"/>
              </w:rPr>
            </w:pPr>
            <w:r>
              <w:rPr>
                <w:noProof/>
                <w:sz w:val="18"/>
                <w:szCs w:val="16"/>
              </w:rPr>
              <w:t>Not relevant”</w:t>
            </w:r>
          </w:p>
        </w:tc>
        <w:tc>
          <w:tcPr>
            <w:tcW w:w="851" w:type="dxa"/>
          </w:tcPr>
          <w:p>
            <w:pPr>
              <w:spacing w:before="60" w:after="60"/>
              <w:rPr>
                <w:noProof/>
                <w:sz w:val="18"/>
                <w:szCs w:val="16"/>
              </w:rPr>
            </w:pPr>
          </w:p>
        </w:tc>
        <w:tc>
          <w:tcPr>
            <w:tcW w:w="5244" w:type="dxa"/>
            <w:gridSpan w:val="2"/>
            <w:vMerge/>
          </w:tcPr>
          <w:p>
            <w:pPr>
              <w:spacing w:before="60" w:after="60"/>
              <w:rPr>
                <w:noProof/>
                <w:sz w:val="18"/>
                <w:szCs w:val="16"/>
              </w:rPr>
            </w:pPr>
          </w:p>
        </w:tc>
      </w:tr>
      <w:tr>
        <w:trPr>
          <w:trHeight w:val="20"/>
        </w:trPr>
        <w:tc>
          <w:tcPr>
            <w:tcW w:w="851" w:type="dxa"/>
            <w:tcBorders>
              <w:top w:val="nil"/>
              <w:left w:val="nil"/>
              <w:bottom w:val="single" w:sz="8" w:space="0" w:color="auto"/>
              <w:right w:val="nil"/>
            </w:tcBorders>
            <w:noWrap/>
          </w:tcPr>
          <w:p>
            <w:pPr>
              <w:spacing w:before="60" w:after="60"/>
              <w:rPr>
                <w:noProof/>
                <w:sz w:val="18"/>
                <w:szCs w:val="16"/>
                <w:vertAlign w:val="superscript"/>
              </w:rPr>
            </w:pPr>
          </w:p>
        </w:tc>
        <w:tc>
          <w:tcPr>
            <w:tcW w:w="8788" w:type="dxa"/>
            <w:gridSpan w:val="5"/>
            <w:tcBorders>
              <w:top w:val="nil"/>
              <w:left w:val="nil"/>
              <w:bottom w:val="single" w:sz="8" w:space="0" w:color="auto"/>
              <w:right w:val="nil"/>
            </w:tcBorders>
            <w:noWrap/>
          </w:tcPr>
          <w:p>
            <w:pPr>
              <w:spacing w:before="60" w:after="60"/>
              <w:rPr>
                <w:noProof/>
                <w:sz w:val="18"/>
                <w:szCs w:val="16"/>
              </w:rPr>
            </w:pPr>
          </w:p>
        </w:tc>
      </w:tr>
    </w:tbl>
    <w:p>
      <w:pPr>
        <w:rPr>
          <w:noProof/>
        </w:rPr>
      </w:pPr>
      <w:r>
        <w:rPr>
          <w:noProof/>
        </w:rPr>
        <w:t>;</w:t>
      </w:r>
    </w:p>
    <w:p>
      <w:pPr>
        <w:pStyle w:val="Point0"/>
        <w:rPr>
          <w:noProof/>
        </w:rPr>
      </w:pPr>
      <w:r>
        <w:rPr>
          <w:noProof/>
        </w:rPr>
        <w:t>(4)</w:t>
      </w:r>
      <w:r>
        <w:rPr>
          <w:noProof/>
        </w:rPr>
        <w:tab/>
        <w:t>In Annex V, in the table part B on “Maximum number of fishing authorisations for third-country vessels fishing in union waters”, footnote 1 is replaced by the following:</w:t>
      </w:r>
    </w:p>
    <w:p>
      <w:pPr>
        <w:ind w:left="720"/>
        <w:rPr>
          <w:noProof/>
          <w:lang w:val="en-IE"/>
        </w:rPr>
      </w:pPr>
      <w:r>
        <w:rPr>
          <w:noProof/>
        </w:rPr>
        <w:t xml:space="preserve"> </w:t>
      </w:r>
      <w:r>
        <w:rPr>
          <w:noProof/>
          <w:lang w:val="en-IE"/>
        </w:rPr>
        <w:t>“(</w:t>
      </w:r>
      <w:r>
        <w:rPr>
          <w:noProof/>
          <w:vertAlign w:val="superscript"/>
          <w:lang w:val="en-IE"/>
        </w:rPr>
        <w:t>1</w:t>
      </w:r>
      <w:r>
        <w:rPr>
          <w:noProof/>
          <w:lang w:val="en-IE"/>
        </w:rPr>
        <w:t>) To issue those fishing authorisations, proof must be produced that a valid contract exists between the vessel owner applying for the fishing authorisation and a processing undertaking situated in the Department of French Guiana, and that it includes an obligation to land at least 75 % of all snapper catches from the vessel concerned in that department so that they may be processed in that undertaking’s plant. Such a contract must be endorsed by the French authorities, which shall ensure that it is consistent both with the actual capacity of the contracting processing undertaking and with the objectives for the development of the Guianese economy. A copy of the duly endorsed contract shall be appended to the fishing authorisation application. Where such an endorsement is refused, the French authorities shall give notification of this refusal and state their reasons for it to the party concerned and to the Commission. A fishing vessel flying the flag of Venezuela authorised to carry out fishing activities in 2020 may continue fishing until 1 April 2021 pending the renewal of its fishing authorisation and provided that:</w:t>
      </w:r>
    </w:p>
    <w:p>
      <w:pPr>
        <w:ind w:firstLine="720"/>
        <w:rPr>
          <w:noProof/>
          <w:lang w:val="en-IE"/>
        </w:rPr>
      </w:pPr>
      <w:r>
        <w:rPr>
          <w:noProof/>
          <w:lang w:val="en-IE"/>
        </w:rPr>
        <w:t>- the vessel operator has signed a new supply contract for 2021,</w:t>
      </w:r>
    </w:p>
    <w:p>
      <w:pPr>
        <w:ind w:firstLine="720"/>
        <w:rPr>
          <w:noProof/>
          <w:lang w:val="en-IE"/>
        </w:rPr>
      </w:pPr>
      <w:r>
        <w:rPr>
          <w:noProof/>
          <w:lang w:val="en-IE"/>
        </w:rPr>
        <w:t>- the authorisation renewal procedures are underway for this vessel,</w:t>
      </w:r>
    </w:p>
    <w:p>
      <w:pPr>
        <w:ind w:left="720"/>
        <w:rPr>
          <w:noProof/>
          <w:lang w:val="en-IE"/>
        </w:rPr>
      </w:pPr>
      <w:r>
        <w:rPr>
          <w:noProof/>
          <w:lang w:val="en-IE"/>
        </w:rPr>
        <w:t>- the vessel operator has complied with its reporting and contractual landing obligations in 2020.</w:t>
      </w:r>
    </w:p>
    <w:p>
      <w:pPr>
        <w:ind w:left="720"/>
        <w:rPr>
          <w:noProof/>
          <w:lang w:val="en-IE"/>
        </w:rPr>
      </w:pPr>
      <w:r>
        <w:rPr>
          <w:noProof/>
          <w:lang w:val="en-IE"/>
        </w:rPr>
        <w:t>This extension expires on the date of entry into force of the Commission’s decision issuing a fishing authorisation for 2021 for the vessel, or upon notification  from  the Commission that the authorisation is refused.”.</w:t>
      </w:r>
    </w:p>
    <w:p>
      <w:pPr>
        <w:rPr>
          <w:noProof/>
          <w:lang w:val="en-IE"/>
        </w:rPr>
      </w:pPr>
    </w:p>
    <w:p>
      <w:pPr>
        <w:rPr>
          <w:noProof/>
          <w:lang w:val="en-IE"/>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 xml:space="preserve">ANNEX </w:t>
      </w:r>
      <w:r>
        <w:rPr>
          <w:rStyle w:val="Marker"/>
          <w:noProof/>
        </w:rPr>
        <w:t>[…]</w:t>
      </w:r>
    </w:p>
    <w:p>
      <w:pPr>
        <w:rPr>
          <w:noProof/>
          <w:lang w:val="en-IE"/>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A8F5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6E0E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3882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C84E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D1A87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4A51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3A2CA0"/>
    <w:lvl w:ilvl="0">
      <w:start w:val="1"/>
      <w:numFmt w:val="decimal"/>
      <w:pStyle w:val="ListNumber"/>
      <w:lvlText w:val="%1."/>
      <w:lvlJc w:val="left"/>
      <w:pPr>
        <w:tabs>
          <w:tab w:val="num" w:pos="360"/>
        </w:tabs>
        <w:ind w:left="360" w:hanging="360"/>
      </w:pPr>
    </w:lvl>
  </w:abstractNum>
  <w:abstractNum w:abstractNumId="7">
    <w:nsid w:val="FFFFFF89"/>
    <w:multiLevelType w:val="singleLevel"/>
    <w:tmpl w:val="67E886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3 08:33: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7957BF3F-5806-486D-A872-04C9558751F6"/>
    <w:docVar w:name="LW_COVERPAGE_TYPE" w:val="1"/>
    <w:docVar w:name="LW_CROSSREFERENCE" w:val="&lt;UNUSED&gt;"/>
    <w:docVar w:name="LW_DocType" w:val="ANNEX"/>
    <w:docVar w:name="LW_EMISSION" w:val="20.5.2020"/>
    <w:docVar w:name="LW_EMISSION_ISODATE" w:val="2020-05-2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Regulation (EU) 2019/1838 as regards certain fishing opportunities for 2020  in the Baltic Sea, and amending Regulation (EU) 2020/123 as regards certain fishing opportunities in 2020 in Union and non-Union waters"/>
    <w:docVar w:name="LW_OBJETACTEPRINCIPAL.CP" w:val="amending Regulation (EU) 2019/1838 as regards certain fishing opportunities for 2020  in the Baltic Sea, and amending Regulation (EU) 2020/123 as regards certain fishing opportunities in 2020 in Union and non-Union waters"/>
    <w:docVar w:name="LW_PART_NBR" w:val="&lt;UNUSED&gt;"/>
    <w:docVar w:name="LW_PART_NBR_TOTAL" w:val="&lt;UNUSED&gt;"/>
    <w:docVar w:name="LW_REF.INST.NEW" w:val="COM"/>
    <w:docVar w:name="LW_REF.INST.NEW_ADOPTED" w:val="final"/>
    <w:docVar w:name="LW_REF.INST.NEW_TEXT" w:val="(2020)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Regulation"/>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C0F4402-5275-4832-AC00-DD0BFCEE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1581</Words>
  <Characters>7767</Characters>
  <Application>Microsoft Office Word</Application>
  <DocSecurity>0</DocSecurity>
  <Lines>647</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Veronique (MARE)</dc:creator>
  <cp:keywords/>
  <dc:description/>
  <cp:lastModifiedBy>WES PDFC Administrator</cp:lastModifiedBy>
  <cp:revision>9</cp:revision>
  <dcterms:created xsi:type="dcterms:W3CDTF">2020-05-12T08:05:00Z</dcterms:created>
  <dcterms:modified xsi:type="dcterms:W3CDTF">2020-05-13T06:33:00Z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