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1702AC1-6811-47DA-A86A-0BB62E31341D"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rPr>
          <w:noProof/>
        </w:rPr>
      </w:pPr>
      <w:r>
        <w:rPr>
          <w:noProof/>
        </w:rPr>
        <w:t>Приложението към Регламент (ЕС) 2019/1838 се изменя, както следва:</w:t>
      </w:r>
    </w:p>
    <w:p>
      <w:pPr>
        <w:ind w:left="720" w:hanging="720"/>
        <w:rPr>
          <w:noProof/>
        </w:rPr>
      </w:pPr>
      <w:r>
        <w:rPr>
          <w:noProof/>
        </w:rPr>
        <w:t>1)</w:t>
      </w:r>
      <w:r>
        <w:rPr>
          <w:noProof/>
        </w:rPr>
        <w:tab/>
        <w:t>Бележка под линия 2 под таблицата относно възможностите за риболов на треска в подучастъци 25—32 на ICES се заменя със следното:</w:t>
      </w:r>
    </w:p>
    <w:p>
      <w:pPr>
        <w:ind w:left="720"/>
        <w:rPr>
          <w:noProof/>
        </w:rPr>
      </w:pPr>
      <w:r>
        <w:rPr>
          <w:noProof/>
        </w:rPr>
        <w:t>„</w:t>
      </w:r>
      <w:r>
        <w:rPr>
          <w:noProof/>
          <w:color w:val="000000"/>
          <w:sz w:val="18"/>
          <w:szCs w:val="18"/>
          <w:vertAlign w:val="superscript"/>
        </w:rPr>
        <w:t xml:space="preserve">(2) </w:t>
      </w:r>
      <w:r>
        <w:rPr>
          <w:noProof/>
        </w:rPr>
        <w:t>В подучастъци 25 и 26 се забранява извършването на риболов по тази квота от 1 май до 31 август.</w:t>
      </w:r>
    </w:p>
    <w:p>
      <w:pPr>
        <w:ind w:left="720"/>
        <w:rPr>
          <w:noProof/>
        </w:rPr>
      </w:pPr>
      <w:r>
        <w:rPr>
          <w:noProof/>
        </w:rPr>
        <w:t>Чрез дерогация от първата алинея се разрешават риболовните дейности, извършвани единствено с цел научни изследвания, при условие че тези изследвания се провеждат при пълно спазване на условията, посочени в член 25 от Регламент (ЕС) 2019/1241.</w:t>
      </w:r>
    </w:p>
    <w:p>
      <w:pPr>
        <w:ind w:left="720"/>
        <w:rPr>
          <w:noProof/>
        </w:rPr>
      </w:pPr>
      <w:r>
        <w:rPr>
          <w:noProof/>
        </w:rPr>
        <w:t>Чрез дерогация от първата алинея този период на забрана не се прилага за риболовните кораби на Съюза с обща дължина под 12 m, извършващи риболов с хрилни мрежи, заплитащи мрежи или тристенни хрилни мрежи, с кърмаци, парагади, ръчни въдици и джиг глави или други пасивни риболовни уреди, в зони, в които дълбочината на водата е под 20 m според координатите на официалната морска карта, издадена от компетентните национални органи. Капитаните на тези риболовни кораби гарантират, че извършваната от тях риболовна дейност може да бъде проверявана по всяко време от контролните органи на държавата членка.“;</w:t>
      </w:r>
    </w:p>
    <w:p>
      <w:pPr>
        <w:ind w:left="720" w:hanging="720"/>
        <w:rPr>
          <w:noProof/>
        </w:rPr>
      </w:pPr>
      <w:r>
        <w:rPr>
          <w:noProof/>
        </w:rPr>
        <w:t>2)</w:t>
      </w:r>
      <w:r>
        <w:rPr>
          <w:noProof/>
        </w:rPr>
        <w:tab/>
        <w:t>бележка под линия 2 под таблицата относно възможностите за риболов на треска в подучастъци 22—24 на ICES се заменя със следното:</w:t>
      </w:r>
    </w:p>
    <w:p>
      <w:pPr>
        <w:ind w:left="720"/>
        <w:rPr>
          <w:noProof/>
        </w:rPr>
      </w:pPr>
      <w:r>
        <w:rPr>
          <w:noProof/>
        </w:rPr>
        <w:t>„</w:t>
      </w:r>
      <w:r>
        <w:rPr>
          <w:noProof/>
          <w:color w:val="000000"/>
          <w:sz w:val="18"/>
          <w:szCs w:val="18"/>
          <w:vertAlign w:val="superscript"/>
        </w:rPr>
        <w:t xml:space="preserve">(2) </w:t>
      </w:r>
      <w:r>
        <w:rPr>
          <w:noProof/>
        </w:rPr>
        <w:t>В подучастъци 22 и 23 се забранява извършването на риболов по тази квота от 1 февруари до 31 март, а в подучастък 24 — от 1 юни до 31 юли.</w:t>
      </w:r>
    </w:p>
    <w:p>
      <w:pPr>
        <w:ind w:left="720"/>
        <w:rPr>
          <w:noProof/>
        </w:rPr>
      </w:pPr>
      <w:r>
        <w:rPr>
          <w:noProof/>
        </w:rPr>
        <w:t>Чрез дерогация от първата алинея се разрешават риболовните дейности, извършвани единствено с цел научни изследвания, при условие че тези изследвания се провеждат при пълно спазване на условията, посочени в член 25 от Регламент (ЕС) 2019/1241.</w:t>
      </w:r>
    </w:p>
    <w:p>
      <w:pPr>
        <w:ind w:left="720"/>
        <w:rPr>
          <w:noProof/>
        </w:rPr>
      </w:pPr>
      <w:r>
        <w:rPr>
          <w:noProof/>
        </w:rPr>
        <w:t>Чрез дерогация от първата алинея този период на забрана не се прилага за риболовните кораби на Съюза с обща дължина под 12 m, извършващи риболов с хрилни мрежи, заплитащи мрежи или тристенни хрилни мрежи, с кърмаци, парагади, ръчни въдици и джиг глави или други пасивни риболовни уреди, в зони, в които дълбочината на водата е под 20 m според координатите на официалната морска карта, издадена от компетентните национални органи. Капитаните на тези риболовни кораби гарантират, че извършваната от тях риболовна дейност може да бъде проверявана по всяко време от контролните органи на държавата членка.“</w:t>
      </w:r>
    </w:p>
    <w:p>
      <w:pPr>
        <w:rPr>
          <w:b/>
          <w:noProof/>
        </w:rPr>
      </w:pPr>
    </w:p>
    <w:p>
      <w:pPr>
        <w:jc w:val="center"/>
        <w:rPr>
          <w:noProof/>
        </w:rPr>
      </w:pPr>
      <w:r>
        <w:rPr>
          <w:b/>
          <w:noProof/>
        </w:rPr>
        <w:t>ПРИЛОЖЕНИЕ II</w:t>
      </w:r>
    </w:p>
    <w:p>
      <w:pPr>
        <w:rPr>
          <w:noProof/>
        </w:rPr>
      </w:pPr>
      <w:r>
        <w:rPr>
          <w:noProof/>
        </w:rPr>
        <w:t>Приложения IА, IГ, ІЗ и V към Регламент (ЕС) 2020/123 се изменят, както следва:</w:t>
      </w:r>
    </w:p>
    <w:p>
      <w:pPr>
        <w:pStyle w:val="Point0number"/>
        <w:numPr>
          <w:ilvl w:val="0"/>
          <w:numId w:val="1"/>
        </w:numPr>
        <w:rPr>
          <w:noProof/>
        </w:rPr>
      </w:pPr>
      <w:r>
        <w:rPr>
          <w:noProof/>
        </w:rPr>
        <w:t>Приложение IA се изменя, както следва:</w:t>
      </w:r>
    </w:p>
    <w:p>
      <w:pPr>
        <w:pStyle w:val="Point1"/>
        <w:rPr>
          <w:noProof/>
        </w:rPr>
      </w:pPr>
      <w:r>
        <w:rPr>
          <w:noProof/>
        </w:rPr>
        <w:t>а)</w:t>
      </w:r>
      <w:r>
        <w:rPr>
          <w:noProof/>
        </w:rPr>
        <w:tab/>
        <w:t>таблицата за възможностите за риболов на северна скарида в участък 3a на ICES се заменя със следното:</w:t>
      </w:r>
    </w:p>
    <w:tbl>
      <w:tblPr>
        <w:tblW w:w="8290" w:type="dxa"/>
        <w:tblInd w:w="108" w:type="dxa"/>
        <w:tblLook w:val="04A0" w:firstRow="1" w:lastRow="0" w:firstColumn="1" w:lastColumn="0" w:noHBand="0" w:noVBand="1"/>
      </w:tblPr>
      <w:tblGrid>
        <w:gridCol w:w="976"/>
        <w:gridCol w:w="1503"/>
        <w:gridCol w:w="1207"/>
        <w:gridCol w:w="392"/>
        <w:gridCol w:w="1034"/>
        <w:gridCol w:w="1267"/>
        <w:gridCol w:w="868"/>
        <w:gridCol w:w="1043"/>
      </w:tblGrid>
      <w:tr>
        <w:trPr>
          <w:trHeight w:val="255"/>
        </w:trPr>
        <w:tc>
          <w:tcPr>
            <w:tcW w:w="976"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„Вид:</w:t>
            </w:r>
          </w:p>
        </w:tc>
        <w:tc>
          <w:tcPr>
            <w:tcW w:w="2710" w:type="dxa"/>
            <w:gridSpan w:val="2"/>
            <w:tcBorders>
              <w:top w:val="single" w:sz="8" w:space="0" w:color="000000"/>
              <w:left w:val="nil"/>
              <w:bottom w:val="nil"/>
              <w:right w:val="nil"/>
            </w:tcBorders>
            <w:noWrap/>
            <w:hideMark/>
          </w:tcPr>
          <w:p>
            <w:pPr>
              <w:spacing w:after="0"/>
              <w:rPr>
                <w:rFonts w:eastAsia="Times New Roman"/>
                <w:noProof/>
                <w:sz w:val="18"/>
                <w:szCs w:val="18"/>
              </w:rPr>
            </w:pPr>
            <w:r>
              <w:rPr>
                <w:noProof/>
                <w:sz w:val="18"/>
                <w:szCs w:val="18"/>
              </w:rPr>
              <w:t>Северна скарида</w:t>
            </w:r>
          </w:p>
        </w:tc>
        <w:tc>
          <w:tcPr>
            <w:tcW w:w="392"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1034"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szCs w:val="18"/>
              </w:rPr>
              <w:t>Зона:</w:t>
            </w:r>
          </w:p>
        </w:tc>
        <w:tc>
          <w:tcPr>
            <w:tcW w:w="1267"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3a</w:t>
            </w:r>
          </w:p>
        </w:tc>
        <w:tc>
          <w:tcPr>
            <w:tcW w:w="868"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1043"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97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1503" w:type="dxa"/>
            <w:noWrap/>
            <w:hideMark/>
          </w:tcPr>
          <w:p>
            <w:pPr>
              <w:spacing w:after="0"/>
              <w:rPr>
                <w:rFonts w:eastAsia="Times New Roman"/>
                <w:i/>
                <w:iCs/>
                <w:noProof/>
                <w:sz w:val="18"/>
                <w:szCs w:val="18"/>
              </w:rPr>
            </w:pPr>
            <w:r>
              <w:rPr>
                <w:i/>
                <w:iCs/>
                <w:noProof/>
                <w:sz w:val="18"/>
                <w:szCs w:val="18"/>
              </w:rPr>
              <w:t>Pandalus borealis</w:t>
            </w:r>
          </w:p>
        </w:tc>
        <w:tc>
          <w:tcPr>
            <w:tcW w:w="1207" w:type="dxa"/>
            <w:tcBorders>
              <w:top w:val="nil"/>
              <w:left w:val="nil"/>
              <w:bottom w:val="single" w:sz="8" w:space="0" w:color="000000"/>
              <w:right w:val="nil"/>
            </w:tcBorders>
            <w:noWrap/>
            <w:hideMark/>
          </w:tcPr>
          <w:p>
            <w:pPr>
              <w:spacing w:after="0"/>
              <w:jc w:val="right"/>
              <w:rPr>
                <w:rFonts w:eastAsia="Times New Roman"/>
                <w:i/>
                <w:iCs/>
                <w:noProof/>
                <w:color w:val="000000"/>
                <w:sz w:val="18"/>
                <w:szCs w:val="18"/>
              </w:rPr>
            </w:pPr>
            <w:r>
              <w:rPr>
                <w:i/>
                <w:iCs/>
                <w:noProof/>
                <w:color w:val="000000"/>
                <w:sz w:val="18"/>
                <w:szCs w:val="18"/>
              </w:rPr>
              <w:t xml:space="preserve"> </w:t>
            </w:r>
          </w:p>
        </w:tc>
        <w:tc>
          <w:tcPr>
            <w:tcW w:w="392" w:type="dxa"/>
            <w:tcBorders>
              <w:top w:val="nil"/>
              <w:left w:val="nil"/>
              <w:bottom w:val="single" w:sz="8" w:space="0" w:color="000000"/>
              <w:right w:val="nil"/>
            </w:tcBorders>
            <w:noWrap/>
            <w:hideMark/>
          </w:tcPr>
          <w:p>
            <w:pPr>
              <w:spacing w:after="0"/>
              <w:rPr>
                <w:rFonts w:eastAsia="Times New Roman"/>
                <w:i/>
                <w:iCs/>
                <w:noProof/>
                <w:color w:val="000000"/>
                <w:sz w:val="18"/>
                <w:szCs w:val="18"/>
              </w:rPr>
            </w:pPr>
            <w:r>
              <w:rPr>
                <w:i/>
                <w:iCs/>
                <w:noProof/>
                <w:color w:val="000000"/>
                <w:sz w:val="18"/>
                <w:szCs w:val="18"/>
              </w:rPr>
              <w:t xml:space="preserve"> </w:t>
            </w:r>
          </w:p>
        </w:tc>
        <w:tc>
          <w:tcPr>
            <w:tcW w:w="1034"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1267"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(PRA/03A.)</w:t>
            </w:r>
          </w:p>
        </w:tc>
        <w:tc>
          <w:tcPr>
            <w:tcW w:w="868"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104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976" w:type="dxa"/>
            <w:noWrap/>
            <w:hideMark/>
          </w:tcPr>
          <w:p>
            <w:pPr>
              <w:spacing w:after="0"/>
              <w:rPr>
                <w:rFonts w:eastAsia="Times New Roman"/>
                <w:noProof/>
                <w:color w:val="000000"/>
                <w:sz w:val="18"/>
                <w:szCs w:val="18"/>
              </w:rPr>
            </w:pPr>
            <w:r>
              <w:rPr>
                <w:noProof/>
                <w:color w:val="000000"/>
                <w:sz w:val="18"/>
                <w:szCs w:val="18"/>
              </w:rPr>
              <w:t>Дания</w:t>
            </w:r>
          </w:p>
        </w:tc>
        <w:tc>
          <w:tcPr>
            <w:tcW w:w="1503" w:type="dxa"/>
            <w:tcBorders>
              <w:top w:val="single" w:sz="8" w:space="0" w:color="000000"/>
              <w:left w:val="nil"/>
              <w:bottom w:val="nil"/>
              <w:right w:val="nil"/>
            </w:tcBorders>
            <w:noWrap/>
            <w:hideMark/>
          </w:tcPr>
          <w:p>
            <w:pPr>
              <w:spacing w:after="0"/>
              <w:rPr>
                <w:rFonts w:eastAsia="Times New Roman"/>
                <w:noProof/>
                <w:sz w:val="18"/>
                <w:szCs w:val="18"/>
              </w:rPr>
            </w:pPr>
            <w:r>
              <w:rPr>
                <w:noProof/>
                <w:sz w:val="18"/>
                <w:szCs w:val="18"/>
              </w:rPr>
              <w:t xml:space="preserve"> </w:t>
            </w:r>
          </w:p>
        </w:tc>
        <w:tc>
          <w:tcPr>
            <w:tcW w:w="1207" w:type="dxa"/>
            <w:noWrap/>
            <w:hideMark/>
          </w:tcPr>
          <w:p>
            <w:pPr>
              <w:spacing w:after="0"/>
              <w:jc w:val="right"/>
              <w:rPr>
                <w:rFonts w:eastAsia="Times New Roman"/>
                <w:noProof/>
                <w:color w:val="000000"/>
                <w:sz w:val="18"/>
                <w:szCs w:val="18"/>
              </w:rPr>
            </w:pPr>
            <w:r>
              <w:rPr>
                <w:noProof/>
                <w:color w:val="000000"/>
                <w:sz w:val="18"/>
                <w:szCs w:val="18"/>
              </w:rPr>
              <w:t>2 123</w:t>
            </w:r>
          </w:p>
        </w:tc>
        <w:tc>
          <w:tcPr>
            <w:tcW w:w="392" w:type="dxa"/>
            <w:noWrap/>
            <w:hideMark/>
          </w:tcPr>
          <w:p>
            <w:pPr>
              <w:rPr>
                <w:rFonts w:eastAsia="Times New Roman"/>
                <w:noProof/>
                <w:color w:val="000000"/>
                <w:sz w:val="18"/>
                <w:szCs w:val="18"/>
                <w:lang w:eastAsia="en-GB"/>
              </w:rPr>
            </w:pPr>
          </w:p>
        </w:tc>
        <w:tc>
          <w:tcPr>
            <w:tcW w:w="2301"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Аналитичен ОДУ</w:t>
            </w:r>
          </w:p>
        </w:tc>
        <w:tc>
          <w:tcPr>
            <w:tcW w:w="868" w:type="dxa"/>
            <w:noWrap/>
            <w:hideMark/>
          </w:tcPr>
          <w:p>
            <w:pPr>
              <w:spacing w:after="0"/>
              <w:rPr>
                <w:rFonts w:eastAsia="Times New Roman"/>
                <w:noProof/>
                <w:color w:val="000000"/>
                <w:sz w:val="18"/>
                <w:szCs w:val="18"/>
              </w:rPr>
            </w:pPr>
            <w:r>
              <w:rPr>
                <w:noProof/>
                <w:color w:val="000000"/>
                <w:sz w:val="18"/>
                <w:szCs w:val="18"/>
              </w:rPr>
              <w:t xml:space="preserve"> </w:t>
            </w:r>
          </w:p>
        </w:tc>
        <w:tc>
          <w:tcPr>
            <w:tcW w:w="1043" w:type="dxa"/>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976" w:type="dxa"/>
            <w:noWrap/>
            <w:hideMark/>
          </w:tcPr>
          <w:p>
            <w:pPr>
              <w:spacing w:after="0"/>
              <w:rPr>
                <w:rFonts w:eastAsia="Times New Roman"/>
                <w:noProof/>
                <w:color w:val="000000"/>
                <w:sz w:val="18"/>
                <w:szCs w:val="18"/>
              </w:rPr>
            </w:pPr>
            <w:r>
              <w:rPr>
                <w:noProof/>
                <w:color w:val="000000"/>
                <w:sz w:val="18"/>
                <w:szCs w:val="18"/>
              </w:rPr>
              <w:t>Швеция</w:t>
            </w:r>
          </w:p>
        </w:tc>
        <w:tc>
          <w:tcPr>
            <w:tcW w:w="1503" w:type="dxa"/>
            <w:noWrap/>
            <w:hideMark/>
          </w:tcPr>
          <w:p>
            <w:pPr>
              <w:rPr>
                <w:rFonts w:eastAsia="Times New Roman"/>
                <w:noProof/>
                <w:color w:val="000000"/>
                <w:sz w:val="18"/>
                <w:szCs w:val="18"/>
                <w:lang w:eastAsia="en-GB"/>
              </w:rPr>
            </w:pPr>
          </w:p>
        </w:tc>
        <w:tc>
          <w:tcPr>
            <w:tcW w:w="1207" w:type="dxa"/>
            <w:noWrap/>
            <w:hideMark/>
          </w:tcPr>
          <w:p>
            <w:pPr>
              <w:spacing w:after="0"/>
              <w:jc w:val="right"/>
              <w:rPr>
                <w:rFonts w:eastAsia="Times New Roman"/>
                <w:noProof/>
                <w:color w:val="000000"/>
                <w:sz w:val="18"/>
                <w:szCs w:val="18"/>
              </w:rPr>
            </w:pPr>
            <w:r>
              <w:rPr>
                <w:noProof/>
                <w:color w:val="000000"/>
                <w:sz w:val="18"/>
                <w:szCs w:val="18"/>
              </w:rPr>
              <w:t xml:space="preserve"> 1 143</w:t>
            </w:r>
          </w:p>
        </w:tc>
        <w:tc>
          <w:tcPr>
            <w:tcW w:w="392" w:type="dxa"/>
            <w:noWrap/>
            <w:hideMark/>
          </w:tcPr>
          <w:p>
            <w:pPr>
              <w:rPr>
                <w:rFonts w:eastAsia="Times New Roman"/>
                <w:noProof/>
                <w:color w:val="000000"/>
                <w:sz w:val="18"/>
                <w:szCs w:val="18"/>
                <w:lang w:eastAsia="en-GB"/>
              </w:rPr>
            </w:pPr>
          </w:p>
        </w:tc>
        <w:tc>
          <w:tcPr>
            <w:tcW w:w="1034" w:type="dxa"/>
            <w:noWrap/>
            <w:hideMark/>
          </w:tcPr>
          <w:p>
            <w:pPr>
              <w:spacing w:after="0"/>
              <w:rPr>
                <w:noProof/>
                <w:sz w:val="20"/>
                <w:szCs w:val="20"/>
                <w:lang w:eastAsia="en-GB"/>
              </w:rPr>
            </w:pPr>
          </w:p>
        </w:tc>
        <w:tc>
          <w:tcPr>
            <w:tcW w:w="1267" w:type="dxa"/>
            <w:noWrap/>
            <w:hideMark/>
          </w:tcPr>
          <w:p>
            <w:pPr>
              <w:spacing w:after="0"/>
              <w:rPr>
                <w:noProof/>
                <w:sz w:val="20"/>
                <w:szCs w:val="20"/>
                <w:lang w:eastAsia="en-GB"/>
              </w:rPr>
            </w:pPr>
          </w:p>
        </w:tc>
        <w:tc>
          <w:tcPr>
            <w:tcW w:w="868"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rFonts w:eastAsia="Times New Roman"/>
                <w:noProof/>
                <w:color w:val="000000"/>
                <w:sz w:val="18"/>
                <w:szCs w:val="18"/>
              </w:rPr>
            </w:pPr>
            <w:r>
              <w:rPr>
                <w:noProof/>
                <w:color w:val="000000"/>
                <w:sz w:val="18"/>
                <w:szCs w:val="18"/>
              </w:rPr>
              <w:t>Съюз</w:t>
            </w:r>
          </w:p>
        </w:tc>
        <w:tc>
          <w:tcPr>
            <w:tcW w:w="1503" w:type="dxa"/>
            <w:noWrap/>
            <w:hideMark/>
          </w:tcPr>
          <w:p>
            <w:pPr>
              <w:rPr>
                <w:rFonts w:eastAsia="Times New Roman"/>
                <w:noProof/>
                <w:color w:val="000000"/>
                <w:sz w:val="18"/>
                <w:szCs w:val="18"/>
                <w:lang w:eastAsia="en-GB"/>
              </w:rPr>
            </w:pPr>
          </w:p>
        </w:tc>
        <w:tc>
          <w:tcPr>
            <w:tcW w:w="1207" w:type="dxa"/>
            <w:noWrap/>
            <w:hideMark/>
          </w:tcPr>
          <w:p>
            <w:pPr>
              <w:spacing w:after="0"/>
              <w:jc w:val="right"/>
              <w:rPr>
                <w:rFonts w:eastAsia="Times New Roman"/>
                <w:noProof/>
                <w:color w:val="000000"/>
                <w:sz w:val="18"/>
                <w:szCs w:val="18"/>
              </w:rPr>
            </w:pPr>
            <w:r>
              <w:rPr>
                <w:noProof/>
                <w:color w:val="000000"/>
                <w:sz w:val="18"/>
                <w:szCs w:val="18"/>
              </w:rPr>
              <w:t>3 266</w:t>
            </w:r>
          </w:p>
        </w:tc>
        <w:tc>
          <w:tcPr>
            <w:tcW w:w="392" w:type="dxa"/>
            <w:noWrap/>
            <w:hideMark/>
          </w:tcPr>
          <w:p>
            <w:pPr>
              <w:rPr>
                <w:rFonts w:eastAsia="Times New Roman"/>
                <w:noProof/>
                <w:color w:val="000000"/>
                <w:sz w:val="18"/>
                <w:szCs w:val="18"/>
                <w:lang w:eastAsia="en-GB"/>
              </w:rPr>
            </w:pPr>
          </w:p>
        </w:tc>
        <w:tc>
          <w:tcPr>
            <w:tcW w:w="1034" w:type="dxa"/>
            <w:noWrap/>
            <w:hideMark/>
          </w:tcPr>
          <w:p>
            <w:pPr>
              <w:spacing w:after="0"/>
              <w:rPr>
                <w:noProof/>
                <w:sz w:val="20"/>
                <w:szCs w:val="20"/>
                <w:lang w:eastAsia="en-GB"/>
              </w:rPr>
            </w:pPr>
          </w:p>
        </w:tc>
        <w:tc>
          <w:tcPr>
            <w:tcW w:w="1267" w:type="dxa"/>
            <w:noWrap/>
            <w:hideMark/>
          </w:tcPr>
          <w:p>
            <w:pPr>
              <w:spacing w:after="0"/>
              <w:rPr>
                <w:noProof/>
                <w:sz w:val="20"/>
                <w:szCs w:val="20"/>
                <w:lang w:eastAsia="en-GB"/>
              </w:rPr>
            </w:pPr>
          </w:p>
        </w:tc>
        <w:tc>
          <w:tcPr>
            <w:tcW w:w="868"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noProof/>
                <w:sz w:val="20"/>
                <w:szCs w:val="20"/>
                <w:lang w:eastAsia="en-GB"/>
              </w:rPr>
            </w:pPr>
          </w:p>
        </w:tc>
        <w:tc>
          <w:tcPr>
            <w:tcW w:w="1503" w:type="dxa"/>
            <w:noWrap/>
            <w:hideMark/>
          </w:tcPr>
          <w:p>
            <w:pPr>
              <w:spacing w:after="0"/>
              <w:rPr>
                <w:noProof/>
                <w:sz w:val="20"/>
                <w:szCs w:val="20"/>
                <w:lang w:eastAsia="en-GB"/>
              </w:rPr>
            </w:pPr>
          </w:p>
        </w:tc>
        <w:tc>
          <w:tcPr>
            <w:tcW w:w="1207" w:type="dxa"/>
            <w:noWrap/>
            <w:hideMark/>
          </w:tcPr>
          <w:p>
            <w:pPr>
              <w:spacing w:after="0"/>
              <w:rPr>
                <w:noProof/>
                <w:sz w:val="20"/>
                <w:szCs w:val="20"/>
                <w:lang w:eastAsia="en-GB"/>
              </w:rPr>
            </w:pPr>
          </w:p>
        </w:tc>
        <w:tc>
          <w:tcPr>
            <w:tcW w:w="392" w:type="dxa"/>
            <w:noWrap/>
            <w:hideMark/>
          </w:tcPr>
          <w:p>
            <w:pPr>
              <w:spacing w:after="0"/>
              <w:rPr>
                <w:noProof/>
                <w:sz w:val="20"/>
                <w:szCs w:val="20"/>
                <w:lang w:eastAsia="en-GB"/>
              </w:rPr>
            </w:pPr>
          </w:p>
        </w:tc>
        <w:tc>
          <w:tcPr>
            <w:tcW w:w="1034" w:type="dxa"/>
            <w:noWrap/>
            <w:hideMark/>
          </w:tcPr>
          <w:p>
            <w:pPr>
              <w:spacing w:after="0"/>
              <w:rPr>
                <w:noProof/>
                <w:sz w:val="20"/>
                <w:szCs w:val="20"/>
                <w:lang w:eastAsia="en-GB"/>
              </w:rPr>
            </w:pPr>
          </w:p>
        </w:tc>
        <w:tc>
          <w:tcPr>
            <w:tcW w:w="1267" w:type="dxa"/>
            <w:noWrap/>
            <w:hideMark/>
          </w:tcPr>
          <w:p>
            <w:pPr>
              <w:spacing w:after="0"/>
              <w:rPr>
                <w:noProof/>
                <w:sz w:val="20"/>
                <w:szCs w:val="20"/>
                <w:lang w:eastAsia="en-GB"/>
              </w:rPr>
            </w:pPr>
          </w:p>
        </w:tc>
        <w:tc>
          <w:tcPr>
            <w:tcW w:w="868"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tcBorders>
              <w:bottom w:val="single" w:sz="4" w:space="0" w:color="auto"/>
            </w:tcBorders>
            <w:noWrap/>
            <w:hideMark/>
          </w:tcPr>
          <w:p>
            <w:pPr>
              <w:spacing w:after="0"/>
              <w:rPr>
                <w:rFonts w:eastAsia="Times New Roman"/>
                <w:noProof/>
                <w:color w:val="000000"/>
                <w:sz w:val="18"/>
                <w:szCs w:val="18"/>
              </w:rPr>
            </w:pPr>
            <w:r>
              <w:rPr>
                <w:noProof/>
                <w:color w:val="000000"/>
                <w:sz w:val="18"/>
                <w:szCs w:val="18"/>
              </w:rPr>
              <w:t>ОДУ</w:t>
            </w:r>
          </w:p>
        </w:tc>
        <w:tc>
          <w:tcPr>
            <w:tcW w:w="1503" w:type="dxa"/>
            <w:tcBorders>
              <w:bottom w:val="single" w:sz="4" w:space="0" w:color="auto"/>
            </w:tcBorders>
            <w:noWrap/>
            <w:hideMark/>
          </w:tcPr>
          <w:p>
            <w:pPr>
              <w:rPr>
                <w:rFonts w:eastAsia="Times New Roman"/>
                <w:noProof/>
                <w:color w:val="000000"/>
                <w:sz w:val="18"/>
                <w:szCs w:val="18"/>
                <w:lang w:eastAsia="en-GB"/>
              </w:rPr>
            </w:pPr>
          </w:p>
        </w:tc>
        <w:tc>
          <w:tcPr>
            <w:tcW w:w="1207" w:type="dxa"/>
            <w:tcBorders>
              <w:bottom w:val="single" w:sz="4" w:space="0" w:color="auto"/>
            </w:tcBorders>
            <w:noWrap/>
            <w:hideMark/>
          </w:tcPr>
          <w:p>
            <w:pPr>
              <w:spacing w:after="0"/>
              <w:jc w:val="right"/>
              <w:rPr>
                <w:rFonts w:eastAsia="Times New Roman"/>
                <w:noProof/>
                <w:color w:val="000000"/>
                <w:sz w:val="18"/>
                <w:szCs w:val="18"/>
              </w:rPr>
            </w:pPr>
            <w:r>
              <w:rPr>
                <w:noProof/>
                <w:color w:val="000000"/>
                <w:sz w:val="18"/>
                <w:szCs w:val="18"/>
              </w:rPr>
              <w:t>6 116“</w:t>
            </w:r>
          </w:p>
        </w:tc>
        <w:tc>
          <w:tcPr>
            <w:tcW w:w="392" w:type="dxa"/>
            <w:tcBorders>
              <w:bottom w:val="single" w:sz="4" w:space="0" w:color="auto"/>
            </w:tcBorders>
            <w:noWrap/>
            <w:hideMark/>
          </w:tcPr>
          <w:p>
            <w:pPr>
              <w:rPr>
                <w:rFonts w:eastAsia="Times New Roman"/>
                <w:noProof/>
                <w:color w:val="000000"/>
                <w:sz w:val="18"/>
                <w:szCs w:val="18"/>
                <w:lang w:eastAsia="en-GB"/>
              </w:rPr>
            </w:pPr>
          </w:p>
        </w:tc>
        <w:tc>
          <w:tcPr>
            <w:tcW w:w="1034" w:type="dxa"/>
            <w:tcBorders>
              <w:bottom w:val="single" w:sz="4" w:space="0" w:color="auto"/>
            </w:tcBorders>
            <w:noWrap/>
            <w:hideMark/>
          </w:tcPr>
          <w:p>
            <w:pPr>
              <w:spacing w:after="0"/>
              <w:rPr>
                <w:noProof/>
                <w:sz w:val="20"/>
                <w:szCs w:val="20"/>
                <w:lang w:eastAsia="en-GB"/>
              </w:rPr>
            </w:pPr>
          </w:p>
        </w:tc>
        <w:tc>
          <w:tcPr>
            <w:tcW w:w="1267" w:type="dxa"/>
            <w:tcBorders>
              <w:bottom w:val="single" w:sz="4" w:space="0" w:color="auto"/>
            </w:tcBorders>
            <w:noWrap/>
            <w:hideMark/>
          </w:tcPr>
          <w:p>
            <w:pPr>
              <w:spacing w:after="0"/>
              <w:rPr>
                <w:noProof/>
                <w:sz w:val="20"/>
                <w:szCs w:val="20"/>
                <w:lang w:eastAsia="en-GB"/>
              </w:rPr>
            </w:pPr>
          </w:p>
        </w:tc>
        <w:tc>
          <w:tcPr>
            <w:tcW w:w="868" w:type="dxa"/>
            <w:tcBorders>
              <w:bottom w:val="single" w:sz="4" w:space="0" w:color="auto"/>
            </w:tcBorders>
            <w:noWrap/>
            <w:hideMark/>
          </w:tcPr>
          <w:p>
            <w:pPr>
              <w:spacing w:after="0"/>
              <w:rPr>
                <w:noProof/>
                <w:sz w:val="20"/>
                <w:szCs w:val="20"/>
                <w:lang w:eastAsia="en-GB"/>
              </w:rPr>
            </w:pPr>
          </w:p>
        </w:tc>
        <w:tc>
          <w:tcPr>
            <w:tcW w:w="1043" w:type="dxa"/>
            <w:tcBorders>
              <w:bottom w:val="single" w:sz="4" w:space="0" w:color="auto"/>
            </w:tcBorders>
            <w:noWrap/>
            <w:hideMark/>
          </w:tcPr>
          <w:p>
            <w:pPr>
              <w:spacing w:after="0"/>
              <w:rPr>
                <w:noProof/>
                <w:sz w:val="20"/>
                <w:szCs w:val="20"/>
                <w:lang w:eastAsia="en-GB"/>
              </w:rPr>
            </w:pPr>
          </w:p>
        </w:tc>
      </w:tr>
    </w:tbl>
    <w:p>
      <w:pPr>
        <w:rPr>
          <w:noProof/>
        </w:rPr>
      </w:pPr>
      <w:r>
        <w:rPr>
          <w:noProof/>
        </w:rPr>
        <w:t>;</w:t>
      </w:r>
    </w:p>
    <w:p>
      <w:pPr>
        <w:pStyle w:val="Point1"/>
        <w:rPr>
          <w:noProof/>
        </w:rPr>
      </w:pPr>
      <w:r>
        <w:rPr>
          <w:noProof/>
        </w:rPr>
        <w:t>б)</w:t>
      </w:r>
      <w:r>
        <w:rPr>
          <w:noProof/>
        </w:rPr>
        <w:tab/>
      </w:r>
      <w:r>
        <w:rPr>
          <w:noProof/>
        </w:rPr>
        <w:tab/>
        <w:t>вмъква се следната таблица за възможностите за риболов на цаца и свързания с нея прилов във водите на Съюза от участък 3a на ICES:</w:t>
      </w:r>
    </w:p>
    <w:tbl>
      <w:tblPr>
        <w:tblW w:w="9180" w:type="dxa"/>
        <w:tblInd w:w="108" w:type="dxa"/>
        <w:tblLook w:val="04A0" w:firstRow="1" w:lastRow="0" w:firstColumn="1" w:lastColumn="0" w:noHBand="0" w:noVBand="1"/>
      </w:tblPr>
      <w:tblGrid>
        <w:gridCol w:w="1050"/>
        <w:gridCol w:w="2309"/>
        <w:gridCol w:w="806"/>
        <w:gridCol w:w="806"/>
        <w:gridCol w:w="905"/>
        <w:gridCol w:w="1756"/>
        <w:gridCol w:w="742"/>
        <w:gridCol w:w="806"/>
      </w:tblGrid>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30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90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1050"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„Вид:</w:t>
            </w:r>
          </w:p>
        </w:tc>
        <w:tc>
          <w:tcPr>
            <w:tcW w:w="3921"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Цаца и свързан с нея прилов</w:t>
            </w:r>
          </w:p>
        </w:tc>
        <w:tc>
          <w:tcPr>
            <w:tcW w:w="905" w:type="dxa"/>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Зона:</w:t>
            </w:r>
          </w:p>
        </w:tc>
        <w:tc>
          <w:tcPr>
            <w:tcW w:w="175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3a</w:t>
            </w:r>
          </w:p>
        </w:tc>
        <w:tc>
          <w:tcPr>
            <w:tcW w:w="742"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80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1050"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311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Sprattus sprattus</w:t>
            </w:r>
          </w:p>
        </w:tc>
        <w:tc>
          <w:tcPr>
            <w:tcW w:w="806"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color w:val="000000"/>
                <w:sz w:val="18"/>
                <w:szCs w:val="18"/>
              </w:rPr>
              <w:t xml:space="preserve"> </w:t>
            </w:r>
          </w:p>
        </w:tc>
        <w:tc>
          <w:tcPr>
            <w:tcW w:w="905" w:type="dxa"/>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75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(SPR/03A.2)</w:t>
            </w:r>
          </w:p>
        </w:tc>
        <w:tc>
          <w:tcPr>
            <w:tcW w:w="742"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80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Дания</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2661"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Аналитичен ОДУ</w:t>
            </w:r>
          </w:p>
        </w:tc>
        <w:tc>
          <w:tcPr>
            <w:tcW w:w="742"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Германия</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0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Швеция</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0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Съюз</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0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30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90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ОДУ</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vertAlign w:val="superscript"/>
              </w:rPr>
            </w:pPr>
            <w:r>
              <w:rPr>
                <w:noProof/>
                <w:color w:val="000000"/>
                <w:sz w:val="18"/>
                <w:szCs w:val="18"/>
                <w:vertAlign w:val="superscript"/>
              </w:rPr>
              <w:t>(2)</w:t>
            </w:r>
            <w:r>
              <w:rPr>
                <w:noProof/>
                <w:color w:val="000000"/>
                <w:sz w:val="18"/>
                <w:szCs w:val="18"/>
              </w:rPr>
              <w:t>“</w:t>
            </w:r>
          </w:p>
        </w:tc>
        <w:tc>
          <w:tcPr>
            <w:tcW w:w="90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_____________</w:t>
            </w:r>
            <w:r>
              <w:rPr>
                <w:noProof/>
              </w:rPr>
              <w:t xml:space="preserve"> </w:t>
            </w:r>
            <w:r>
              <w:rPr>
                <w:noProof/>
              </w:rPr>
              <w:br/>
            </w:r>
            <w:r>
              <w:rPr>
                <w:noProof/>
                <w:color w:val="000000"/>
                <w:sz w:val="18"/>
                <w:szCs w:val="18"/>
                <w:vertAlign w:val="superscript"/>
              </w:rPr>
              <w:t>(1)</w:t>
            </w:r>
          </w:p>
        </w:tc>
        <w:tc>
          <w:tcPr>
            <w:tcW w:w="8130" w:type="dxa"/>
            <w:gridSpan w:val="7"/>
            <w:tcBorders>
              <w:top w:val="nil"/>
              <w:left w:val="nil"/>
              <w:bottom w:val="nil"/>
              <w:right w:val="nil"/>
            </w:tcBorders>
            <w:shd w:val="clear" w:color="auto" w:fill="auto"/>
            <w:noWrap/>
            <w:hideMark/>
          </w:tcPr>
          <w:p>
            <w:pPr>
              <w:spacing w:after="0"/>
              <w:rPr>
                <w:rFonts w:eastAsia="Times New Roman"/>
                <w:noProof/>
                <w:sz w:val="18"/>
                <w:szCs w:val="18"/>
                <w:vertAlign w:val="superscript"/>
                <w:lang w:eastAsia="en-GB"/>
              </w:rPr>
            </w:pPr>
          </w:p>
          <w:p>
            <w:pPr>
              <w:spacing w:after="0"/>
              <w:rPr>
                <w:rFonts w:eastAsia="Times New Roman"/>
                <w:noProof/>
                <w:sz w:val="18"/>
                <w:szCs w:val="18"/>
              </w:rPr>
            </w:pPr>
            <w:r>
              <w:rPr>
                <w:noProof/>
                <w:sz w:val="18"/>
                <w:szCs w:val="18"/>
                <w:vertAlign w:val="superscript"/>
              </w:rPr>
              <w:t>Приловът на меджид и пикша може да бъде до 5 % от квотата (OTH/*03A.2). Сумата от прилова на меджид и пикша, приспаднат от квотата в съответствие с настоящата разпоредба, и от прилова на видове, приспаднат от квотата в съответствие с член 15, параграф 8 от Регламент (ЕС) № 1380/2013, не може да надхвърля 9 % от квотата.</w:t>
            </w:r>
          </w:p>
        </w:tc>
      </w:tr>
      <w:tr>
        <w:trPr>
          <w:trHeight w:val="285"/>
        </w:trPr>
        <w:tc>
          <w:tcPr>
            <w:tcW w:w="1050"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(2)</w:t>
            </w:r>
          </w:p>
        </w:tc>
        <w:tc>
          <w:tcPr>
            <w:tcW w:w="8130"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Риболов по тази квота може да се извършва само от 1 юли 2020 г. до 30 юни 2021 г. От тази квота могат да се правят прехвърляния към водите на Съюза от 2a и 4. За тези прехвърляния обаче се изпраща предварително уведомление до Комисията.</w:t>
            </w:r>
          </w:p>
        </w:tc>
      </w:tr>
    </w:tbl>
    <w:p>
      <w:pPr>
        <w:rPr>
          <w:noProof/>
        </w:rPr>
      </w:pPr>
      <w:r>
        <w:rPr>
          <w:noProof/>
        </w:rPr>
        <w:t>;</w:t>
      </w:r>
    </w:p>
    <w:p>
      <w:pPr>
        <w:pStyle w:val="Point1"/>
        <w:rPr>
          <w:noProof/>
        </w:rPr>
      </w:pPr>
      <w:r>
        <w:rPr>
          <w:noProof/>
        </w:rPr>
        <w:t>в)</w:t>
      </w:r>
      <w:r>
        <w:rPr>
          <w:noProof/>
        </w:rPr>
        <w:tab/>
      </w:r>
      <w:r>
        <w:rPr>
          <w:noProof/>
        </w:rPr>
        <w:tab/>
        <w:t>таблицата за възможностите за риболов на цаца и свързания с нея прилов във водите на Съюза от участък 2a на ICES и подзона 4 на ICES се заменя със следното:</w:t>
      </w:r>
    </w:p>
    <w:tbl>
      <w:tblPr>
        <w:tblW w:w="9150" w:type="dxa"/>
        <w:tblInd w:w="108" w:type="dxa"/>
        <w:tblLook w:val="04A0" w:firstRow="1" w:lastRow="0" w:firstColumn="1" w:lastColumn="0" w:noHBand="0" w:noVBand="1"/>
      </w:tblPr>
      <w:tblGrid>
        <w:gridCol w:w="1126"/>
        <w:gridCol w:w="1414"/>
        <w:gridCol w:w="1142"/>
        <w:gridCol w:w="790"/>
        <w:gridCol w:w="969"/>
        <w:gridCol w:w="513"/>
        <w:gridCol w:w="2049"/>
        <w:gridCol w:w="625"/>
        <w:gridCol w:w="261"/>
        <w:gridCol w:w="261"/>
      </w:tblGrid>
      <w:tr>
        <w:trPr>
          <w:trHeight w:val="255"/>
        </w:trPr>
        <w:tc>
          <w:tcPr>
            <w:tcW w:w="1126"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„Вид:</w:t>
            </w:r>
          </w:p>
        </w:tc>
        <w:tc>
          <w:tcPr>
            <w:tcW w:w="3346" w:type="dxa"/>
            <w:gridSpan w:val="3"/>
            <w:tcBorders>
              <w:top w:val="single" w:sz="4" w:space="0" w:color="auto"/>
              <w:left w:val="nil"/>
              <w:bottom w:val="nil"/>
              <w:right w:val="single" w:sz="4" w:space="0" w:color="auto"/>
            </w:tcBorders>
            <w:shd w:val="clear" w:color="auto" w:fill="auto"/>
            <w:noWrap/>
            <w:hideMark/>
          </w:tcPr>
          <w:p>
            <w:pPr>
              <w:spacing w:after="0"/>
              <w:rPr>
                <w:rFonts w:eastAsia="Times New Roman"/>
                <w:noProof/>
                <w:sz w:val="18"/>
                <w:szCs w:val="18"/>
              </w:rPr>
            </w:pPr>
            <w:r>
              <w:rPr>
                <w:noProof/>
                <w:sz w:val="18"/>
                <w:szCs w:val="18"/>
              </w:rPr>
              <w:t>Цаца и свързан с нея прилов</w:t>
            </w:r>
          </w:p>
        </w:tc>
        <w:tc>
          <w:tcPr>
            <w:tcW w:w="969" w:type="dxa"/>
            <w:tcBorders>
              <w:top w:val="single" w:sz="4" w:space="0" w:color="auto"/>
              <w:left w:val="single" w:sz="4" w:space="0" w:color="auto"/>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Зона:</w:t>
            </w:r>
          </w:p>
        </w:tc>
        <w:tc>
          <w:tcPr>
            <w:tcW w:w="3448" w:type="dxa"/>
            <w:gridSpan w:val="4"/>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Води на Съюза от 2a и 4</w:t>
            </w:r>
          </w:p>
        </w:tc>
        <w:tc>
          <w:tcPr>
            <w:tcW w:w="261" w:type="dxa"/>
            <w:tcBorders>
              <w:top w:val="single" w:sz="8" w:space="0" w:color="auto"/>
              <w:left w:val="nil"/>
              <w:bottom w:val="nil"/>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szCs w:val="16"/>
              </w:rPr>
              <w:t xml:space="preserve"> </w:t>
            </w:r>
          </w:p>
        </w:tc>
      </w:tr>
      <w:tr>
        <w:trPr>
          <w:trHeight w:val="463"/>
        </w:trPr>
        <w:tc>
          <w:tcPr>
            <w:tcW w:w="11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55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Sprattus sprattus</w:t>
            </w:r>
          </w:p>
        </w:tc>
        <w:tc>
          <w:tcPr>
            <w:tcW w:w="790" w:type="dxa"/>
            <w:tcBorders>
              <w:top w:val="nil"/>
              <w:left w:val="nil"/>
              <w:bottom w:val="single" w:sz="8" w:space="0" w:color="000000"/>
              <w:right w:val="single" w:sz="4" w:space="0" w:color="auto"/>
            </w:tcBorders>
            <w:shd w:val="clear" w:color="auto" w:fill="auto"/>
            <w:noWrap/>
            <w:hideMark/>
          </w:tcPr>
          <w:p>
            <w:pPr>
              <w:spacing w:after="0"/>
              <w:rPr>
                <w:rFonts w:eastAsia="Times New Roman"/>
                <w:i/>
                <w:iCs/>
                <w:noProof/>
                <w:color w:val="000000"/>
                <w:sz w:val="18"/>
                <w:szCs w:val="18"/>
              </w:rPr>
            </w:pPr>
            <w:r>
              <w:rPr>
                <w:i/>
                <w:iCs/>
                <w:noProof/>
                <w:color w:val="000000"/>
                <w:sz w:val="18"/>
                <w:szCs w:val="18"/>
              </w:rPr>
              <w:t xml:space="preserve"> </w:t>
            </w:r>
          </w:p>
        </w:tc>
        <w:tc>
          <w:tcPr>
            <w:tcW w:w="969" w:type="dxa"/>
            <w:tcBorders>
              <w:top w:val="nil"/>
              <w:left w:val="single" w:sz="4" w:space="0" w:color="auto"/>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szCs w:val="16"/>
              </w:rPr>
              <w:t xml:space="preserve"> </w:t>
            </w:r>
          </w:p>
        </w:tc>
        <w:tc>
          <w:tcPr>
            <w:tcW w:w="3187" w:type="dxa"/>
            <w:gridSpan w:val="3"/>
            <w:tcBorders>
              <w:top w:val="nil"/>
              <w:left w:val="nil"/>
              <w:bottom w:val="single" w:sz="8" w:space="0" w:color="auto"/>
              <w:right w:val="nil"/>
            </w:tcBorders>
            <w:shd w:val="clear" w:color="auto" w:fill="auto"/>
            <w:hideMark/>
          </w:tcPr>
          <w:p>
            <w:pPr>
              <w:spacing w:after="0"/>
              <w:rPr>
                <w:rFonts w:eastAsia="Times New Roman"/>
                <w:noProof/>
                <w:sz w:val="18"/>
                <w:szCs w:val="18"/>
              </w:rPr>
            </w:pPr>
            <w:r>
              <w:rPr>
                <w:noProof/>
                <w:sz w:val="18"/>
                <w:szCs w:val="18"/>
              </w:rPr>
              <w:t>(SPR/2AC4-C)</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szCs w:val="16"/>
              </w:rPr>
              <w:t xml:space="preserve"> </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Белгия</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148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Аналитичен ОДУ</w:t>
            </w:r>
          </w:p>
        </w:tc>
        <w:tc>
          <w:tcPr>
            <w:tcW w:w="2674"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Дания</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7"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Германия</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Франция</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Нидерландия</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Швеция</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 (2)(3)</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Обединено кралство</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Съюз</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Норвегия</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Фарьорски острови</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(1)(4)</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ОДУ</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r>
              <w:rPr>
                <w:noProof/>
                <w:color w:val="000000"/>
                <w:sz w:val="18"/>
                <w:szCs w:val="18"/>
              </w:rPr>
              <w:t xml:space="preserve"> “</w:t>
            </w: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_______________</w:t>
            </w:r>
            <w:r>
              <w:rPr>
                <w:noProof/>
              </w:rPr>
              <w:t xml:space="preserve"> </w:t>
            </w:r>
            <w:r>
              <w:rPr>
                <w:noProof/>
              </w:rPr>
              <w:br/>
            </w:r>
            <w:r>
              <w:rPr>
                <w:noProof/>
                <w:color w:val="000000"/>
                <w:sz w:val="18"/>
                <w:szCs w:val="18"/>
                <w:vertAlign w:val="superscript"/>
              </w:rPr>
              <w:t>(1)</w:t>
            </w:r>
          </w:p>
        </w:tc>
        <w:tc>
          <w:tcPr>
            <w:tcW w:w="7502" w:type="dxa"/>
            <w:gridSpan w:val="7"/>
            <w:tcBorders>
              <w:top w:val="nil"/>
              <w:left w:val="nil"/>
              <w:bottom w:val="nil"/>
              <w:right w:val="nil"/>
            </w:tcBorders>
            <w:shd w:val="clear" w:color="auto" w:fill="auto"/>
            <w:noWrap/>
            <w:hideMark/>
          </w:tcPr>
          <w:p>
            <w:pPr>
              <w:spacing w:after="0"/>
              <w:rPr>
                <w:rFonts w:eastAsia="Times New Roman"/>
                <w:noProof/>
                <w:sz w:val="18"/>
                <w:szCs w:val="18"/>
                <w:vertAlign w:val="superscript"/>
                <w:lang w:eastAsia="en-GB"/>
              </w:rPr>
            </w:pPr>
          </w:p>
          <w:p>
            <w:pPr>
              <w:spacing w:after="0"/>
              <w:rPr>
                <w:rFonts w:eastAsia="Times New Roman"/>
                <w:noProof/>
                <w:color w:val="000000"/>
                <w:sz w:val="18"/>
                <w:szCs w:val="18"/>
              </w:rPr>
            </w:pPr>
            <w:r>
              <w:rPr>
                <w:noProof/>
                <w:sz w:val="18"/>
                <w:szCs w:val="18"/>
                <w:vertAlign w:val="superscript"/>
              </w:rPr>
              <w:t>Риболов по тази квота може да се извършва само от 1 юли 2020 г. до 30 юни 2021 г.</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(2)</w:t>
            </w:r>
          </w:p>
        </w:tc>
        <w:tc>
          <w:tcPr>
            <w:tcW w:w="8024" w:type="dxa"/>
            <w:gridSpan w:val="9"/>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Приловът на меджид може да бъде до 2 % от квотата (OTH/ *2AC4C). Сумата от прилова на меджид, отчетен спрямо квотата в съответствие с настоящата разпоредба, и от прилова на видове, отчетен спрямо квотата в съответствие с член 15, параграф 8 от Регламент (ЕС) № 1380/2013, не може да надхвърля 9 % от квотата.</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(3)</w:t>
            </w:r>
          </w:p>
        </w:tc>
        <w:tc>
          <w:tcPr>
            <w:tcW w:w="1414"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Включително пясъчница.</w:t>
            </w:r>
          </w:p>
        </w:tc>
        <w:tc>
          <w:tcPr>
            <w:tcW w:w="11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8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1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(4)</w:t>
            </w:r>
          </w:p>
        </w:tc>
        <w:tc>
          <w:tcPr>
            <w:tcW w:w="334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Може да съдържа до 4 % прилов на херинга.</w:t>
            </w:r>
          </w:p>
        </w:tc>
        <w:tc>
          <w:tcPr>
            <w:tcW w:w="969"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562"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88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bl>
    <w:p>
      <w:pPr>
        <w:rPr>
          <w:noProof/>
        </w:rPr>
      </w:pPr>
      <w:r>
        <w:rPr>
          <w:noProof/>
        </w:rPr>
        <w:t>;</w:t>
      </w:r>
    </w:p>
    <w:p>
      <w:pPr>
        <w:pStyle w:val="Point1"/>
        <w:rPr>
          <w:noProof/>
        </w:rPr>
      </w:pPr>
      <w:r>
        <w:rPr>
          <w:noProof/>
        </w:rPr>
        <w:t>г)</w:t>
      </w:r>
      <w:r>
        <w:rPr>
          <w:noProof/>
        </w:rPr>
        <w:tab/>
      </w:r>
      <w:r>
        <w:rPr>
          <w:noProof/>
        </w:rPr>
        <w:tab/>
        <w:t>таблицата относно възможностите за риболов на хамсия в подучастъци 9 и 10 на ICES и водите на Съюза от CECAF 34.1.1 се заменя със следното:</w:t>
      </w:r>
    </w:p>
    <w:tbl>
      <w:tblPr>
        <w:tblW w:w="9289" w:type="dxa"/>
        <w:tblLook w:val="04A0" w:firstRow="1" w:lastRow="0" w:firstColumn="1" w:lastColumn="0" w:noHBand="0" w:noVBand="1"/>
      </w:tblPr>
      <w:tblGrid>
        <w:gridCol w:w="1118"/>
        <w:gridCol w:w="1115"/>
        <w:gridCol w:w="937"/>
        <w:gridCol w:w="1028"/>
        <w:gridCol w:w="1019"/>
        <w:gridCol w:w="1021"/>
        <w:gridCol w:w="956"/>
        <w:gridCol w:w="1048"/>
        <w:gridCol w:w="1047"/>
      </w:tblGrid>
      <w:tr>
        <w:trPr>
          <w:trHeight w:val="254"/>
        </w:trPr>
        <w:tc>
          <w:tcPr>
            <w:tcW w:w="1028"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„Вид:</w:t>
            </w:r>
          </w:p>
        </w:tc>
        <w:tc>
          <w:tcPr>
            <w:tcW w:w="1115" w:type="dxa"/>
            <w:tcBorders>
              <w:top w:val="single" w:sz="8" w:space="0" w:color="000000"/>
              <w:left w:val="nil"/>
              <w:bottom w:val="nil"/>
              <w:right w:val="nil"/>
            </w:tcBorders>
            <w:noWrap/>
            <w:hideMark/>
          </w:tcPr>
          <w:p>
            <w:pPr>
              <w:spacing w:after="0"/>
              <w:rPr>
                <w:rFonts w:eastAsia="Times New Roman"/>
                <w:noProof/>
                <w:sz w:val="18"/>
                <w:szCs w:val="18"/>
              </w:rPr>
            </w:pPr>
            <w:r>
              <w:rPr>
                <w:noProof/>
                <w:sz w:val="18"/>
                <w:szCs w:val="18"/>
              </w:rPr>
              <w:t>Хамсия</w:t>
            </w:r>
          </w:p>
        </w:tc>
        <w:tc>
          <w:tcPr>
            <w:tcW w:w="1027" w:type="dxa"/>
            <w:tcBorders>
              <w:top w:val="single" w:sz="8" w:space="0" w:color="000000"/>
              <w:left w:val="nil"/>
              <w:bottom w:val="nil"/>
              <w:right w:val="nil"/>
            </w:tcBorders>
          </w:tcPr>
          <w:p>
            <w:pPr>
              <w:spacing w:after="0"/>
              <w:jc w:val="right"/>
              <w:rPr>
                <w:rFonts w:eastAsia="Times New Roman"/>
                <w:noProof/>
                <w:color w:val="000000"/>
                <w:sz w:val="18"/>
                <w:szCs w:val="18"/>
                <w:lang w:eastAsia="en-GB"/>
              </w:rPr>
            </w:pPr>
          </w:p>
        </w:tc>
        <w:tc>
          <w:tcPr>
            <w:tcW w:w="1028" w:type="dxa"/>
            <w:tcBorders>
              <w:top w:val="single" w:sz="8" w:space="0" w:color="000000"/>
              <w:left w:val="nil"/>
              <w:bottom w:val="nil"/>
              <w:right w:val="nil"/>
            </w:tcBorders>
            <w:noWrap/>
            <w:hideMark/>
          </w:tcPr>
          <w:p>
            <w:pPr>
              <w:spacing w:after="0"/>
              <w:jc w:val="right"/>
              <w:rPr>
                <w:rFonts w:eastAsia="Times New Roman"/>
                <w:noProof/>
                <w:color w:val="000000"/>
                <w:sz w:val="18"/>
                <w:szCs w:val="18"/>
              </w:rPr>
            </w:pPr>
            <w:r>
              <w:rPr>
                <w:noProof/>
                <w:color w:val="000000"/>
                <w:sz w:val="18"/>
                <w:szCs w:val="18"/>
              </w:rPr>
              <w:t xml:space="preserve"> </w:t>
            </w:r>
          </w:p>
        </w:tc>
        <w:tc>
          <w:tcPr>
            <w:tcW w:w="1019"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1021"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szCs w:val="18"/>
              </w:rPr>
              <w:t>Зона:</w:t>
            </w:r>
          </w:p>
        </w:tc>
        <w:tc>
          <w:tcPr>
            <w:tcW w:w="3051"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9 и 10; води на Съюза от CECAF 34.1.1</w:t>
            </w:r>
          </w:p>
        </w:tc>
      </w:tr>
      <w:tr>
        <w:trPr>
          <w:trHeight w:val="269"/>
        </w:trPr>
        <w:tc>
          <w:tcPr>
            <w:tcW w:w="1028"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3170" w:type="dxa"/>
            <w:gridSpan w:val="3"/>
            <w:tcBorders>
              <w:top w:val="nil"/>
              <w:left w:val="nil"/>
              <w:bottom w:val="single" w:sz="8" w:space="0" w:color="000000"/>
              <w:right w:val="nil"/>
            </w:tcBorders>
          </w:tcPr>
          <w:p>
            <w:pPr>
              <w:spacing w:after="0"/>
              <w:rPr>
                <w:rFonts w:eastAsia="Times New Roman"/>
                <w:i/>
                <w:iCs/>
                <w:noProof/>
                <w:sz w:val="18"/>
                <w:szCs w:val="18"/>
              </w:rPr>
            </w:pPr>
            <w:r>
              <w:rPr>
                <w:i/>
                <w:iCs/>
                <w:noProof/>
                <w:sz w:val="18"/>
                <w:szCs w:val="18"/>
              </w:rPr>
              <w:t>Engraulis encrasicolus</w:t>
            </w:r>
          </w:p>
          <w:p>
            <w:pPr>
              <w:spacing w:after="0"/>
              <w:rPr>
                <w:rFonts w:eastAsia="Times New Roman"/>
                <w:i/>
                <w:iCs/>
                <w:noProof/>
                <w:sz w:val="18"/>
                <w:szCs w:val="18"/>
                <w:lang w:eastAsia="en-GB"/>
              </w:rPr>
            </w:pPr>
          </w:p>
        </w:tc>
        <w:tc>
          <w:tcPr>
            <w:tcW w:w="1019" w:type="dxa"/>
            <w:tcBorders>
              <w:top w:val="nil"/>
              <w:left w:val="nil"/>
              <w:bottom w:val="single" w:sz="8" w:space="0" w:color="000000"/>
              <w:right w:val="nil"/>
            </w:tcBorders>
            <w:noWrap/>
            <w:hideMark/>
          </w:tcPr>
          <w:p>
            <w:pPr>
              <w:spacing w:after="0"/>
              <w:rPr>
                <w:rFonts w:eastAsia="Times New Roman"/>
                <w:i/>
                <w:iCs/>
                <w:noProof/>
                <w:color w:val="000000"/>
                <w:sz w:val="18"/>
                <w:szCs w:val="18"/>
              </w:rPr>
            </w:pPr>
            <w:r>
              <w:rPr>
                <w:i/>
                <w:iCs/>
                <w:noProof/>
                <w:color w:val="000000"/>
                <w:sz w:val="18"/>
                <w:szCs w:val="18"/>
              </w:rPr>
              <w:t xml:space="preserve"> </w:t>
            </w:r>
          </w:p>
        </w:tc>
        <w:tc>
          <w:tcPr>
            <w:tcW w:w="1021"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2004" w:type="dxa"/>
            <w:gridSpan w:val="2"/>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(ANE/9/3411)</w:t>
            </w:r>
          </w:p>
        </w:tc>
        <w:tc>
          <w:tcPr>
            <w:tcW w:w="1047"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r>
      <w:tr>
        <w:trPr>
          <w:trHeight w:val="269"/>
        </w:trPr>
        <w:tc>
          <w:tcPr>
            <w:tcW w:w="1028" w:type="dxa"/>
            <w:noWrap/>
            <w:hideMark/>
          </w:tcPr>
          <w:p>
            <w:pPr>
              <w:spacing w:after="0"/>
              <w:rPr>
                <w:rFonts w:eastAsia="Times New Roman"/>
                <w:noProof/>
                <w:color w:val="000000"/>
                <w:sz w:val="18"/>
                <w:szCs w:val="18"/>
              </w:rPr>
            </w:pPr>
            <w:r>
              <w:rPr>
                <w:noProof/>
                <w:color w:val="000000"/>
                <w:sz w:val="18"/>
                <w:szCs w:val="18"/>
              </w:rPr>
              <w:t>Испания</w:t>
            </w:r>
          </w:p>
        </w:tc>
        <w:tc>
          <w:tcPr>
            <w:tcW w:w="1115" w:type="dxa"/>
            <w:noWrap/>
            <w:hideMark/>
          </w:tcPr>
          <w:p>
            <w:pPr>
              <w:spacing w:after="0"/>
              <w:rPr>
                <w:rFonts w:eastAsia="Times New Roman"/>
                <w:noProof/>
                <w:sz w:val="18"/>
                <w:szCs w:val="18"/>
              </w:rPr>
            </w:pPr>
            <w:r>
              <w:rPr>
                <w:noProof/>
                <w:sz w:val="18"/>
                <w:szCs w:val="18"/>
              </w:rPr>
              <w:t xml:space="preserve"> </w:t>
            </w:r>
          </w:p>
        </w:tc>
        <w:tc>
          <w:tcPr>
            <w:tcW w:w="1027" w:type="dxa"/>
          </w:tcPr>
          <w:p>
            <w:pPr>
              <w:spacing w:after="0"/>
              <w:jc w:val="right"/>
              <w:rPr>
                <w:rFonts w:eastAsia="Times New Roman"/>
                <w:noProof/>
                <w:color w:val="000000"/>
                <w:sz w:val="18"/>
                <w:szCs w:val="18"/>
                <w:lang w:eastAsia="en-GB"/>
              </w:rPr>
            </w:pPr>
          </w:p>
        </w:tc>
        <w:tc>
          <w:tcPr>
            <w:tcW w:w="1028" w:type="dxa"/>
            <w:noWrap/>
            <w:hideMark/>
          </w:tcPr>
          <w:p>
            <w:pPr>
              <w:spacing w:after="0"/>
              <w:jc w:val="right"/>
              <w:rPr>
                <w:rFonts w:eastAsia="Times New Roman"/>
                <w:noProof/>
                <w:color w:val="000000"/>
                <w:sz w:val="18"/>
                <w:szCs w:val="18"/>
              </w:rPr>
            </w:pPr>
            <w:r>
              <w:rPr>
                <w:noProof/>
                <w:color w:val="000000"/>
                <w:sz w:val="18"/>
                <w:szCs w:val="18"/>
              </w:rPr>
              <w:t>1 922</w:t>
            </w:r>
          </w:p>
        </w:tc>
        <w:tc>
          <w:tcPr>
            <w:tcW w:w="1019" w:type="dxa"/>
            <w:noWrap/>
            <w:hideMark/>
          </w:tcPr>
          <w:p>
            <w:pPr>
              <w:spacing w:after="0"/>
              <w:rPr>
                <w:rFonts w:eastAsia="Times New Roman"/>
                <w:noProof/>
                <w:color w:val="000000"/>
                <w:sz w:val="18"/>
                <w:szCs w:val="18"/>
              </w:rPr>
            </w:pPr>
            <w:r>
              <w:rPr>
                <w:noProof/>
                <w:color w:val="000000"/>
                <w:sz w:val="18"/>
                <w:szCs w:val="18"/>
                <w:vertAlign w:val="superscript"/>
              </w:rPr>
              <w:t>(1)</w:t>
            </w:r>
          </w:p>
        </w:tc>
        <w:tc>
          <w:tcPr>
            <w:tcW w:w="1977"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Предпазен ОДУ</w:t>
            </w:r>
          </w:p>
        </w:tc>
        <w:tc>
          <w:tcPr>
            <w:tcW w:w="1048" w:type="dxa"/>
            <w:noWrap/>
            <w:hideMark/>
          </w:tcPr>
          <w:p>
            <w:pPr>
              <w:spacing w:after="0"/>
              <w:rPr>
                <w:rFonts w:eastAsia="Times New Roman"/>
                <w:noProof/>
                <w:color w:val="000000"/>
                <w:sz w:val="18"/>
                <w:szCs w:val="18"/>
              </w:rPr>
            </w:pPr>
            <w:r>
              <w:rPr>
                <w:noProof/>
                <w:color w:val="000000"/>
                <w:sz w:val="18"/>
                <w:szCs w:val="18"/>
              </w:rPr>
              <w:t xml:space="preserve"> </w:t>
            </w:r>
          </w:p>
        </w:tc>
        <w:tc>
          <w:tcPr>
            <w:tcW w:w="1047" w:type="dxa"/>
            <w:noWrap/>
            <w:hideMark/>
          </w:tcPr>
          <w:p>
            <w:pPr>
              <w:spacing w:after="0"/>
              <w:rPr>
                <w:rFonts w:eastAsia="Times New Roman"/>
                <w:noProof/>
                <w:color w:val="000000"/>
                <w:sz w:val="18"/>
                <w:szCs w:val="18"/>
              </w:rPr>
            </w:pPr>
            <w:r>
              <w:rPr>
                <w:noProof/>
                <w:color w:val="000000"/>
                <w:sz w:val="18"/>
                <w:szCs w:val="18"/>
              </w:rPr>
              <w:t xml:space="preserve"> </w:t>
            </w:r>
          </w:p>
        </w:tc>
      </w:tr>
      <w:tr>
        <w:trPr>
          <w:trHeight w:val="269"/>
        </w:trPr>
        <w:tc>
          <w:tcPr>
            <w:tcW w:w="1028" w:type="dxa"/>
            <w:noWrap/>
            <w:hideMark/>
          </w:tcPr>
          <w:p>
            <w:pPr>
              <w:spacing w:after="0"/>
              <w:rPr>
                <w:rFonts w:eastAsia="Times New Roman"/>
                <w:noProof/>
                <w:color w:val="000000"/>
                <w:sz w:val="18"/>
                <w:szCs w:val="18"/>
              </w:rPr>
            </w:pPr>
            <w:r>
              <w:rPr>
                <w:noProof/>
                <w:color w:val="000000"/>
                <w:sz w:val="18"/>
                <w:szCs w:val="18"/>
              </w:rPr>
              <w:t>Португалия</w:t>
            </w:r>
          </w:p>
        </w:tc>
        <w:tc>
          <w:tcPr>
            <w:tcW w:w="1115" w:type="dxa"/>
            <w:noWrap/>
            <w:hideMark/>
          </w:tcPr>
          <w:p>
            <w:pPr>
              <w:rPr>
                <w:rFonts w:eastAsia="Times New Roman"/>
                <w:noProof/>
                <w:color w:val="000000"/>
                <w:sz w:val="18"/>
                <w:szCs w:val="18"/>
                <w:lang w:eastAsia="en-GB"/>
              </w:rPr>
            </w:pPr>
          </w:p>
        </w:tc>
        <w:tc>
          <w:tcPr>
            <w:tcW w:w="1027" w:type="dxa"/>
          </w:tcPr>
          <w:p>
            <w:pPr>
              <w:spacing w:after="0"/>
              <w:jc w:val="right"/>
              <w:rPr>
                <w:rFonts w:eastAsia="Times New Roman"/>
                <w:noProof/>
                <w:color w:val="000000"/>
                <w:sz w:val="18"/>
                <w:szCs w:val="18"/>
                <w:lang w:eastAsia="en-GB"/>
              </w:rPr>
            </w:pPr>
          </w:p>
        </w:tc>
        <w:tc>
          <w:tcPr>
            <w:tcW w:w="1028" w:type="dxa"/>
            <w:noWrap/>
            <w:hideMark/>
          </w:tcPr>
          <w:p>
            <w:pPr>
              <w:spacing w:after="0"/>
              <w:jc w:val="right"/>
              <w:rPr>
                <w:rFonts w:eastAsia="Times New Roman"/>
                <w:noProof/>
                <w:color w:val="000000"/>
                <w:sz w:val="18"/>
                <w:szCs w:val="18"/>
              </w:rPr>
            </w:pPr>
            <w:r>
              <w:rPr>
                <w:noProof/>
                <w:color w:val="000000"/>
                <w:sz w:val="18"/>
                <w:szCs w:val="18"/>
              </w:rPr>
              <w:t>2 096</w:t>
            </w:r>
          </w:p>
        </w:tc>
        <w:tc>
          <w:tcPr>
            <w:tcW w:w="1019" w:type="dxa"/>
            <w:noWrap/>
            <w:hideMark/>
          </w:tcPr>
          <w:p>
            <w:pPr>
              <w:spacing w:after="0"/>
              <w:rPr>
                <w:rFonts w:eastAsia="Times New Roman"/>
                <w:noProof/>
                <w:color w:val="000000"/>
                <w:sz w:val="18"/>
                <w:szCs w:val="18"/>
              </w:rPr>
            </w:pPr>
            <w:r>
              <w:rPr>
                <w:noProof/>
                <w:color w:val="000000"/>
                <w:sz w:val="18"/>
                <w:szCs w:val="18"/>
                <w:vertAlign w:val="superscript"/>
              </w:rPr>
              <w:t>(1)</w:t>
            </w:r>
          </w:p>
        </w:tc>
        <w:tc>
          <w:tcPr>
            <w:tcW w:w="1021" w:type="dxa"/>
            <w:noWrap/>
            <w:hideMark/>
          </w:tcPr>
          <w:p>
            <w:pPr>
              <w:rPr>
                <w:rFonts w:eastAsia="Times New Roman"/>
                <w:noProof/>
                <w:color w:val="000000"/>
                <w:sz w:val="18"/>
                <w:szCs w:val="18"/>
                <w:lang w:eastAsia="en-GB"/>
              </w:rPr>
            </w:pPr>
          </w:p>
        </w:tc>
        <w:tc>
          <w:tcPr>
            <w:tcW w:w="956" w:type="dxa"/>
            <w:noWrap/>
            <w:hideMark/>
          </w:tcPr>
          <w:p>
            <w:pPr>
              <w:spacing w:after="0"/>
              <w:rPr>
                <w:rFonts w:asciiTheme="minorHAnsi" w:hAnsiTheme="minorHAnsi" w:cstheme="minorBidi"/>
                <w:noProof/>
                <w:sz w:val="20"/>
                <w:szCs w:val="20"/>
                <w:lang w:eastAsia="en-GB"/>
              </w:rPr>
            </w:pPr>
          </w:p>
        </w:tc>
        <w:tc>
          <w:tcPr>
            <w:tcW w:w="1048" w:type="dxa"/>
            <w:noWrap/>
            <w:hideMark/>
          </w:tcPr>
          <w:p>
            <w:pPr>
              <w:spacing w:after="0"/>
              <w:rPr>
                <w:rFonts w:asciiTheme="minorHAnsi" w:hAnsiTheme="minorHAnsi" w:cstheme="minorBidi"/>
                <w:noProof/>
                <w:sz w:val="20"/>
                <w:szCs w:val="20"/>
                <w:lang w:eastAsia="en-GB"/>
              </w:rPr>
            </w:pPr>
          </w:p>
        </w:tc>
        <w:tc>
          <w:tcPr>
            <w:tcW w:w="1047" w:type="dxa"/>
            <w:noWrap/>
            <w:hideMark/>
          </w:tcPr>
          <w:p>
            <w:pPr>
              <w:spacing w:after="0"/>
              <w:rPr>
                <w:rFonts w:asciiTheme="minorHAnsi" w:hAnsiTheme="minorHAnsi" w:cstheme="minorBidi"/>
                <w:noProof/>
                <w:sz w:val="20"/>
                <w:szCs w:val="20"/>
                <w:lang w:eastAsia="en-GB"/>
              </w:rPr>
            </w:pPr>
          </w:p>
        </w:tc>
      </w:tr>
      <w:tr>
        <w:trPr>
          <w:trHeight w:val="269"/>
        </w:trPr>
        <w:tc>
          <w:tcPr>
            <w:tcW w:w="1028" w:type="dxa"/>
            <w:noWrap/>
            <w:hideMark/>
          </w:tcPr>
          <w:p>
            <w:pPr>
              <w:spacing w:after="0"/>
              <w:rPr>
                <w:rFonts w:eastAsia="Times New Roman"/>
                <w:noProof/>
                <w:color w:val="000000"/>
                <w:sz w:val="18"/>
                <w:szCs w:val="18"/>
              </w:rPr>
            </w:pPr>
            <w:r>
              <w:rPr>
                <w:noProof/>
                <w:color w:val="000000"/>
                <w:sz w:val="18"/>
                <w:szCs w:val="18"/>
              </w:rPr>
              <w:t>Съюз</w:t>
            </w:r>
          </w:p>
        </w:tc>
        <w:tc>
          <w:tcPr>
            <w:tcW w:w="1115" w:type="dxa"/>
            <w:noWrap/>
            <w:hideMark/>
          </w:tcPr>
          <w:p>
            <w:pPr>
              <w:rPr>
                <w:rFonts w:eastAsia="Times New Roman"/>
                <w:noProof/>
                <w:color w:val="000000"/>
                <w:sz w:val="18"/>
                <w:szCs w:val="18"/>
                <w:lang w:eastAsia="en-GB"/>
              </w:rPr>
            </w:pPr>
          </w:p>
        </w:tc>
        <w:tc>
          <w:tcPr>
            <w:tcW w:w="1027" w:type="dxa"/>
          </w:tcPr>
          <w:p>
            <w:pPr>
              <w:spacing w:after="0"/>
              <w:jc w:val="right"/>
              <w:rPr>
                <w:rFonts w:eastAsia="Times New Roman"/>
                <w:noProof/>
                <w:color w:val="000000"/>
                <w:sz w:val="18"/>
                <w:szCs w:val="18"/>
                <w:lang w:eastAsia="en-GB"/>
              </w:rPr>
            </w:pPr>
          </w:p>
        </w:tc>
        <w:tc>
          <w:tcPr>
            <w:tcW w:w="1028" w:type="dxa"/>
            <w:noWrap/>
            <w:hideMark/>
          </w:tcPr>
          <w:p>
            <w:pPr>
              <w:spacing w:after="0"/>
              <w:jc w:val="right"/>
              <w:rPr>
                <w:rFonts w:eastAsia="Times New Roman"/>
                <w:noProof/>
                <w:color w:val="000000"/>
                <w:sz w:val="18"/>
                <w:szCs w:val="18"/>
              </w:rPr>
            </w:pPr>
            <w:r>
              <w:rPr>
                <w:noProof/>
                <w:color w:val="000000"/>
                <w:sz w:val="18"/>
                <w:szCs w:val="18"/>
              </w:rPr>
              <w:t>4 018</w:t>
            </w:r>
          </w:p>
        </w:tc>
        <w:tc>
          <w:tcPr>
            <w:tcW w:w="1019" w:type="dxa"/>
            <w:noWrap/>
            <w:hideMark/>
          </w:tcPr>
          <w:p>
            <w:pPr>
              <w:spacing w:after="0"/>
              <w:rPr>
                <w:rFonts w:eastAsia="Times New Roman"/>
                <w:noProof/>
                <w:color w:val="000000"/>
                <w:sz w:val="18"/>
                <w:szCs w:val="18"/>
              </w:rPr>
            </w:pPr>
            <w:r>
              <w:rPr>
                <w:noProof/>
                <w:color w:val="000000"/>
                <w:sz w:val="18"/>
                <w:szCs w:val="18"/>
                <w:vertAlign w:val="superscript"/>
              </w:rPr>
              <w:t>(1)</w:t>
            </w:r>
          </w:p>
        </w:tc>
        <w:tc>
          <w:tcPr>
            <w:tcW w:w="1021" w:type="dxa"/>
            <w:noWrap/>
            <w:hideMark/>
          </w:tcPr>
          <w:p>
            <w:pPr>
              <w:rPr>
                <w:rFonts w:eastAsia="Times New Roman"/>
                <w:noProof/>
                <w:color w:val="000000"/>
                <w:sz w:val="18"/>
                <w:szCs w:val="18"/>
                <w:lang w:eastAsia="en-GB"/>
              </w:rPr>
            </w:pPr>
          </w:p>
        </w:tc>
        <w:tc>
          <w:tcPr>
            <w:tcW w:w="956" w:type="dxa"/>
            <w:noWrap/>
            <w:hideMark/>
          </w:tcPr>
          <w:p>
            <w:pPr>
              <w:spacing w:after="0"/>
              <w:rPr>
                <w:rFonts w:asciiTheme="minorHAnsi" w:hAnsiTheme="minorHAnsi" w:cstheme="minorBidi"/>
                <w:noProof/>
                <w:sz w:val="20"/>
                <w:szCs w:val="20"/>
                <w:lang w:eastAsia="en-GB"/>
              </w:rPr>
            </w:pPr>
          </w:p>
        </w:tc>
        <w:tc>
          <w:tcPr>
            <w:tcW w:w="1048" w:type="dxa"/>
            <w:noWrap/>
            <w:hideMark/>
          </w:tcPr>
          <w:p>
            <w:pPr>
              <w:spacing w:after="0"/>
              <w:rPr>
                <w:rFonts w:asciiTheme="minorHAnsi" w:hAnsiTheme="minorHAnsi" w:cstheme="minorBidi"/>
                <w:noProof/>
                <w:sz w:val="20"/>
                <w:szCs w:val="20"/>
                <w:lang w:eastAsia="en-GB"/>
              </w:rPr>
            </w:pPr>
          </w:p>
        </w:tc>
        <w:tc>
          <w:tcPr>
            <w:tcW w:w="1047" w:type="dxa"/>
            <w:noWrap/>
            <w:hideMark/>
          </w:tcPr>
          <w:p>
            <w:pPr>
              <w:spacing w:after="0"/>
              <w:rPr>
                <w:rFonts w:asciiTheme="minorHAnsi" w:hAnsiTheme="minorHAnsi" w:cstheme="minorBidi"/>
                <w:noProof/>
                <w:sz w:val="20"/>
                <w:szCs w:val="20"/>
                <w:lang w:eastAsia="en-GB"/>
              </w:rPr>
            </w:pPr>
          </w:p>
        </w:tc>
      </w:tr>
      <w:tr>
        <w:trPr>
          <w:trHeight w:val="254"/>
        </w:trPr>
        <w:tc>
          <w:tcPr>
            <w:tcW w:w="1028" w:type="dxa"/>
            <w:noWrap/>
            <w:hideMark/>
          </w:tcPr>
          <w:p>
            <w:pPr>
              <w:spacing w:after="0"/>
              <w:rPr>
                <w:rFonts w:asciiTheme="minorHAnsi" w:hAnsiTheme="minorHAnsi" w:cstheme="minorBidi"/>
                <w:noProof/>
                <w:sz w:val="20"/>
                <w:szCs w:val="20"/>
                <w:lang w:eastAsia="en-GB"/>
              </w:rPr>
            </w:pPr>
          </w:p>
        </w:tc>
        <w:tc>
          <w:tcPr>
            <w:tcW w:w="1115" w:type="dxa"/>
            <w:noWrap/>
            <w:hideMark/>
          </w:tcPr>
          <w:p>
            <w:pPr>
              <w:spacing w:after="0"/>
              <w:rPr>
                <w:rFonts w:asciiTheme="minorHAnsi" w:hAnsiTheme="minorHAnsi" w:cstheme="minorBidi"/>
                <w:noProof/>
                <w:sz w:val="20"/>
                <w:szCs w:val="20"/>
                <w:lang w:eastAsia="en-GB"/>
              </w:rPr>
            </w:pPr>
          </w:p>
        </w:tc>
        <w:tc>
          <w:tcPr>
            <w:tcW w:w="1027" w:type="dxa"/>
          </w:tcPr>
          <w:p>
            <w:pPr>
              <w:spacing w:after="0"/>
              <w:rPr>
                <w:rFonts w:asciiTheme="minorHAnsi" w:hAnsiTheme="minorHAnsi" w:cstheme="minorBidi"/>
                <w:noProof/>
                <w:sz w:val="20"/>
                <w:szCs w:val="20"/>
                <w:lang w:eastAsia="en-GB"/>
              </w:rPr>
            </w:pPr>
          </w:p>
        </w:tc>
        <w:tc>
          <w:tcPr>
            <w:tcW w:w="1028" w:type="dxa"/>
            <w:noWrap/>
            <w:hideMark/>
          </w:tcPr>
          <w:p>
            <w:pPr>
              <w:spacing w:after="0"/>
              <w:rPr>
                <w:rFonts w:asciiTheme="minorHAnsi" w:hAnsiTheme="minorHAnsi" w:cstheme="minorBidi"/>
                <w:noProof/>
                <w:sz w:val="20"/>
                <w:szCs w:val="20"/>
                <w:lang w:eastAsia="en-GB"/>
              </w:rPr>
            </w:pPr>
          </w:p>
        </w:tc>
        <w:tc>
          <w:tcPr>
            <w:tcW w:w="1019" w:type="dxa"/>
            <w:noWrap/>
            <w:hideMark/>
          </w:tcPr>
          <w:p>
            <w:pPr>
              <w:spacing w:after="0"/>
              <w:rPr>
                <w:rFonts w:asciiTheme="minorHAnsi" w:hAnsiTheme="minorHAnsi" w:cstheme="minorBidi"/>
                <w:noProof/>
                <w:sz w:val="20"/>
                <w:szCs w:val="20"/>
                <w:lang w:eastAsia="en-GB"/>
              </w:rPr>
            </w:pPr>
          </w:p>
        </w:tc>
        <w:tc>
          <w:tcPr>
            <w:tcW w:w="1021" w:type="dxa"/>
            <w:noWrap/>
            <w:hideMark/>
          </w:tcPr>
          <w:p>
            <w:pPr>
              <w:spacing w:after="0"/>
              <w:rPr>
                <w:rFonts w:asciiTheme="minorHAnsi" w:hAnsiTheme="minorHAnsi" w:cstheme="minorBidi"/>
                <w:noProof/>
                <w:sz w:val="20"/>
                <w:szCs w:val="20"/>
                <w:lang w:eastAsia="en-GB"/>
              </w:rPr>
            </w:pPr>
          </w:p>
        </w:tc>
        <w:tc>
          <w:tcPr>
            <w:tcW w:w="956" w:type="dxa"/>
            <w:noWrap/>
            <w:hideMark/>
          </w:tcPr>
          <w:p>
            <w:pPr>
              <w:spacing w:after="0"/>
              <w:rPr>
                <w:rFonts w:asciiTheme="minorHAnsi" w:hAnsiTheme="minorHAnsi" w:cstheme="minorBidi"/>
                <w:noProof/>
                <w:sz w:val="20"/>
                <w:szCs w:val="20"/>
                <w:lang w:eastAsia="en-GB"/>
              </w:rPr>
            </w:pPr>
          </w:p>
        </w:tc>
        <w:tc>
          <w:tcPr>
            <w:tcW w:w="1048" w:type="dxa"/>
            <w:noWrap/>
            <w:hideMark/>
          </w:tcPr>
          <w:p>
            <w:pPr>
              <w:spacing w:after="0"/>
              <w:rPr>
                <w:rFonts w:asciiTheme="minorHAnsi" w:hAnsiTheme="minorHAnsi" w:cstheme="minorBidi"/>
                <w:noProof/>
                <w:sz w:val="20"/>
                <w:szCs w:val="20"/>
                <w:lang w:eastAsia="en-GB"/>
              </w:rPr>
            </w:pPr>
          </w:p>
        </w:tc>
        <w:tc>
          <w:tcPr>
            <w:tcW w:w="1047" w:type="dxa"/>
            <w:noWrap/>
            <w:hideMark/>
          </w:tcPr>
          <w:p>
            <w:pPr>
              <w:spacing w:after="0"/>
              <w:rPr>
                <w:rFonts w:asciiTheme="minorHAnsi" w:hAnsiTheme="minorHAnsi" w:cstheme="minorBidi"/>
                <w:noProof/>
                <w:sz w:val="20"/>
                <w:szCs w:val="20"/>
                <w:lang w:eastAsia="en-GB"/>
              </w:rPr>
            </w:pPr>
          </w:p>
        </w:tc>
      </w:tr>
      <w:tr>
        <w:trPr>
          <w:trHeight w:val="269"/>
        </w:trPr>
        <w:tc>
          <w:tcPr>
            <w:tcW w:w="1028" w:type="dxa"/>
            <w:noWrap/>
            <w:hideMark/>
          </w:tcPr>
          <w:p>
            <w:pPr>
              <w:spacing w:after="0"/>
              <w:rPr>
                <w:rFonts w:eastAsia="Times New Roman"/>
                <w:noProof/>
                <w:color w:val="000000"/>
                <w:sz w:val="18"/>
                <w:szCs w:val="18"/>
              </w:rPr>
            </w:pPr>
            <w:r>
              <w:rPr>
                <w:noProof/>
                <w:color w:val="000000"/>
                <w:sz w:val="18"/>
                <w:szCs w:val="18"/>
              </w:rPr>
              <w:t>ОДУ</w:t>
            </w:r>
          </w:p>
        </w:tc>
        <w:tc>
          <w:tcPr>
            <w:tcW w:w="1115" w:type="dxa"/>
            <w:noWrap/>
            <w:hideMark/>
          </w:tcPr>
          <w:p>
            <w:pPr>
              <w:rPr>
                <w:rFonts w:eastAsia="Times New Roman"/>
                <w:noProof/>
                <w:color w:val="000000"/>
                <w:sz w:val="18"/>
                <w:szCs w:val="18"/>
                <w:lang w:eastAsia="en-GB"/>
              </w:rPr>
            </w:pPr>
          </w:p>
        </w:tc>
        <w:tc>
          <w:tcPr>
            <w:tcW w:w="1027" w:type="dxa"/>
          </w:tcPr>
          <w:p>
            <w:pPr>
              <w:spacing w:after="0"/>
              <w:jc w:val="right"/>
              <w:rPr>
                <w:rFonts w:eastAsia="Times New Roman"/>
                <w:noProof/>
                <w:color w:val="000000"/>
                <w:sz w:val="18"/>
                <w:szCs w:val="18"/>
                <w:lang w:eastAsia="en-GB"/>
              </w:rPr>
            </w:pPr>
          </w:p>
        </w:tc>
        <w:tc>
          <w:tcPr>
            <w:tcW w:w="1028" w:type="dxa"/>
            <w:noWrap/>
            <w:hideMark/>
          </w:tcPr>
          <w:p>
            <w:pPr>
              <w:spacing w:after="0"/>
              <w:jc w:val="right"/>
              <w:rPr>
                <w:rFonts w:eastAsia="Times New Roman"/>
                <w:noProof/>
                <w:color w:val="000000"/>
                <w:sz w:val="18"/>
                <w:szCs w:val="18"/>
              </w:rPr>
            </w:pPr>
            <w:r>
              <w:rPr>
                <w:noProof/>
                <w:color w:val="000000"/>
                <w:sz w:val="18"/>
                <w:szCs w:val="18"/>
              </w:rPr>
              <w:t>4 018</w:t>
            </w:r>
          </w:p>
        </w:tc>
        <w:tc>
          <w:tcPr>
            <w:tcW w:w="1019" w:type="dxa"/>
            <w:noWrap/>
            <w:hideMark/>
          </w:tcPr>
          <w:p>
            <w:pPr>
              <w:spacing w:after="0"/>
              <w:rPr>
                <w:rFonts w:eastAsia="Times New Roman"/>
                <w:noProof/>
                <w:color w:val="000000"/>
                <w:sz w:val="18"/>
                <w:szCs w:val="18"/>
              </w:rPr>
            </w:pPr>
            <w:r>
              <w:rPr>
                <w:noProof/>
                <w:color w:val="000000"/>
                <w:sz w:val="18"/>
                <w:szCs w:val="18"/>
                <w:vertAlign w:val="superscript"/>
              </w:rPr>
              <w:t>(1)</w:t>
            </w:r>
            <w:r>
              <w:rPr>
                <w:noProof/>
                <w:color w:val="000000"/>
                <w:sz w:val="18"/>
                <w:szCs w:val="18"/>
              </w:rPr>
              <w:t xml:space="preserve"> “</w:t>
            </w:r>
          </w:p>
        </w:tc>
        <w:tc>
          <w:tcPr>
            <w:tcW w:w="1021" w:type="dxa"/>
            <w:noWrap/>
            <w:hideMark/>
          </w:tcPr>
          <w:p>
            <w:pPr>
              <w:rPr>
                <w:rFonts w:eastAsia="Times New Roman"/>
                <w:noProof/>
                <w:color w:val="000000"/>
                <w:sz w:val="18"/>
                <w:szCs w:val="18"/>
                <w:lang w:eastAsia="en-GB"/>
              </w:rPr>
            </w:pPr>
          </w:p>
        </w:tc>
        <w:tc>
          <w:tcPr>
            <w:tcW w:w="956" w:type="dxa"/>
            <w:noWrap/>
            <w:hideMark/>
          </w:tcPr>
          <w:p>
            <w:pPr>
              <w:spacing w:after="0"/>
              <w:rPr>
                <w:rFonts w:asciiTheme="minorHAnsi" w:hAnsiTheme="minorHAnsi" w:cstheme="minorBidi"/>
                <w:noProof/>
                <w:sz w:val="20"/>
                <w:szCs w:val="20"/>
                <w:lang w:eastAsia="en-GB"/>
              </w:rPr>
            </w:pPr>
          </w:p>
        </w:tc>
        <w:tc>
          <w:tcPr>
            <w:tcW w:w="1048" w:type="dxa"/>
            <w:noWrap/>
            <w:hideMark/>
          </w:tcPr>
          <w:p>
            <w:pPr>
              <w:spacing w:after="0"/>
              <w:rPr>
                <w:rFonts w:asciiTheme="minorHAnsi" w:hAnsiTheme="minorHAnsi" w:cstheme="minorBidi"/>
                <w:noProof/>
                <w:sz w:val="20"/>
                <w:szCs w:val="20"/>
                <w:lang w:eastAsia="en-GB"/>
              </w:rPr>
            </w:pPr>
          </w:p>
        </w:tc>
        <w:tc>
          <w:tcPr>
            <w:tcW w:w="1047" w:type="dxa"/>
            <w:noWrap/>
            <w:hideMark/>
          </w:tcPr>
          <w:p>
            <w:pPr>
              <w:spacing w:after="0"/>
              <w:rPr>
                <w:rFonts w:asciiTheme="minorHAnsi" w:hAnsiTheme="minorHAnsi" w:cstheme="minorBidi"/>
                <w:noProof/>
                <w:sz w:val="20"/>
                <w:szCs w:val="20"/>
                <w:lang w:eastAsia="en-GB"/>
              </w:rPr>
            </w:pPr>
          </w:p>
        </w:tc>
      </w:tr>
      <w:tr>
        <w:trPr>
          <w:trHeight w:val="284"/>
        </w:trPr>
        <w:tc>
          <w:tcPr>
            <w:tcW w:w="1028" w:type="dxa"/>
            <w:tcBorders>
              <w:bottom w:val="single" w:sz="8" w:space="0" w:color="000000"/>
            </w:tcBorders>
            <w:noWrap/>
            <w:hideMark/>
          </w:tcPr>
          <w:p>
            <w:pPr>
              <w:spacing w:after="0"/>
              <w:rPr>
                <w:rFonts w:eastAsia="Times New Roman"/>
                <w:noProof/>
                <w:color w:val="000000"/>
                <w:sz w:val="18"/>
                <w:szCs w:val="18"/>
              </w:rPr>
            </w:pPr>
            <w:r>
              <w:rPr>
                <w:noProof/>
                <w:color w:val="000000"/>
                <w:sz w:val="18"/>
                <w:szCs w:val="18"/>
                <w:vertAlign w:val="superscript"/>
              </w:rPr>
              <w:t>(1)</w:t>
            </w:r>
          </w:p>
        </w:tc>
        <w:tc>
          <w:tcPr>
            <w:tcW w:w="8261" w:type="dxa"/>
            <w:gridSpan w:val="8"/>
            <w:tcBorders>
              <w:bottom w:val="single" w:sz="8" w:space="0" w:color="000000"/>
            </w:tcBorders>
          </w:tcPr>
          <w:p>
            <w:pPr>
              <w:spacing w:after="0"/>
              <w:rPr>
                <w:rFonts w:asciiTheme="minorHAnsi" w:hAnsiTheme="minorHAnsi" w:cstheme="minorBidi"/>
                <w:noProof/>
                <w:sz w:val="20"/>
                <w:szCs w:val="20"/>
              </w:rPr>
            </w:pPr>
            <w:r>
              <w:rPr>
                <w:noProof/>
                <w:sz w:val="18"/>
                <w:szCs w:val="18"/>
                <w:vertAlign w:val="superscript"/>
              </w:rPr>
              <w:t>Риболов по тази квота може да се извършва само от 1 юли 2020 г. до 30 юни 2021 г.</w:t>
            </w:r>
          </w:p>
        </w:tc>
      </w:tr>
    </w:tbl>
    <w:p>
      <w:pPr>
        <w:rPr>
          <w:noProof/>
        </w:rPr>
      </w:pPr>
      <w:r>
        <w:rPr>
          <w:noProof/>
        </w:rPr>
        <w:t>;</w:t>
      </w:r>
    </w:p>
    <w:p>
      <w:pPr>
        <w:pStyle w:val="Point1"/>
        <w:rPr>
          <w:noProof/>
        </w:rPr>
      </w:pPr>
      <w:r>
        <w:rPr>
          <w:noProof/>
        </w:rPr>
        <w:t>д)</w:t>
      </w:r>
      <w:r>
        <w:rPr>
          <w:noProof/>
        </w:rPr>
        <w:tab/>
      </w:r>
      <w:r>
        <w:rPr>
          <w:noProof/>
        </w:rPr>
        <w:tab/>
        <w:t>таблицата за възможностите за риболов на херинга във водите на Съюза и норвежките води от 4 на север от 53° 30′ с. ш. се заменя със следното:</w:t>
      </w:r>
    </w:p>
    <w:tbl>
      <w:tblPr>
        <w:tblW w:w="9289" w:type="dxa"/>
        <w:tblLook w:val="04A0" w:firstRow="1" w:lastRow="0" w:firstColumn="1" w:lastColumn="0" w:noHBand="0" w:noVBand="1"/>
      </w:tblPr>
      <w:tblGrid>
        <w:gridCol w:w="1292"/>
        <w:gridCol w:w="1137"/>
        <w:gridCol w:w="1250"/>
        <w:gridCol w:w="412"/>
        <w:gridCol w:w="680"/>
        <w:gridCol w:w="1563"/>
        <w:gridCol w:w="1563"/>
        <w:gridCol w:w="1392"/>
      </w:tblGrid>
      <w:tr>
        <w:trPr>
          <w:trHeight w:val="214"/>
        </w:trPr>
        <w:tc>
          <w:tcPr>
            <w:tcW w:w="1510" w:type="dxa"/>
            <w:tcBorders>
              <w:top w:val="single" w:sz="4" w:space="0" w:color="auto"/>
              <w:left w:val="nil"/>
              <w:bottom w:val="nil"/>
              <w:right w:val="nil"/>
            </w:tcBorders>
            <w:shd w:val="clear" w:color="auto" w:fill="auto"/>
            <w:noWrap/>
            <w:hideMark/>
          </w:tcPr>
          <w:p>
            <w:pPr>
              <w:spacing w:before="0" w:after="160" w:line="259" w:lineRule="auto"/>
              <w:rPr>
                <w:noProof/>
                <w:sz w:val="18"/>
                <w:szCs w:val="18"/>
              </w:rPr>
            </w:pPr>
            <w:r>
              <w:rPr>
                <w:noProof/>
                <w:sz w:val="18"/>
                <w:szCs w:val="18"/>
              </w:rPr>
              <w:t>„Вид:</w:t>
            </w:r>
          </w:p>
        </w:tc>
        <w:tc>
          <w:tcPr>
            <w:tcW w:w="1307" w:type="dxa"/>
            <w:tcBorders>
              <w:top w:val="single" w:sz="4" w:space="0" w:color="auto"/>
              <w:left w:val="nil"/>
              <w:bottom w:val="nil"/>
              <w:right w:val="nil"/>
            </w:tcBorders>
            <w:shd w:val="clear" w:color="auto" w:fill="auto"/>
            <w:noWrap/>
            <w:hideMark/>
          </w:tcPr>
          <w:p>
            <w:pPr>
              <w:spacing w:before="0" w:after="160" w:line="259" w:lineRule="auto"/>
              <w:rPr>
                <w:noProof/>
                <w:sz w:val="18"/>
                <w:szCs w:val="18"/>
              </w:rPr>
            </w:pPr>
            <w:r>
              <w:rPr>
                <w:noProof/>
                <w:sz w:val="18"/>
                <w:szCs w:val="18"/>
              </w:rPr>
              <w:t>Херинга</w:t>
            </w:r>
            <w:r>
              <w:rPr>
                <w:b/>
                <w:bCs/>
                <w:noProof/>
                <w:sz w:val="18"/>
                <w:szCs w:val="18"/>
                <w:vertAlign w:val="superscript"/>
              </w:rPr>
              <w:t>(1)</w:t>
            </w:r>
          </w:p>
        </w:tc>
        <w:tc>
          <w:tcPr>
            <w:tcW w:w="0" w:type="auto"/>
            <w:tcBorders>
              <w:top w:val="single" w:sz="4" w:space="0" w:color="auto"/>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single" w:sz="4" w:space="0" w:color="auto"/>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single" w:sz="4" w:space="0" w:color="auto"/>
              <w:left w:val="single" w:sz="8" w:space="0" w:color="000000"/>
              <w:bottom w:val="nil"/>
              <w:right w:val="nil"/>
            </w:tcBorders>
            <w:shd w:val="clear" w:color="auto" w:fill="auto"/>
            <w:noWrap/>
            <w:hideMark/>
          </w:tcPr>
          <w:p>
            <w:pPr>
              <w:spacing w:before="0" w:after="160" w:line="259" w:lineRule="auto"/>
              <w:rPr>
                <w:noProof/>
                <w:sz w:val="18"/>
                <w:szCs w:val="18"/>
              </w:rPr>
            </w:pPr>
            <w:r>
              <w:rPr>
                <w:noProof/>
                <w:sz w:val="18"/>
                <w:szCs w:val="18"/>
              </w:rPr>
              <w:t>Зона:</w:t>
            </w:r>
          </w:p>
        </w:tc>
        <w:tc>
          <w:tcPr>
            <w:tcW w:w="0" w:type="auto"/>
            <w:gridSpan w:val="3"/>
            <w:tcBorders>
              <w:top w:val="single" w:sz="4" w:space="0" w:color="auto"/>
              <w:left w:val="nil"/>
              <w:bottom w:val="nil"/>
              <w:right w:val="nil"/>
            </w:tcBorders>
            <w:shd w:val="clear" w:color="auto" w:fill="auto"/>
            <w:noWrap/>
            <w:hideMark/>
          </w:tcPr>
          <w:p>
            <w:pPr>
              <w:spacing w:before="0" w:after="160" w:line="259" w:lineRule="auto"/>
              <w:rPr>
                <w:noProof/>
                <w:sz w:val="18"/>
                <w:szCs w:val="18"/>
              </w:rPr>
            </w:pPr>
            <w:r>
              <w:rPr>
                <w:noProof/>
                <w:sz w:val="18"/>
                <w:szCs w:val="18"/>
              </w:rPr>
              <w:t>Води на Съюза и норвежки води от 4 на север от 53° 30′ с. ш.</w:t>
            </w:r>
          </w:p>
        </w:tc>
      </w:tr>
      <w:tr>
        <w:trPr>
          <w:trHeight w:val="214"/>
        </w:trPr>
        <w:tc>
          <w:tcPr>
            <w:tcW w:w="1510" w:type="dxa"/>
            <w:tcBorders>
              <w:top w:val="nil"/>
              <w:left w:val="nil"/>
              <w:bottom w:val="single" w:sz="8" w:space="0" w:color="000000"/>
              <w:right w:val="nil"/>
            </w:tcBorders>
            <w:shd w:val="clear" w:color="auto" w:fill="auto"/>
            <w:noWrap/>
            <w:hideMark/>
          </w:tcPr>
          <w:p>
            <w:pPr>
              <w:spacing w:before="0" w:after="160" w:line="259" w:lineRule="auto"/>
              <w:rPr>
                <w:noProof/>
                <w:sz w:val="18"/>
                <w:szCs w:val="18"/>
              </w:rPr>
            </w:pPr>
          </w:p>
        </w:tc>
        <w:tc>
          <w:tcPr>
            <w:tcW w:w="2763" w:type="dxa"/>
            <w:gridSpan w:val="2"/>
            <w:tcBorders>
              <w:top w:val="nil"/>
              <w:left w:val="nil"/>
              <w:bottom w:val="single" w:sz="8" w:space="0" w:color="000000"/>
              <w:right w:val="nil"/>
            </w:tcBorders>
            <w:shd w:val="clear" w:color="auto" w:fill="auto"/>
            <w:noWrap/>
            <w:hideMark/>
          </w:tcPr>
          <w:p>
            <w:pPr>
              <w:spacing w:before="0" w:after="160" w:line="259" w:lineRule="auto"/>
              <w:rPr>
                <w:i/>
                <w:iCs/>
                <w:noProof/>
                <w:sz w:val="18"/>
                <w:szCs w:val="18"/>
              </w:rPr>
            </w:pPr>
            <w:r>
              <w:rPr>
                <w:i/>
                <w:iCs/>
                <w:noProof/>
                <w:sz w:val="18"/>
                <w:szCs w:val="18"/>
              </w:rPr>
              <w:t>Clupea harengus</w:t>
            </w:r>
          </w:p>
        </w:tc>
        <w:tc>
          <w:tcPr>
            <w:tcW w:w="0" w:type="auto"/>
            <w:tcBorders>
              <w:top w:val="nil"/>
              <w:left w:val="nil"/>
              <w:bottom w:val="single" w:sz="8" w:space="0" w:color="000000"/>
              <w:right w:val="nil"/>
            </w:tcBorders>
            <w:shd w:val="clear" w:color="auto" w:fill="auto"/>
            <w:noWrap/>
            <w:hideMark/>
          </w:tcPr>
          <w:p>
            <w:pPr>
              <w:spacing w:before="0" w:after="160" w:line="259" w:lineRule="auto"/>
              <w:rPr>
                <w:i/>
                <w:iCs/>
                <w:noProof/>
                <w:sz w:val="18"/>
                <w:szCs w:val="18"/>
              </w:rPr>
            </w:pPr>
          </w:p>
        </w:tc>
        <w:tc>
          <w:tcPr>
            <w:tcW w:w="0" w:type="auto"/>
            <w:tcBorders>
              <w:top w:val="nil"/>
              <w:left w:val="single" w:sz="8" w:space="0" w:color="000000"/>
              <w:bottom w:val="single" w:sz="8" w:space="0" w:color="000000"/>
              <w:right w:val="nil"/>
            </w:tcBorders>
            <w:shd w:val="clear" w:color="auto" w:fill="auto"/>
            <w:noWrap/>
            <w:hideMark/>
          </w:tcPr>
          <w:p>
            <w:pPr>
              <w:spacing w:before="0" w:after="160" w:line="259" w:lineRule="auto"/>
              <w:rPr>
                <w:noProof/>
                <w:sz w:val="18"/>
                <w:szCs w:val="18"/>
              </w:rPr>
            </w:pPr>
          </w:p>
        </w:tc>
        <w:tc>
          <w:tcPr>
            <w:tcW w:w="0" w:type="auto"/>
            <w:gridSpan w:val="2"/>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(HER/4АB.)</w:t>
            </w: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Дания</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59 468</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gridSpan w:val="2"/>
            <w:tcBorders>
              <w:top w:val="single" w:sz="8" w:space="0" w:color="000000"/>
              <w:left w:val="nil"/>
              <w:bottom w:val="nil"/>
              <w:right w:val="nil"/>
            </w:tcBorders>
            <w:shd w:val="clear" w:color="auto" w:fill="auto"/>
            <w:noWrap/>
            <w:hideMark/>
          </w:tcPr>
          <w:p>
            <w:pPr>
              <w:spacing w:before="0" w:after="160" w:line="259" w:lineRule="auto"/>
              <w:rPr>
                <w:noProof/>
                <w:sz w:val="18"/>
                <w:szCs w:val="18"/>
              </w:rPr>
            </w:pPr>
            <w:r>
              <w:rPr>
                <w:noProof/>
                <w:sz w:val="18"/>
                <w:szCs w:val="18"/>
              </w:rPr>
              <w:t>Аналитичен ОДУ</w:t>
            </w:r>
          </w:p>
        </w:tc>
        <w:tc>
          <w:tcPr>
            <w:tcW w:w="0" w:type="auto"/>
            <w:tcBorders>
              <w:top w:val="single" w:sz="8" w:space="0" w:color="000000"/>
              <w:left w:val="nil"/>
              <w:bottom w:val="nil"/>
              <w:right w:val="nil"/>
            </w:tcBorders>
            <w:shd w:val="clear" w:color="auto" w:fill="auto"/>
            <w:noWrap/>
            <w:hideMark/>
          </w:tcPr>
          <w:p>
            <w:pPr>
              <w:spacing w:before="0" w:after="160" w:line="259" w:lineRule="auto"/>
              <w:rPr>
                <w:noProof/>
              </w:rPr>
            </w:pPr>
          </w:p>
        </w:tc>
        <w:tc>
          <w:tcPr>
            <w:tcW w:w="0" w:type="auto"/>
            <w:tcBorders>
              <w:top w:val="single" w:sz="8" w:space="0" w:color="000000"/>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Германия</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39 404</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gridSpan w:val="3"/>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Прилага се член 7, параграф 2 от настоящия регламент</w:t>
            </w: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Франция</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20 670</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0" w:type="auto"/>
            <w:gridSpan w:val="2"/>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Нидерландия</w:t>
            </w: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51 717</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Швеция</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3 913</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0" w:type="auto"/>
            <w:gridSpan w:val="2"/>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Обединено кралство</w:t>
            </w: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55 583</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Съюз</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230 755</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0" w:type="auto"/>
            <w:gridSpan w:val="2"/>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Фарьорски острови</w:t>
            </w: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250</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Норвегия</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111 652</w:t>
            </w:r>
          </w:p>
        </w:tc>
        <w:tc>
          <w:tcPr>
            <w:tcW w:w="0" w:type="auto"/>
            <w:tcBorders>
              <w:top w:val="nil"/>
              <w:left w:val="nil"/>
              <w:bottom w:val="nil"/>
              <w:right w:val="nil"/>
            </w:tcBorders>
            <w:shd w:val="clear" w:color="auto" w:fill="auto"/>
            <w:noWrap/>
            <w:hideMark/>
          </w:tcPr>
          <w:p>
            <w:pPr>
              <w:spacing w:before="0" w:after="160" w:line="259" w:lineRule="auto"/>
              <w:rPr>
                <w:b/>
                <w:bCs/>
                <w:noProof/>
                <w:sz w:val="18"/>
                <w:szCs w:val="18"/>
              </w:rPr>
            </w:pPr>
            <w:r>
              <w:rPr>
                <w:b/>
                <w:bCs/>
                <w:noProof/>
                <w:sz w:val="18"/>
                <w:szCs w:val="18"/>
                <w:vertAlign w:val="superscript"/>
              </w:rPr>
              <w:t>(2)</w:t>
            </w: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ОДУ</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385 008</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jc w:val="left"/>
              <w:rPr>
                <w:b/>
                <w:bCs/>
                <w:noProof/>
                <w:sz w:val="18"/>
                <w:szCs w:val="18"/>
              </w:rPr>
            </w:pPr>
            <w:r>
              <w:rPr>
                <w:b/>
                <w:bCs/>
                <w:noProof/>
                <w:sz w:val="18"/>
                <w:szCs w:val="18"/>
                <w:vertAlign w:val="superscript"/>
              </w:rPr>
              <w:t>(1)</w:t>
            </w:r>
          </w:p>
        </w:tc>
        <w:tc>
          <w:tcPr>
            <w:tcW w:w="7779" w:type="dxa"/>
            <w:gridSpan w:val="7"/>
            <w:tcBorders>
              <w:top w:val="nil"/>
              <w:left w:val="nil"/>
              <w:bottom w:val="nil"/>
              <w:right w:val="nil"/>
            </w:tcBorders>
            <w:shd w:val="clear" w:color="auto" w:fill="auto"/>
            <w:noWrap/>
            <w:hideMark/>
          </w:tcPr>
          <w:p>
            <w:pPr>
              <w:spacing w:before="0" w:after="160" w:line="259" w:lineRule="auto"/>
              <w:rPr>
                <w:noProof/>
              </w:rPr>
            </w:pPr>
            <w:r>
              <w:rPr>
                <w:noProof/>
                <w:sz w:val="18"/>
                <w:szCs w:val="18"/>
              </w:rPr>
              <w:t>Улов на херинга при риболов с мрежи с размери на окото ≥ 32 mm.</w:t>
            </w:r>
          </w:p>
        </w:tc>
      </w:tr>
      <w:tr>
        <w:trPr>
          <w:trHeight w:val="214"/>
        </w:trPr>
        <w:tc>
          <w:tcPr>
            <w:tcW w:w="1510" w:type="dxa"/>
            <w:tcBorders>
              <w:top w:val="nil"/>
              <w:left w:val="nil"/>
              <w:bottom w:val="nil"/>
              <w:right w:val="nil"/>
            </w:tcBorders>
            <w:shd w:val="clear" w:color="auto" w:fill="auto"/>
            <w:noWrap/>
            <w:hideMark/>
          </w:tcPr>
          <w:p>
            <w:pPr>
              <w:spacing w:before="0" w:after="160" w:line="259" w:lineRule="auto"/>
              <w:jc w:val="left"/>
              <w:rPr>
                <w:b/>
                <w:bCs/>
                <w:noProof/>
                <w:sz w:val="18"/>
                <w:szCs w:val="18"/>
              </w:rPr>
            </w:pPr>
            <w:r>
              <w:rPr>
                <w:b/>
                <w:bCs/>
                <w:noProof/>
                <w:sz w:val="18"/>
                <w:szCs w:val="18"/>
                <w:vertAlign w:val="superscript"/>
              </w:rPr>
              <w:t>(2)</w:t>
            </w:r>
          </w:p>
        </w:tc>
        <w:tc>
          <w:tcPr>
            <w:tcW w:w="7779" w:type="dxa"/>
            <w:gridSpan w:val="7"/>
            <w:tcBorders>
              <w:top w:val="nil"/>
              <w:left w:val="nil"/>
              <w:bottom w:val="nil"/>
              <w:right w:val="nil"/>
            </w:tcBorders>
            <w:shd w:val="clear" w:color="auto" w:fill="auto"/>
            <w:noWrap/>
            <w:hideMark/>
          </w:tcPr>
          <w:p>
            <w:pPr>
              <w:spacing w:before="0" w:after="160" w:line="259" w:lineRule="auto"/>
              <w:rPr>
                <w:noProof/>
                <w:sz w:val="18"/>
                <w:szCs w:val="18"/>
                <w:highlight w:val="yellow"/>
              </w:rPr>
            </w:pPr>
            <w:r>
              <w:rPr>
                <w:noProof/>
                <w:sz w:val="18"/>
                <w:szCs w:val="18"/>
              </w:rPr>
              <w:t>Уловът, добит по тази квота, се приспада от дела на Норвегия от ОДУ. Уловът в рамките на тази квота във води на Съюза от 4a и 4b (HER/*4AB-C) не може да надвишава посоченото по-долу количество. Ще бъде предоставено допълнително количество от най-много 10 000 тона, ако Норвегия поиска такова увеличение.</w:t>
            </w: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50 000</w:t>
            </w:r>
          </w:p>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0" w:type="auto"/>
            <w:gridSpan w:val="8"/>
            <w:tcBorders>
              <w:top w:val="single" w:sz="4" w:space="0" w:color="auto"/>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Специално условие: Уловът на Съюза в рамките на определените по-горе квоти не може да надвишава посочените по-долу количества в норвежките води на юг от 62° с.ш. Ще бъде предоставено допълнително количество от най-много 10 000 тона, ако Европейският съюз поиска такова увеличение.</w:t>
            </w:r>
          </w:p>
          <w:p>
            <w:pPr>
              <w:spacing w:before="0" w:after="0" w:line="259" w:lineRule="auto"/>
              <w:jc w:val="center"/>
              <w:rPr>
                <w:noProof/>
                <w:sz w:val="18"/>
                <w:szCs w:val="18"/>
              </w:rPr>
            </w:pPr>
            <w:r>
              <w:rPr>
                <w:noProof/>
                <w:sz w:val="18"/>
                <w:szCs w:val="18"/>
              </w:rPr>
              <w:t xml:space="preserve">Норвежки води на юг от 62° с.ш. </w:t>
            </w:r>
          </w:p>
          <w:p>
            <w:pPr>
              <w:spacing w:before="0" w:after="160" w:line="259" w:lineRule="auto"/>
              <w:jc w:val="center"/>
              <w:rPr>
                <w:noProof/>
                <w:sz w:val="18"/>
                <w:szCs w:val="18"/>
              </w:rPr>
            </w:pPr>
            <w:r>
              <w:rPr>
                <w:noProof/>
                <w:sz w:val="18"/>
                <w:szCs w:val="18"/>
              </w:rPr>
              <w:t>(HER/*04N-)</w:t>
            </w:r>
            <w:r>
              <w:rPr>
                <w:b/>
                <w:bCs/>
                <w:noProof/>
                <w:sz w:val="18"/>
                <w:szCs w:val="18"/>
                <w:vertAlign w:val="superscript"/>
              </w:rPr>
              <w:t>(1)</w:t>
            </w:r>
          </w:p>
        </w:tc>
      </w:tr>
      <w:tr>
        <w:trPr>
          <w:trHeight w:val="214"/>
        </w:trPr>
        <w:tc>
          <w:tcPr>
            <w:tcW w:w="0" w:type="auto"/>
            <w:gridSpan w:val="2"/>
            <w:tcBorders>
              <w:top w:val="nil"/>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 xml:space="preserve"> </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50 000</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rPr>
            </w:pPr>
          </w:p>
        </w:tc>
        <w:tc>
          <w:tcPr>
            <w:tcW w:w="0" w:type="auto"/>
            <w:tcBorders>
              <w:top w:val="nil"/>
              <w:left w:val="nil"/>
              <w:bottom w:val="nil"/>
              <w:right w:val="nil"/>
            </w:tcBorders>
            <w:shd w:val="clear" w:color="auto" w:fill="auto"/>
            <w:noWrap/>
            <w:hideMark/>
          </w:tcPr>
          <w:p>
            <w:pPr>
              <w:spacing w:before="0" w:after="160" w:line="259" w:lineRule="auto"/>
              <w:jc w:val="left"/>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jc w:val="left"/>
              <w:rPr>
                <w:b/>
                <w:bCs/>
                <w:noProof/>
                <w:sz w:val="18"/>
                <w:szCs w:val="18"/>
                <w:vertAlign w:val="superscript"/>
              </w:rPr>
            </w:pPr>
          </w:p>
          <w:p>
            <w:pPr>
              <w:spacing w:before="0" w:after="160" w:line="259" w:lineRule="auto"/>
              <w:jc w:val="left"/>
              <w:rPr>
                <w:b/>
                <w:bCs/>
                <w:noProof/>
                <w:sz w:val="18"/>
                <w:szCs w:val="18"/>
              </w:rPr>
            </w:pPr>
          </w:p>
        </w:tc>
        <w:tc>
          <w:tcPr>
            <w:tcW w:w="7779" w:type="dxa"/>
            <w:gridSpan w:val="7"/>
            <w:tcBorders>
              <w:top w:val="nil"/>
              <w:left w:val="nil"/>
              <w:bottom w:val="nil"/>
              <w:right w:val="nil"/>
            </w:tcBorders>
            <w:shd w:val="clear" w:color="auto" w:fill="auto"/>
            <w:noWrap/>
            <w:hideMark/>
          </w:tcPr>
          <w:p>
            <w:pPr>
              <w:spacing w:before="0" w:after="160" w:line="480" w:lineRule="auto"/>
              <w:jc w:val="left"/>
              <w:rPr>
                <w:noProof/>
                <w:sz w:val="18"/>
                <w:szCs w:val="18"/>
              </w:rPr>
            </w:pPr>
            <w:r>
              <w:rPr>
                <w:noProof/>
                <w:sz w:val="18"/>
                <w:szCs w:val="18"/>
              </w:rPr>
              <w:t>“</w:t>
            </w:r>
          </w:p>
        </w:tc>
      </w:tr>
    </w:tbl>
    <w:p>
      <w:pPr>
        <w:rPr>
          <w:noProof/>
        </w:rPr>
      </w:pPr>
      <w:r>
        <w:rPr>
          <w:noProof/>
        </w:rPr>
        <w:t>;</w:t>
      </w:r>
    </w:p>
    <w:p>
      <w:pPr>
        <w:pStyle w:val="Point0"/>
        <w:rPr>
          <w:noProof/>
        </w:rPr>
      </w:pPr>
      <w:r>
        <w:rPr>
          <w:noProof/>
        </w:rPr>
        <w:t>2)</w:t>
      </w:r>
      <w:r>
        <w:rPr>
          <w:noProof/>
        </w:rPr>
        <w:tab/>
        <w:t>в приложение IГ таблицата относно възможностите за риболов на риба меч в Средиземно море се заменя със следното:</w:t>
      </w:r>
    </w:p>
    <w:tbl>
      <w:tblPr>
        <w:tblW w:w="5000" w:type="pct"/>
        <w:tblLook w:val="06A0" w:firstRow="1" w:lastRow="0" w:firstColumn="1" w:lastColumn="0" w:noHBand="1" w:noVBand="1"/>
      </w:tblPr>
      <w:tblGrid>
        <w:gridCol w:w="1737"/>
        <w:gridCol w:w="1518"/>
        <w:gridCol w:w="1222"/>
        <w:gridCol w:w="28"/>
        <w:gridCol w:w="1182"/>
        <w:gridCol w:w="3602"/>
      </w:tblGrid>
      <w:tr>
        <w:trPr>
          <w:trHeight w:val="227"/>
        </w:trPr>
        <w:tc>
          <w:tcPr>
            <w:tcW w:w="935" w:type="pct"/>
            <w:tcBorders>
              <w:top w:val="single" w:sz="4" w:space="0" w:color="auto"/>
              <w:bottom w:val="single" w:sz="4" w:space="0" w:color="auto"/>
            </w:tcBorders>
          </w:tcPr>
          <w:p>
            <w:pPr>
              <w:pageBreakBefore/>
              <w:spacing w:before="60" w:after="60"/>
              <w:rPr>
                <w:noProof/>
                <w:sz w:val="18"/>
                <w:szCs w:val="18"/>
              </w:rPr>
            </w:pPr>
            <w:r>
              <w:rPr>
                <w:noProof/>
                <w:sz w:val="18"/>
                <w:szCs w:val="18"/>
              </w:rPr>
              <w:t>„Вид:</w:t>
            </w:r>
          </w:p>
        </w:tc>
        <w:tc>
          <w:tcPr>
            <w:tcW w:w="1475" w:type="pct"/>
            <w:gridSpan w:val="2"/>
            <w:tcBorders>
              <w:top w:val="single" w:sz="4" w:space="0" w:color="auto"/>
              <w:bottom w:val="single" w:sz="4" w:space="0" w:color="auto"/>
              <w:right w:val="single" w:sz="4" w:space="0" w:color="auto"/>
            </w:tcBorders>
          </w:tcPr>
          <w:p>
            <w:pPr>
              <w:spacing w:before="60" w:after="60"/>
              <w:rPr>
                <w:noProof/>
                <w:sz w:val="18"/>
                <w:szCs w:val="18"/>
              </w:rPr>
            </w:pPr>
            <w:r>
              <w:rPr>
                <w:noProof/>
                <w:sz w:val="18"/>
                <w:szCs w:val="18"/>
              </w:rPr>
              <w:t>Риба меч</w:t>
            </w:r>
          </w:p>
          <w:p>
            <w:pPr>
              <w:spacing w:before="60" w:after="60"/>
              <w:rPr>
                <w:i/>
                <w:iCs/>
                <w:noProof/>
                <w:sz w:val="18"/>
                <w:szCs w:val="18"/>
              </w:rPr>
            </w:pPr>
            <w:r>
              <w:rPr>
                <w:i/>
                <w:iCs/>
                <w:noProof/>
                <w:sz w:val="18"/>
                <w:szCs w:val="18"/>
              </w:rPr>
              <w:t>Xiphias gladius</w:t>
            </w:r>
          </w:p>
        </w:tc>
        <w:tc>
          <w:tcPr>
            <w:tcW w:w="651" w:type="pct"/>
            <w:gridSpan w:val="2"/>
            <w:tcBorders>
              <w:top w:val="single" w:sz="4" w:space="0" w:color="auto"/>
              <w:left w:val="single" w:sz="4" w:space="0" w:color="auto"/>
              <w:bottom w:val="single" w:sz="4" w:space="0" w:color="auto"/>
              <w:right w:val="nil"/>
            </w:tcBorders>
          </w:tcPr>
          <w:p>
            <w:pPr>
              <w:spacing w:before="60" w:after="60"/>
              <w:rPr>
                <w:noProof/>
                <w:sz w:val="18"/>
                <w:szCs w:val="18"/>
              </w:rPr>
            </w:pPr>
            <w:r>
              <w:rPr>
                <w:noProof/>
                <w:sz w:val="18"/>
                <w:szCs w:val="18"/>
              </w:rPr>
              <w:t>Зона:</w:t>
            </w:r>
          </w:p>
        </w:tc>
        <w:tc>
          <w:tcPr>
            <w:tcW w:w="1939" w:type="pct"/>
            <w:tcBorders>
              <w:top w:val="single" w:sz="4" w:space="0" w:color="auto"/>
              <w:bottom w:val="single" w:sz="4" w:space="0" w:color="auto"/>
            </w:tcBorders>
          </w:tcPr>
          <w:p>
            <w:pPr>
              <w:spacing w:before="60" w:after="60"/>
              <w:rPr>
                <w:noProof/>
                <w:sz w:val="18"/>
                <w:szCs w:val="18"/>
              </w:rPr>
            </w:pPr>
            <w:r>
              <w:rPr>
                <w:noProof/>
                <w:sz w:val="18"/>
                <w:szCs w:val="18"/>
              </w:rPr>
              <w:t>Средиземно море</w:t>
            </w:r>
          </w:p>
          <w:p>
            <w:pPr>
              <w:spacing w:before="60" w:after="60"/>
              <w:rPr>
                <w:noProof/>
                <w:sz w:val="18"/>
                <w:szCs w:val="18"/>
              </w:rPr>
            </w:pPr>
            <w:r>
              <w:rPr>
                <w:noProof/>
                <w:sz w:val="18"/>
                <w:szCs w:val="18"/>
              </w:rPr>
              <w:t>(SWO/MED)</w:t>
            </w:r>
          </w:p>
        </w:tc>
      </w:tr>
      <w:tr>
        <w:trPr>
          <w:trHeight w:val="227"/>
        </w:trPr>
        <w:tc>
          <w:tcPr>
            <w:tcW w:w="935" w:type="pct"/>
            <w:tcBorders>
              <w:top w:val="single" w:sz="4" w:space="0" w:color="auto"/>
            </w:tcBorders>
          </w:tcPr>
          <w:p>
            <w:pPr>
              <w:spacing w:before="60" w:after="60"/>
              <w:rPr>
                <w:noProof/>
                <w:sz w:val="18"/>
                <w:szCs w:val="18"/>
              </w:rPr>
            </w:pPr>
            <w:r>
              <w:rPr>
                <w:noProof/>
                <w:sz w:val="18"/>
                <w:szCs w:val="18"/>
              </w:rPr>
              <w:t>Хърватия</w:t>
            </w:r>
          </w:p>
        </w:tc>
        <w:tc>
          <w:tcPr>
            <w:tcW w:w="817" w:type="pct"/>
            <w:tcBorders>
              <w:top w:val="single" w:sz="4" w:space="0" w:color="auto"/>
            </w:tcBorders>
          </w:tcPr>
          <w:p>
            <w:pPr>
              <w:spacing w:before="60" w:after="60"/>
              <w:jc w:val="right"/>
              <w:rPr>
                <w:noProof/>
                <w:color w:val="000000"/>
                <w:sz w:val="18"/>
                <w:szCs w:val="18"/>
              </w:rPr>
            </w:pPr>
            <w:r>
              <w:rPr>
                <w:noProof/>
                <w:color w:val="000000"/>
                <w:sz w:val="18"/>
                <w:szCs w:val="18"/>
              </w:rPr>
              <w:t>14,60</w:t>
            </w:r>
          </w:p>
        </w:tc>
        <w:tc>
          <w:tcPr>
            <w:tcW w:w="673" w:type="pct"/>
            <w:gridSpan w:val="2"/>
            <w:tcBorders>
              <w:top w:val="single" w:sz="4" w:space="0" w:color="auto"/>
              <w:right w:val="nil"/>
            </w:tcBorders>
          </w:tcPr>
          <w:p>
            <w:pPr>
              <w:spacing w:before="60" w:after="60"/>
              <w:rPr>
                <w:noProof/>
                <w:sz w:val="18"/>
                <w:szCs w:val="18"/>
              </w:rPr>
            </w:pPr>
            <w:r>
              <w:rPr>
                <w:b/>
                <w:bCs/>
                <w:noProof/>
                <w:sz w:val="18"/>
                <w:szCs w:val="18"/>
                <w:vertAlign w:val="superscript"/>
              </w:rPr>
              <w:t>(1)</w:t>
            </w:r>
          </w:p>
        </w:tc>
        <w:tc>
          <w:tcPr>
            <w:tcW w:w="2575" w:type="pct"/>
            <w:gridSpan w:val="2"/>
            <w:vMerge w:val="restart"/>
            <w:tcBorders>
              <w:top w:val="single" w:sz="4" w:space="0" w:color="auto"/>
            </w:tcBorders>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935" w:type="pct"/>
          </w:tcPr>
          <w:p>
            <w:pPr>
              <w:spacing w:before="60" w:after="60"/>
              <w:rPr>
                <w:noProof/>
                <w:sz w:val="18"/>
                <w:szCs w:val="18"/>
              </w:rPr>
            </w:pPr>
            <w:r>
              <w:rPr>
                <w:noProof/>
                <w:sz w:val="18"/>
                <w:szCs w:val="18"/>
              </w:rPr>
              <w:t>Кипър</w:t>
            </w:r>
          </w:p>
        </w:tc>
        <w:tc>
          <w:tcPr>
            <w:tcW w:w="817" w:type="pct"/>
          </w:tcPr>
          <w:p>
            <w:pPr>
              <w:spacing w:before="60" w:after="60"/>
              <w:jc w:val="right"/>
              <w:rPr>
                <w:noProof/>
                <w:color w:val="000000"/>
                <w:sz w:val="18"/>
                <w:szCs w:val="18"/>
              </w:rPr>
            </w:pPr>
            <w:r>
              <w:rPr>
                <w:noProof/>
                <w:color w:val="000000"/>
                <w:sz w:val="18"/>
                <w:szCs w:val="18"/>
              </w:rPr>
              <w:t>53,85</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Испания</w:t>
            </w:r>
          </w:p>
        </w:tc>
        <w:tc>
          <w:tcPr>
            <w:tcW w:w="817" w:type="pct"/>
          </w:tcPr>
          <w:p>
            <w:pPr>
              <w:spacing w:before="60" w:after="60"/>
              <w:jc w:val="right"/>
              <w:rPr>
                <w:noProof/>
                <w:color w:val="000000"/>
                <w:sz w:val="18"/>
                <w:szCs w:val="18"/>
              </w:rPr>
            </w:pPr>
            <w:r>
              <w:rPr>
                <w:noProof/>
                <w:color w:val="000000"/>
                <w:sz w:val="18"/>
                <w:szCs w:val="18"/>
              </w:rPr>
              <w:t>1 663,34</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Франция</w:t>
            </w:r>
          </w:p>
        </w:tc>
        <w:tc>
          <w:tcPr>
            <w:tcW w:w="817" w:type="pct"/>
          </w:tcPr>
          <w:p>
            <w:pPr>
              <w:spacing w:before="60" w:after="60"/>
              <w:jc w:val="right"/>
              <w:rPr>
                <w:noProof/>
                <w:color w:val="000000"/>
                <w:sz w:val="18"/>
                <w:szCs w:val="18"/>
              </w:rPr>
            </w:pPr>
            <w:r>
              <w:rPr>
                <w:noProof/>
                <w:color w:val="000000"/>
                <w:sz w:val="18"/>
                <w:szCs w:val="18"/>
              </w:rPr>
              <w:t>115,93</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Гърция</w:t>
            </w:r>
          </w:p>
        </w:tc>
        <w:tc>
          <w:tcPr>
            <w:tcW w:w="817" w:type="pct"/>
          </w:tcPr>
          <w:p>
            <w:pPr>
              <w:spacing w:before="60" w:after="60"/>
              <w:jc w:val="right"/>
              <w:rPr>
                <w:noProof/>
                <w:color w:val="000000"/>
                <w:sz w:val="18"/>
                <w:szCs w:val="18"/>
              </w:rPr>
            </w:pPr>
            <w:r>
              <w:rPr>
                <w:noProof/>
                <w:color w:val="000000"/>
                <w:sz w:val="18"/>
                <w:szCs w:val="18"/>
              </w:rPr>
              <w:t>1 101,10</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Италия</w:t>
            </w:r>
          </w:p>
        </w:tc>
        <w:tc>
          <w:tcPr>
            <w:tcW w:w="817" w:type="pct"/>
          </w:tcPr>
          <w:p>
            <w:pPr>
              <w:spacing w:before="60" w:after="60"/>
              <w:jc w:val="right"/>
              <w:rPr>
                <w:noProof/>
                <w:color w:val="000000"/>
                <w:sz w:val="18"/>
                <w:szCs w:val="18"/>
              </w:rPr>
            </w:pPr>
            <w:r>
              <w:rPr>
                <w:noProof/>
                <w:color w:val="000000"/>
                <w:sz w:val="18"/>
                <w:szCs w:val="18"/>
              </w:rPr>
              <w:t>3 409,98</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Малта</w:t>
            </w:r>
          </w:p>
        </w:tc>
        <w:tc>
          <w:tcPr>
            <w:tcW w:w="817" w:type="pct"/>
          </w:tcPr>
          <w:p>
            <w:pPr>
              <w:spacing w:before="60" w:after="60"/>
              <w:jc w:val="right"/>
              <w:rPr>
                <w:noProof/>
                <w:color w:val="000000"/>
                <w:sz w:val="18"/>
                <w:szCs w:val="18"/>
              </w:rPr>
            </w:pPr>
            <w:r>
              <w:rPr>
                <w:noProof/>
                <w:color w:val="000000"/>
                <w:sz w:val="18"/>
                <w:szCs w:val="18"/>
              </w:rPr>
              <w:t>404,55</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Съюз</w:t>
            </w:r>
          </w:p>
        </w:tc>
        <w:tc>
          <w:tcPr>
            <w:tcW w:w="817" w:type="pct"/>
          </w:tcPr>
          <w:p>
            <w:pPr>
              <w:spacing w:before="60" w:after="60"/>
              <w:jc w:val="right"/>
              <w:rPr>
                <w:noProof/>
                <w:color w:val="000000"/>
                <w:sz w:val="18"/>
                <w:szCs w:val="18"/>
              </w:rPr>
            </w:pPr>
            <w:r>
              <w:rPr>
                <w:noProof/>
                <w:color w:val="000000"/>
                <w:sz w:val="18"/>
                <w:szCs w:val="18"/>
              </w:rPr>
              <w:t>6 763,35</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ОДУ</w:t>
            </w:r>
          </w:p>
        </w:tc>
        <w:tc>
          <w:tcPr>
            <w:tcW w:w="817" w:type="pct"/>
          </w:tcPr>
          <w:p>
            <w:pPr>
              <w:spacing w:before="60" w:after="60"/>
              <w:jc w:val="right"/>
              <w:rPr>
                <w:noProof/>
                <w:color w:val="000000"/>
                <w:sz w:val="18"/>
                <w:szCs w:val="18"/>
              </w:rPr>
            </w:pPr>
            <w:r>
              <w:rPr>
                <w:noProof/>
                <w:color w:val="000000"/>
                <w:sz w:val="18"/>
                <w:szCs w:val="18"/>
              </w:rPr>
              <w:t>9 583,07“</w:t>
            </w:r>
          </w:p>
        </w:tc>
        <w:tc>
          <w:tcPr>
            <w:tcW w:w="673" w:type="pct"/>
            <w:gridSpan w:val="2"/>
            <w:tcBorders>
              <w:right w:val="nil"/>
            </w:tcBorders>
          </w:tcPr>
          <w:p>
            <w:pPr>
              <w:spacing w:before="60" w:after="60"/>
              <w:rPr>
                <w:noProof/>
                <w:sz w:val="18"/>
                <w:szCs w:val="18"/>
              </w:rPr>
            </w:pPr>
          </w:p>
        </w:tc>
        <w:tc>
          <w:tcPr>
            <w:tcW w:w="2575" w:type="pct"/>
            <w:gridSpan w:val="2"/>
            <w:vMerge/>
          </w:tcPr>
          <w:p>
            <w:pPr>
              <w:spacing w:before="60" w:after="60"/>
              <w:rPr>
                <w:noProof/>
                <w:sz w:val="18"/>
                <w:szCs w:val="18"/>
              </w:rPr>
            </w:pPr>
          </w:p>
        </w:tc>
      </w:tr>
      <w:tr>
        <w:trPr>
          <w:trHeight w:val="227"/>
        </w:trPr>
        <w:tc>
          <w:tcPr>
            <w:tcW w:w="935" w:type="pct"/>
            <w:tcBorders>
              <w:bottom w:val="single" w:sz="4" w:space="0" w:color="auto"/>
            </w:tcBorders>
          </w:tcPr>
          <w:p>
            <w:pPr>
              <w:spacing w:before="60" w:after="60"/>
              <w:jc w:val="right"/>
              <w:rPr>
                <w:noProof/>
                <w:sz w:val="18"/>
                <w:szCs w:val="18"/>
              </w:rPr>
            </w:pPr>
            <w:r>
              <w:rPr>
                <w:b/>
                <w:bCs/>
                <w:noProof/>
                <w:sz w:val="18"/>
                <w:szCs w:val="18"/>
                <w:vertAlign w:val="superscript"/>
              </w:rPr>
              <w:t>(1)</w:t>
            </w:r>
          </w:p>
        </w:tc>
        <w:tc>
          <w:tcPr>
            <w:tcW w:w="4065" w:type="pct"/>
            <w:gridSpan w:val="5"/>
            <w:tcBorders>
              <w:bottom w:val="single" w:sz="4" w:space="0" w:color="auto"/>
            </w:tcBorders>
          </w:tcPr>
          <w:p>
            <w:pPr>
              <w:spacing w:before="60" w:after="60"/>
              <w:rPr>
                <w:noProof/>
                <w:sz w:val="18"/>
                <w:szCs w:val="18"/>
              </w:rPr>
            </w:pPr>
            <w:r>
              <w:rPr>
                <w:noProof/>
                <w:sz w:val="18"/>
                <w:szCs w:val="18"/>
              </w:rPr>
              <w:t>Риболов по тази квота може да се извършва само от 1 април до 31 декември.</w:t>
            </w:r>
          </w:p>
        </w:tc>
      </w:tr>
      <w:tr>
        <w:trPr>
          <w:trHeight w:val="227"/>
        </w:trPr>
        <w:tc>
          <w:tcPr>
            <w:tcW w:w="5000" w:type="pct"/>
            <w:gridSpan w:val="6"/>
            <w:tcBorders>
              <w:top w:val="single" w:sz="4" w:space="0" w:color="auto"/>
            </w:tcBorders>
          </w:tcPr>
          <w:p>
            <w:pPr>
              <w:spacing w:before="60" w:after="60"/>
              <w:jc w:val="left"/>
              <w:rPr>
                <w:noProof/>
              </w:rPr>
            </w:pPr>
            <w:r>
              <w:rPr>
                <w:noProof/>
              </w:rPr>
              <w:t>;</w:t>
            </w:r>
          </w:p>
        </w:tc>
      </w:tr>
    </w:tbl>
    <w:p>
      <w:pPr>
        <w:pStyle w:val="Point0"/>
        <w:rPr>
          <w:noProof/>
        </w:rPr>
      </w:pPr>
      <w:r>
        <w:rPr>
          <w:noProof/>
        </w:rPr>
        <w:t>3)</w:t>
      </w:r>
      <w:r>
        <w:rPr>
          <w:noProof/>
        </w:rPr>
        <w:tab/>
        <w:t>в приложение IЗ таблицата относно възможностите за риболов на чилийски сафид в зоната на Конвенцията SPRFMO се заменя със следното:</w:t>
      </w:r>
    </w:p>
    <w:tbl>
      <w:tblPr>
        <w:tblW w:w="9639" w:type="dxa"/>
        <w:tblInd w:w="108" w:type="dxa"/>
        <w:tblLook w:val="04A0" w:firstRow="1" w:lastRow="0" w:firstColumn="1" w:lastColumn="0" w:noHBand="0" w:noVBand="1"/>
      </w:tblPr>
      <w:tblGrid>
        <w:gridCol w:w="851"/>
        <w:gridCol w:w="992"/>
        <w:gridCol w:w="1701"/>
        <w:gridCol w:w="851"/>
        <w:gridCol w:w="850"/>
        <w:gridCol w:w="4394"/>
      </w:tblGrid>
      <w:tr>
        <w:trPr>
          <w:trHeight w:val="20"/>
        </w:trPr>
        <w:tc>
          <w:tcPr>
            <w:tcW w:w="851"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„Вид:</w:t>
            </w:r>
          </w:p>
        </w:tc>
        <w:tc>
          <w:tcPr>
            <w:tcW w:w="3544" w:type="dxa"/>
            <w:gridSpan w:val="3"/>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Чилийски сафрид</w:t>
            </w:r>
          </w:p>
          <w:p>
            <w:pPr>
              <w:keepNext/>
              <w:tabs>
                <w:tab w:val="left" w:pos="850"/>
              </w:tabs>
              <w:spacing w:before="60" w:after="60"/>
              <w:outlineLvl w:val="0"/>
              <w:rPr>
                <w:noProof/>
                <w:sz w:val="18"/>
                <w:szCs w:val="16"/>
              </w:rPr>
            </w:pPr>
            <w:r>
              <w:rPr>
                <w:i/>
                <w:iCs/>
                <w:noProof/>
                <w:sz w:val="18"/>
                <w:szCs w:val="16"/>
              </w:rPr>
              <w:t>Trachurus murphyi</w:t>
            </w:r>
          </w:p>
        </w:tc>
        <w:tc>
          <w:tcPr>
            <w:tcW w:w="850" w:type="dxa"/>
            <w:tcBorders>
              <w:top w:val="single" w:sz="8" w:space="0" w:color="auto"/>
              <w:left w:val="single" w:sz="8" w:space="0" w:color="auto"/>
              <w:bottom w:val="single" w:sz="8" w:space="0" w:color="auto"/>
              <w:right w:val="nil"/>
            </w:tcBorders>
            <w:noWrap/>
            <w:hideMark/>
          </w:tcPr>
          <w:p>
            <w:pPr>
              <w:spacing w:before="60" w:after="60"/>
              <w:rPr>
                <w:noProof/>
                <w:sz w:val="18"/>
                <w:szCs w:val="16"/>
              </w:rPr>
            </w:pPr>
            <w:r>
              <w:rPr>
                <w:noProof/>
                <w:sz w:val="18"/>
                <w:szCs w:val="16"/>
              </w:rPr>
              <w:t>Зона:</w:t>
            </w:r>
          </w:p>
        </w:tc>
        <w:tc>
          <w:tcPr>
            <w:tcW w:w="4394"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Зона на Конвенцията SPRFMO</w:t>
            </w:r>
          </w:p>
          <w:p>
            <w:pPr>
              <w:spacing w:before="60" w:after="60"/>
              <w:rPr>
                <w:noProof/>
                <w:sz w:val="18"/>
                <w:szCs w:val="16"/>
              </w:rPr>
            </w:pPr>
            <w:r>
              <w:rPr>
                <w:noProof/>
                <w:sz w:val="18"/>
                <w:szCs w:val="16"/>
              </w:rPr>
              <w:t>(CJM/SPRFMO)</w:t>
            </w:r>
          </w:p>
        </w:tc>
      </w:tr>
      <w:tr>
        <w:trPr>
          <w:trHeight w:val="20"/>
        </w:trPr>
        <w:tc>
          <w:tcPr>
            <w:tcW w:w="1843" w:type="dxa"/>
            <w:gridSpan w:val="2"/>
            <w:tcBorders>
              <w:top w:val="single" w:sz="8" w:space="0" w:color="auto"/>
            </w:tcBorders>
            <w:noWrap/>
            <w:hideMark/>
          </w:tcPr>
          <w:p>
            <w:pPr>
              <w:spacing w:before="60" w:after="60"/>
              <w:rPr>
                <w:noProof/>
                <w:sz w:val="18"/>
                <w:szCs w:val="16"/>
              </w:rPr>
            </w:pPr>
            <w:r>
              <w:rPr>
                <w:noProof/>
                <w:sz w:val="18"/>
                <w:szCs w:val="16"/>
              </w:rPr>
              <w:t>Германия</w:t>
            </w:r>
          </w:p>
        </w:tc>
        <w:tc>
          <w:tcPr>
            <w:tcW w:w="1701" w:type="dxa"/>
            <w:tcBorders>
              <w:top w:val="single" w:sz="8" w:space="0" w:color="auto"/>
            </w:tcBorders>
            <w:noWrap/>
            <w:hideMark/>
          </w:tcPr>
          <w:p>
            <w:pPr>
              <w:spacing w:before="60" w:after="60"/>
              <w:jc w:val="right"/>
              <w:rPr>
                <w:noProof/>
                <w:sz w:val="18"/>
                <w:szCs w:val="16"/>
              </w:rPr>
            </w:pPr>
            <w:r>
              <w:rPr>
                <w:noProof/>
                <w:sz w:val="18"/>
                <w:szCs w:val="16"/>
              </w:rPr>
              <w:t>10 446,80</w:t>
            </w:r>
          </w:p>
        </w:tc>
        <w:tc>
          <w:tcPr>
            <w:tcW w:w="851" w:type="dxa"/>
            <w:tcBorders>
              <w:top w:val="single" w:sz="8" w:space="0" w:color="auto"/>
            </w:tcBorders>
          </w:tcPr>
          <w:p>
            <w:pPr>
              <w:spacing w:before="60" w:after="60"/>
              <w:rPr>
                <w:noProof/>
                <w:sz w:val="18"/>
                <w:szCs w:val="16"/>
                <w:vertAlign w:val="superscript"/>
              </w:rPr>
            </w:pPr>
          </w:p>
        </w:tc>
        <w:tc>
          <w:tcPr>
            <w:tcW w:w="5244" w:type="dxa"/>
            <w:gridSpan w:val="2"/>
            <w:vMerge w:val="restart"/>
            <w:tcBorders>
              <w:top w:val="single" w:sz="8" w:space="0" w:color="auto"/>
            </w:tcBorders>
            <w:noWrap/>
            <w:hideMark/>
          </w:tcPr>
          <w:p>
            <w:pPr>
              <w:spacing w:before="60" w:after="60"/>
              <w:rPr>
                <w:noProof/>
                <w:sz w:val="18"/>
                <w:szCs w:val="16"/>
              </w:rPr>
            </w:pPr>
            <w:r>
              <w:rPr>
                <w:noProof/>
                <w:sz w:val="18"/>
                <w:szCs w:val="16"/>
              </w:rPr>
              <w:t>Аналитичен ОДУ</w:t>
            </w:r>
          </w:p>
          <w:p>
            <w:pPr>
              <w:spacing w:before="60" w:after="60"/>
              <w:rPr>
                <w:noProof/>
                <w:sz w:val="18"/>
                <w:szCs w:val="16"/>
              </w:rPr>
            </w:pPr>
            <w:r>
              <w:rPr>
                <w:noProof/>
                <w:sz w:val="18"/>
                <w:szCs w:val="16"/>
              </w:rPr>
              <w:t>Член 3 от Регламент (ЕО) № 847/96 не се прилага.</w:t>
            </w:r>
          </w:p>
          <w:p>
            <w:pPr>
              <w:spacing w:before="60" w:after="60"/>
              <w:rPr>
                <w:noProof/>
                <w:sz w:val="18"/>
                <w:szCs w:val="16"/>
              </w:rPr>
            </w:pPr>
            <w:r>
              <w:rPr>
                <w:noProof/>
                <w:sz w:val="18"/>
                <w:szCs w:val="16"/>
              </w:rPr>
              <w:t>Член 4 от Регламент (ЕО) № 847/96 не се прилага.</w:t>
            </w:r>
          </w:p>
        </w:tc>
      </w:tr>
      <w:tr>
        <w:trPr>
          <w:trHeight w:val="20"/>
        </w:trPr>
        <w:tc>
          <w:tcPr>
            <w:tcW w:w="1843" w:type="dxa"/>
            <w:gridSpan w:val="2"/>
            <w:noWrap/>
            <w:hideMark/>
          </w:tcPr>
          <w:p>
            <w:pPr>
              <w:spacing w:before="60" w:after="60"/>
              <w:rPr>
                <w:noProof/>
                <w:sz w:val="18"/>
                <w:szCs w:val="16"/>
              </w:rPr>
            </w:pPr>
            <w:r>
              <w:rPr>
                <w:noProof/>
                <w:sz w:val="18"/>
                <w:szCs w:val="16"/>
              </w:rPr>
              <w:t>Нидерландия</w:t>
            </w:r>
          </w:p>
        </w:tc>
        <w:tc>
          <w:tcPr>
            <w:tcW w:w="1701" w:type="dxa"/>
            <w:noWrap/>
          </w:tcPr>
          <w:p>
            <w:pPr>
              <w:spacing w:before="60" w:after="60"/>
              <w:jc w:val="right"/>
              <w:rPr>
                <w:noProof/>
                <w:sz w:val="18"/>
                <w:szCs w:val="16"/>
              </w:rPr>
            </w:pPr>
            <w:r>
              <w:rPr>
                <w:noProof/>
                <w:sz w:val="18"/>
                <w:szCs w:val="18"/>
              </w:rPr>
              <w:t>11 323,26</w:t>
            </w:r>
          </w:p>
        </w:tc>
        <w:tc>
          <w:tcPr>
            <w:tcW w:w="851" w:type="dxa"/>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0"/>
        </w:trPr>
        <w:tc>
          <w:tcPr>
            <w:tcW w:w="1843" w:type="dxa"/>
            <w:gridSpan w:val="2"/>
            <w:noWrap/>
            <w:hideMark/>
          </w:tcPr>
          <w:p>
            <w:pPr>
              <w:spacing w:before="60" w:after="60"/>
              <w:rPr>
                <w:noProof/>
                <w:sz w:val="18"/>
                <w:szCs w:val="16"/>
              </w:rPr>
            </w:pPr>
            <w:r>
              <w:rPr>
                <w:noProof/>
                <w:sz w:val="18"/>
                <w:szCs w:val="16"/>
              </w:rPr>
              <w:t>Литва</w:t>
            </w:r>
          </w:p>
        </w:tc>
        <w:tc>
          <w:tcPr>
            <w:tcW w:w="1701" w:type="dxa"/>
            <w:noWrap/>
          </w:tcPr>
          <w:p>
            <w:pPr>
              <w:spacing w:before="60" w:after="60"/>
              <w:jc w:val="right"/>
              <w:rPr>
                <w:noProof/>
                <w:sz w:val="18"/>
                <w:szCs w:val="16"/>
              </w:rPr>
            </w:pPr>
            <w:r>
              <w:rPr>
                <w:noProof/>
                <w:sz w:val="18"/>
                <w:szCs w:val="16"/>
              </w:rPr>
              <w:t>7 269,16</w:t>
            </w:r>
          </w:p>
        </w:tc>
        <w:tc>
          <w:tcPr>
            <w:tcW w:w="851" w:type="dxa"/>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0"/>
        </w:trPr>
        <w:tc>
          <w:tcPr>
            <w:tcW w:w="1843" w:type="dxa"/>
            <w:gridSpan w:val="2"/>
            <w:noWrap/>
            <w:hideMark/>
          </w:tcPr>
          <w:p>
            <w:pPr>
              <w:spacing w:before="60" w:after="60"/>
              <w:rPr>
                <w:noProof/>
                <w:sz w:val="18"/>
                <w:szCs w:val="16"/>
              </w:rPr>
            </w:pPr>
            <w:r>
              <w:rPr>
                <w:noProof/>
                <w:sz w:val="18"/>
                <w:szCs w:val="16"/>
              </w:rPr>
              <w:t>Полша</w:t>
            </w:r>
          </w:p>
        </w:tc>
        <w:tc>
          <w:tcPr>
            <w:tcW w:w="1701" w:type="dxa"/>
            <w:noWrap/>
          </w:tcPr>
          <w:p>
            <w:pPr>
              <w:spacing w:before="60" w:after="60"/>
              <w:jc w:val="right"/>
              <w:rPr>
                <w:noProof/>
                <w:sz w:val="18"/>
                <w:szCs w:val="16"/>
              </w:rPr>
            </w:pPr>
            <w:r>
              <w:rPr>
                <w:noProof/>
                <w:sz w:val="18"/>
                <w:szCs w:val="18"/>
              </w:rPr>
              <w:t>12 498,78</w:t>
            </w:r>
          </w:p>
        </w:tc>
        <w:tc>
          <w:tcPr>
            <w:tcW w:w="851" w:type="dxa"/>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0"/>
        </w:trPr>
        <w:tc>
          <w:tcPr>
            <w:tcW w:w="1843" w:type="dxa"/>
            <w:gridSpan w:val="2"/>
            <w:noWrap/>
            <w:hideMark/>
          </w:tcPr>
          <w:p>
            <w:pPr>
              <w:spacing w:before="60" w:after="60"/>
              <w:rPr>
                <w:noProof/>
                <w:sz w:val="18"/>
                <w:szCs w:val="16"/>
              </w:rPr>
            </w:pPr>
            <w:r>
              <w:rPr>
                <w:noProof/>
                <w:sz w:val="18"/>
                <w:szCs w:val="16"/>
              </w:rPr>
              <w:t>Съюз</w:t>
            </w:r>
          </w:p>
        </w:tc>
        <w:tc>
          <w:tcPr>
            <w:tcW w:w="1701" w:type="dxa"/>
            <w:noWrap/>
          </w:tcPr>
          <w:p>
            <w:pPr>
              <w:spacing w:before="60" w:after="60"/>
              <w:jc w:val="right"/>
              <w:rPr>
                <w:noProof/>
                <w:sz w:val="18"/>
                <w:szCs w:val="16"/>
              </w:rPr>
            </w:pPr>
            <w:r>
              <w:rPr>
                <w:noProof/>
                <w:sz w:val="18"/>
                <w:szCs w:val="16"/>
              </w:rPr>
              <w:t>41 538</w:t>
            </w:r>
          </w:p>
        </w:tc>
        <w:tc>
          <w:tcPr>
            <w:tcW w:w="851" w:type="dxa"/>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0"/>
        </w:trPr>
        <w:tc>
          <w:tcPr>
            <w:tcW w:w="1843" w:type="dxa"/>
            <w:gridSpan w:val="2"/>
            <w:noWrap/>
            <w:hideMark/>
          </w:tcPr>
          <w:p>
            <w:pPr>
              <w:spacing w:before="60" w:after="60"/>
              <w:rPr>
                <w:noProof/>
                <w:sz w:val="18"/>
                <w:szCs w:val="16"/>
              </w:rPr>
            </w:pPr>
            <w:r>
              <w:rPr>
                <w:noProof/>
                <w:sz w:val="18"/>
                <w:szCs w:val="16"/>
              </w:rPr>
              <w:t>ОДУ</w:t>
            </w:r>
          </w:p>
        </w:tc>
        <w:tc>
          <w:tcPr>
            <w:tcW w:w="1701" w:type="dxa"/>
            <w:noWrap/>
            <w:hideMark/>
          </w:tcPr>
          <w:p>
            <w:pPr>
              <w:spacing w:before="60" w:after="60"/>
              <w:jc w:val="right"/>
              <w:rPr>
                <w:noProof/>
                <w:sz w:val="18"/>
                <w:szCs w:val="16"/>
              </w:rPr>
            </w:pPr>
            <w:r>
              <w:rPr>
                <w:noProof/>
                <w:sz w:val="18"/>
                <w:szCs w:val="16"/>
              </w:rPr>
              <w:t>Не се прилага“</w:t>
            </w:r>
          </w:p>
        </w:tc>
        <w:tc>
          <w:tcPr>
            <w:tcW w:w="851" w:type="dxa"/>
          </w:tcPr>
          <w:p>
            <w:pPr>
              <w:spacing w:before="60" w:after="60"/>
              <w:rPr>
                <w:noProof/>
                <w:sz w:val="18"/>
                <w:szCs w:val="16"/>
              </w:rPr>
            </w:pPr>
          </w:p>
        </w:tc>
        <w:tc>
          <w:tcPr>
            <w:tcW w:w="5244" w:type="dxa"/>
            <w:gridSpan w:val="2"/>
            <w:vMerge/>
          </w:tcPr>
          <w:p>
            <w:pPr>
              <w:spacing w:before="60" w:after="60"/>
              <w:rPr>
                <w:noProof/>
                <w:sz w:val="18"/>
                <w:szCs w:val="16"/>
              </w:rPr>
            </w:pPr>
          </w:p>
        </w:tc>
      </w:tr>
      <w:tr>
        <w:trPr>
          <w:trHeight w:val="20"/>
        </w:trPr>
        <w:tc>
          <w:tcPr>
            <w:tcW w:w="851" w:type="dxa"/>
            <w:tcBorders>
              <w:top w:val="nil"/>
              <w:left w:val="nil"/>
              <w:bottom w:val="single" w:sz="8" w:space="0" w:color="auto"/>
              <w:right w:val="nil"/>
            </w:tcBorders>
            <w:noWrap/>
          </w:tcPr>
          <w:p>
            <w:pPr>
              <w:spacing w:before="60" w:after="60"/>
              <w:rPr>
                <w:noProof/>
                <w:sz w:val="18"/>
                <w:szCs w:val="16"/>
                <w:vertAlign w:val="superscript"/>
              </w:rPr>
            </w:pPr>
          </w:p>
        </w:tc>
        <w:tc>
          <w:tcPr>
            <w:tcW w:w="8788" w:type="dxa"/>
            <w:gridSpan w:val="5"/>
            <w:tcBorders>
              <w:top w:val="nil"/>
              <w:left w:val="nil"/>
              <w:bottom w:val="single" w:sz="8" w:space="0" w:color="auto"/>
              <w:right w:val="nil"/>
            </w:tcBorders>
            <w:noWrap/>
          </w:tcPr>
          <w:p>
            <w:pPr>
              <w:spacing w:before="60" w:after="60"/>
              <w:rPr>
                <w:noProof/>
                <w:sz w:val="18"/>
                <w:szCs w:val="16"/>
              </w:rPr>
            </w:pPr>
          </w:p>
        </w:tc>
      </w:tr>
    </w:tbl>
    <w:p>
      <w:pPr>
        <w:rPr>
          <w:noProof/>
        </w:rPr>
      </w:pPr>
      <w:r>
        <w:rPr>
          <w:noProof/>
        </w:rPr>
        <w:t>;</w:t>
      </w:r>
    </w:p>
    <w:p>
      <w:pPr>
        <w:pStyle w:val="Point0"/>
        <w:rPr>
          <w:noProof/>
        </w:rPr>
      </w:pPr>
      <w:r>
        <w:rPr>
          <w:noProof/>
        </w:rPr>
        <w:t>4)</w:t>
      </w:r>
      <w:r>
        <w:rPr>
          <w:noProof/>
        </w:rPr>
        <w:tab/>
        <w:t>в приложение V, част Б бележка под линия 1 под таблицата „Максимален брой разрешения за риболов за корабите на трети държави, извършващи риболов във водите на Съюза“ се заменя със следното:</w:t>
      </w:r>
    </w:p>
    <w:p>
      <w:pPr>
        <w:ind w:left="720"/>
        <w:rPr>
          <w:noProof/>
        </w:rPr>
      </w:pPr>
      <w:r>
        <w:rPr>
          <w:noProof/>
        </w:rPr>
        <w:t xml:space="preserve"> „(</w:t>
      </w:r>
      <w:r>
        <w:rPr>
          <w:noProof/>
          <w:vertAlign w:val="superscript"/>
        </w:rPr>
        <w:t>1</w:t>
      </w:r>
      <w:r>
        <w:rPr>
          <w:noProof/>
        </w:rPr>
        <w:t>) За да се издадат тези разрешения за риболов, се представя доказателство за валиден договор между собственика на кораба, подал заявление за разрешението за риболов, и преработвателно предприятие, разположено в департамента Френска Гвиана, както и доказателство, че договорът включва задължението съответният кораб да разтоварва най-малко 75 % от всеки улов на снапери на територията на този департамент, така че да могат да се преработят в съоръженията на предприятието. Този договор трябва да бъде заверен от френските органи, които гарантират, че той съответства както на действителния капацитет на преработвателното предприятие по договора, така и на целите за развитие на икономиката на Френска Гвиана. Копие от надлежно заверения договор се прилага към заявлението за разрешение за риболов. В случай че тази заверка бъде отказана, френските органи уведомяват за това засегнатото лице и Комисията и излагат мотивите си за отказа. Риболовен кораб, плаващ под знамето на Венесуела и получил разрешение да извършва риболовни дейности през 2020 г., може да продължи да извършва риболов до 1 април 2021 г., докато изчаква разрешението му за риболов да бъде подновено и при условие че:</w:t>
      </w:r>
    </w:p>
    <w:p>
      <w:pPr>
        <w:ind w:firstLine="720"/>
        <w:rPr>
          <w:noProof/>
        </w:rPr>
      </w:pPr>
      <w:r>
        <w:rPr>
          <w:noProof/>
        </w:rPr>
        <w:t>– операторът на кораба е подписал нов договор за доставка за 2021 г.,</w:t>
      </w:r>
    </w:p>
    <w:p>
      <w:pPr>
        <w:ind w:firstLine="720"/>
        <w:rPr>
          <w:noProof/>
        </w:rPr>
      </w:pPr>
      <w:r>
        <w:rPr>
          <w:noProof/>
        </w:rPr>
        <w:t>– процедурите за подновяване на разрешението за този кораб са в ход,</w:t>
      </w:r>
    </w:p>
    <w:p>
      <w:pPr>
        <w:ind w:left="720"/>
        <w:rPr>
          <w:noProof/>
        </w:rPr>
      </w:pPr>
      <w:r>
        <w:rPr>
          <w:noProof/>
        </w:rPr>
        <w:t>– през 2020 г. операторът на кораба е изпълнил своите задължения за докладване и договорни задължения за разтоварване.</w:t>
      </w:r>
    </w:p>
    <w:p>
      <w:pPr>
        <w:ind w:left="720"/>
        <w:rPr>
          <w:noProof/>
        </w:rPr>
      </w:pPr>
      <w:r>
        <w:rPr>
          <w:noProof/>
        </w:rPr>
        <w:t>Удълженият срок изтича на датата на влизане в сила на решението на Комисията за издаване на разрешение за риболов за този кораб за 2021 г. или след получаване на уведомление от Комисията, че разрешението е отказано.“</w:t>
      </w: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 xml:space="preserve">ПРИЛОЖЕНИЕ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A8F5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6E0E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3882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C84E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1A87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4A51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3A2CA0"/>
    <w:lvl w:ilvl="0">
      <w:start w:val="1"/>
      <w:numFmt w:val="decimal"/>
      <w:pStyle w:val="ListNumber"/>
      <w:lvlText w:val="%1."/>
      <w:lvlJc w:val="left"/>
      <w:pPr>
        <w:tabs>
          <w:tab w:val="num" w:pos="360"/>
        </w:tabs>
        <w:ind w:left="360" w:hanging="360"/>
      </w:pPr>
    </w:lvl>
  </w:abstractNum>
  <w:abstractNum w:abstractNumId="7">
    <w:nsid w:val="FFFFFF89"/>
    <w:multiLevelType w:val="singleLevel"/>
    <w:tmpl w:val="67E886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6 15:40: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51702AC1-6811-47DA-A86A-0BB62E31341D"/>
    <w:docVar w:name="LW_COVERPAGE_TYPE" w:val="1"/>
    <w:docVar w:name="LW_CROSSREFERENCE" w:val="&lt;UNUSED&gt;"/>
    <w:docVar w:name="LW_DocType" w:val="ANNEX"/>
    <w:docVar w:name="LW_EMISSION" w:val="20.5.2020"/>
    <w:docVar w:name="LW_EMISSION_ISODATE" w:val="2020-05-20"/>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79?\u1072? \u1080?\u1079?\u1084?\u1077?\u1085?\u1077?\u1085?\u1080?\u1077? \u1085?\u1072? \u1056?\u1077?\u1075?\u1083?\u1072?\u1084?\u1077?\u1085?\u1090? (\u1045?\u1057?) 2019/1838 \u1087?\u1086? \u1086?\u1090?\u1085?\u1086?\u1096?\u1077?\u1085?\u1080?\u1077? \u1085?\u1072? \u1086?\u1087?\u1088?\u1077?\u1076?\u1077?\u1083?\u1077?\u1085?\u1080? \u1074?\u1098?\u1079?\u1084?\u1086?\u1078?\u1085?\u1086?\u1089?\u1090?\u1080? \u1079?\u1072? \u1088?\u1080?\u1073?\u1086?\u1083?\u1086?\u1074? \u1079?\u1072? 2020 \u1075?. \u1074? \u1041?\u1072?\u1083?\u1090?\u1080?\u1081?\u1089?\u1082?\u1086? \u1084?\u1086?\u1088?\u1077? \u1080? \u1079?\u1072? \u1080?\u1079?\u1084?\u1077?\u1085?\u1077?\u1085?\u1080?\u1077? \u1085?\u1072? \u1056?\u1077?\u1075?\u1083?\u1072?\u1084?\u1077?\u1085?\u1090? (\u1045?\u1057?) 2020/123 \u1087?\u1086? \u1086?\u1090?\u1085?\u1086?\u1096?\u1077?\u1085?\u1080?\u1077? \u1085?\u1072? \u1086?\u1087?\u1088?\u1077?\u1076?\u1077?\u1083?\u1077?\u1085?\u1080? \u1074?\u1098?\u1079?\u1084?\u1086?\u1078?\u1085?\u1086?\u1089?\u1090?\u1080? \u1079?\u1072? \u1088?\u1080?\u1073?\u1086?\u1083?\u1086?\u1074? \u1079?\u1072? 2020 \u1075?. \u1074?\u1098?\u1074? \u1074?\u1086?\u1076?\u1080? \u1085?\u1072? \u1057?\u1098?\u1102?\u1079?\u1072? \u1080? \u1080?\u1079?\u1074?\u1098?\u1085? \u1074?\u1086?\u1076?\u1080?\u1090?\u1077? \u1085?\u1072? \u1057?\u1098?\u1102?\u1079?\u1072?&lt;/FMT&gt;"/>
    <w:docVar w:name="LW_OBJETACTEPRINCIPAL.CP" w:val="&lt;FMT:Bold&gt;\u1079?\u1072? \u1080?\u1079?\u1084?\u1077?\u1085?\u1077?\u1085?\u1080?\u1077? \u1085?\u1072? \u1056?\u1077?\u1075?\u1083?\u1072?\u1084?\u1077?\u1085?\u1090? (\u1045?\u1057?) 2019/1838 \u1087?\u1086? \u1086?\u1090?\u1085?\u1086?\u1096?\u1077?\u1085?\u1080?\u1077? \u1085?\u1072? \u1086?\u1087?\u1088?\u1077?\u1076?\u1077?\u1083?\u1077?\u1085?\u1080? \u1074?\u1098?\u1079?\u1084?\u1086?\u1078?\u1085?\u1086?\u1089?\u1090?\u1080? \u1079?\u1072? \u1088?\u1080?\u1073?\u1086?\u1083?\u1086?\u1074? \u1079?\u1072? 2020 \u1075?. \u1074? \u1041?\u1072?\u1083?\u1090?\u1080?\u1081?\u1089?\u1082?\u1086? \u1084?\u1086?\u1088?\u1077? \u1080? \u1079?\u1072? \u1080?\u1079?\u1084?\u1077?\u1085?\u1077?\u1085?\u1080?\u1077? \u1085?\u1072? \u1056?\u1077?\u1075?\u1083?\u1072?\u1084?\u1077?\u1085?\u1090? (\u1045?\u1057?) 2020/123 \u1087?\u1086? \u1086?\u1090?\u1085?\u1086?\u1096?\u1077?\u1085?\u1080?\u1077? \u1085?\u1072? \u1086?\u1087?\u1088?\u1077?\u1076?\u1077?\u1083?\u1077?\u1085?\u1080? \u1074?\u1098?\u1079?\u1084?\u1086?\u1078?\u1085?\u1086?\u1089?\u1090?\u1080? \u1079?\u1072? \u1088?\u1080?\u1073?\u1086?\u1083?\u1086?\u1074? \u1079?\u1072? 2020 \u1075?. \u1074?\u1098?\u1074? \u1074?\u1086?\u1076?\u1080? \u1085?\u1072? \u1057?\u1098?\u1102?\u1079?\u1072? \u1080? \u1080?\u1079?\u1074?\u1098?\u1085? \u1074?\u1086?\u1076?\u1080?\u1090?\u1077? \u1085?\u1072? \u1057?\u1098?\u1102?\u1079?\u1072?&lt;/FMT&gt;"/>
    <w:docVar w:name="LW_PART_NBR" w:val="&lt;UNUSED&gt;"/>
    <w:docVar w:name="LW_PART_NBR_TOTAL" w:val="&lt;UNUSED&gt;"/>
    <w:docVar w:name="LW_REF.INST.NEW" w:val="COM"/>
    <w:docVar w:name="LW_REF.INST.NEW_ADOPTED" w:val="final"/>
    <w:docVar w:name="LW_REF.INST.NEW_TEXT" w:val="(2020)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75?\u1083?\u1072?\u1084?\u1077?\u1085?\u1090? \u1085?\u1072? \u1057?\u1098?\u1074?\u1077?\u1090?\u1072?"/>
    <w:docVar w:name="LW_TYPEACTEPRINCIPAL.CP" w:val="\u1055?\u1088?\u1077?\u1076?\u1083?\u1086?\u1078?\u1077?\u1085?\u1080?\u1077? \u1079?\u1072? \u1056?\u1077?\u1075?\u1083?\u1072?\u1084?\u1077?\u1085?\u109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04AF9A-D9EA-4047-8D02-AC604979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1597</Words>
  <Characters>7814</Characters>
  <Application>Microsoft Office Word</Application>
  <DocSecurity>0</DocSecurity>
  <Lines>651</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Veronique (MARE)</dc:creator>
  <cp:keywords/>
  <dc:description/>
  <cp:lastModifiedBy>WES PDFC Administrator</cp:lastModifiedBy>
  <cp:revision>9</cp:revision>
  <dcterms:created xsi:type="dcterms:W3CDTF">2020-05-25T12:50:00Z</dcterms:created>
  <dcterms:modified xsi:type="dcterms:W3CDTF">2020-05-26T13:40:00Z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