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D77D063-0898-423C-97A6-50CDE872EB57" style="width:450.7pt;height:437.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rPr>
          <w:noProof/>
        </w:rPr>
      </w:pPr>
      <w:r>
        <w:rPr>
          <w:noProof/>
        </w:rPr>
        <w:t>L'annexe du règlement (UE) 2019/1838 est modifiée comme suit:</w:t>
      </w:r>
    </w:p>
    <w:p>
      <w:pPr>
        <w:ind w:left="720" w:hanging="720"/>
        <w:rPr>
          <w:noProof/>
        </w:rPr>
      </w:pPr>
      <w:r>
        <w:rPr>
          <w:noProof/>
        </w:rPr>
        <w:t>1)</w:t>
      </w:r>
      <w:r>
        <w:rPr>
          <w:noProof/>
        </w:rPr>
        <w:tab/>
        <w:t>Dans le tableau des possibilités de pêche pour le cabillaud dans les sous‑divisions CIEM 25 à 32, la note de bas de page nº 2 est remplacée par le texte suivant:</w:t>
      </w:r>
    </w:p>
    <w:p>
      <w:pPr>
        <w:ind w:left="720"/>
        <w:rPr>
          <w:noProof/>
        </w:rPr>
      </w:pPr>
      <w:r>
        <w:rPr>
          <w:noProof/>
        </w:rPr>
        <w:t>«</w:t>
      </w:r>
      <w:r>
        <w:rPr>
          <w:noProof/>
          <w:color w:val="000000"/>
          <w:sz w:val="18"/>
          <w:szCs w:val="18"/>
          <w:vertAlign w:val="superscript"/>
        </w:rPr>
        <w:t xml:space="preserve">2 </w:t>
      </w:r>
      <w:r>
        <w:rPr>
          <w:noProof/>
        </w:rPr>
        <w:t>Dans les sous-divisions 25 et 26, la pêche de ce quota est interdite du 1</w:t>
      </w:r>
      <w:r>
        <w:rPr>
          <w:noProof/>
          <w:vertAlign w:val="superscript"/>
        </w:rPr>
        <w:t>er</w:t>
      </w:r>
      <w:r>
        <w:rPr>
          <w:noProof/>
        </w:rPr>
        <w:t> mai au 31 août.</w:t>
      </w:r>
    </w:p>
    <w:p>
      <w:pPr>
        <w:ind w:left="720"/>
        <w:rPr>
          <w:noProof/>
        </w:rPr>
      </w:pPr>
      <w:r>
        <w:rPr>
          <w:noProof/>
        </w:rPr>
        <w:t>Par dérogation au premier paragraphe, les opérations de pêche menées exclusivement à des fins d’enquêtes scientifiques sont autorisées, à condition que ces enquêtes soient réalisées en totale conformité avec les conditions énoncées à l’article 25 du règlement (UE) 2019/1241.</w:t>
      </w:r>
    </w:p>
    <w:p>
      <w:pPr>
        <w:ind w:left="720"/>
        <w:rPr>
          <w:noProof/>
        </w:rPr>
      </w:pPr>
      <w:r>
        <w:rPr>
          <w:noProof/>
        </w:rPr>
        <w:t xml:space="preserve">Par dérogation au premier paragraphe, cette période de fermeture ne s’applique pas aux navires de pêche de l’Union d’une longueur hors tout inférieure à 12 mètres pratiquant la pêche à l’aide de filets maillants, de filets emmêlants ou de trémails, ou au moyen de palangres de fond, de lignes de fond, de lignes à main et d’équipements de pêche à la dandinette ou d’autres engins passifs similaires dans les zones où la profondeur des eaux est inférieure à 20 mètres selon les coordonnées figurant sur la carte marine officielle établie par les autorités nationales compétentes. Les capitaines de ces navires de pêche veillent à ce que leur activité de pêche puisse être contrôlée à tout moment par les autorités de contrôle de l’État membre.» </w:t>
      </w:r>
    </w:p>
    <w:p>
      <w:pPr>
        <w:ind w:left="720" w:hanging="720"/>
        <w:rPr>
          <w:noProof/>
        </w:rPr>
      </w:pPr>
      <w:r>
        <w:rPr>
          <w:noProof/>
        </w:rPr>
        <w:t>2)</w:t>
      </w:r>
      <w:r>
        <w:rPr>
          <w:noProof/>
        </w:rPr>
        <w:tab/>
        <w:t>Dans le tableau des possibilités de pêche pour le cabillaud dans les sous‑divisions CIEM 22 à 24, la note de bas de page nº 2 est remplacée par le texte suivant:</w:t>
      </w:r>
    </w:p>
    <w:p>
      <w:pPr>
        <w:ind w:left="720"/>
        <w:rPr>
          <w:noProof/>
        </w:rPr>
      </w:pPr>
      <w:r>
        <w:rPr>
          <w:noProof/>
        </w:rPr>
        <w:t>«</w:t>
      </w:r>
      <w:r>
        <w:rPr>
          <w:noProof/>
          <w:color w:val="000000"/>
          <w:sz w:val="18"/>
          <w:szCs w:val="18"/>
          <w:vertAlign w:val="superscript"/>
        </w:rPr>
        <w:t>2</w:t>
      </w:r>
      <w:r>
        <w:rPr>
          <w:noProof/>
        </w:rPr>
        <w:t xml:space="preserve"> La pêche de ce quota est interdite du 1</w:t>
      </w:r>
      <w:r>
        <w:rPr>
          <w:noProof/>
          <w:vertAlign w:val="superscript"/>
        </w:rPr>
        <w:t>er</w:t>
      </w:r>
      <w:r>
        <w:rPr>
          <w:noProof/>
        </w:rPr>
        <w:t xml:space="preserve"> février au 31 mars dans les sous-divisions 22 et 23 et du 1</w:t>
      </w:r>
      <w:r>
        <w:rPr>
          <w:noProof/>
          <w:vertAlign w:val="superscript"/>
        </w:rPr>
        <w:t>er</w:t>
      </w:r>
      <w:r>
        <w:rPr>
          <w:noProof/>
        </w:rPr>
        <w:t xml:space="preserve"> juin au 31 juillet dans la sous-division 24. </w:t>
      </w:r>
    </w:p>
    <w:p>
      <w:pPr>
        <w:ind w:left="720"/>
        <w:rPr>
          <w:noProof/>
        </w:rPr>
      </w:pPr>
      <w:r>
        <w:rPr>
          <w:noProof/>
        </w:rPr>
        <w:t>Par dérogation au premier paragraphe, les opérations de pêche menées exclusivement à des fins d’enquêtes scientifiques sont autorisées, à condition que ces enquêtes soient réalisées en totale conformité avec les conditions énoncées à l’article 25 du règlement (UE) 2019/1241.</w:t>
      </w:r>
    </w:p>
    <w:p>
      <w:pPr>
        <w:ind w:left="720"/>
        <w:rPr>
          <w:noProof/>
        </w:rPr>
      </w:pPr>
      <w:r>
        <w:rPr>
          <w:noProof/>
        </w:rPr>
        <w:t>Par dérogation au premier paragraphe, cette période de fermeture ne s’applique pas aux navires de pêche de l’Union d’une longueur hors tout inférieure à 12 mètres pratiquant la pêche à l’aide de filets maillants, de filets emmêlants ou de trémails, ou au moyen de palangres de fond, de lignes de fond, de lignes à main et d’équipements de pêche à la dandinette ou d’autres engins passifs similaires dans les zones où la profondeur des eaux est inférieure à 20 mètres selon les coordonnées figurant sur la carte marine officielle établie par les autorités nationales compétentes. Les capitaines de ces navires de pêche veillent à ce que leur activité de pêche puisse être contrôlée à tout moment par les autorités de contrôle de l’État membre.»</w:t>
      </w:r>
    </w:p>
    <w:p>
      <w:pPr>
        <w:rPr>
          <w:b/>
          <w:noProof/>
        </w:rPr>
      </w:pPr>
    </w:p>
    <w:p>
      <w:pPr>
        <w:jc w:val="center"/>
        <w:rPr>
          <w:noProof/>
        </w:rPr>
      </w:pPr>
      <w:r>
        <w:rPr>
          <w:b/>
          <w:noProof/>
        </w:rPr>
        <w:t>ANNEXE II</w:t>
      </w:r>
    </w:p>
    <w:p>
      <w:pPr>
        <w:rPr>
          <w:noProof/>
        </w:rPr>
      </w:pPr>
      <w:r>
        <w:rPr>
          <w:noProof/>
        </w:rPr>
        <w:t>Les annexes I A, I D, I H et V du règlement (UE) 2020/123 sont modifiées comme suit:</w:t>
      </w:r>
    </w:p>
    <w:p>
      <w:pPr>
        <w:pStyle w:val="Point0number"/>
        <w:numPr>
          <w:ilvl w:val="0"/>
          <w:numId w:val="1"/>
        </w:numPr>
        <w:rPr>
          <w:noProof/>
        </w:rPr>
      </w:pPr>
      <w:r>
        <w:rPr>
          <w:noProof/>
        </w:rPr>
        <w:t>L’annexe I A est modifiée comme suit:</w:t>
      </w:r>
    </w:p>
    <w:p>
      <w:pPr>
        <w:pStyle w:val="Point1letter"/>
        <w:rPr>
          <w:noProof/>
        </w:rPr>
      </w:pPr>
      <w:r>
        <w:rPr>
          <w:noProof/>
        </w:rPr>
        <w:t>le tableau des possibilités de pêche pour la crevette nordique dans la division CIEM 3a est remplacé par le tableau suivant:</w:t>
      </w:r>
    </w:p>
    <w:tbl>
      <w:tblPr>
        <w:tblW w:w="8750" w:type="dxa"/>
        <w:tblInd w:w="108" w:type="dxa"/>
        <w:tblLook w:val="04A0" w:firstRow="1" w:lastRow="0" w:firstColumn="1" w:lastColumn="0" w:noHBand="0" w:noVBand="1"/>
      </w:tblPr>
      <w:tblGrid>
        <w:gridCol w:w="976"/>
        <w:gridCol w:w="1503"/>
        <w:gridCol w:w="1207"/>
        <w:gridCol w:w="850"/>
        <w:gridCol w:w="1036"/>
        <w:gridCol w:w="1267"/>
        <w:gridCol w:w="868"/>
        <w:gridCol w:w="1043"/>
      </w:tblGrid>
      <w:tr>
        <w:trPr>
          <w:trHeight w:val="255"/>
        </w:trPr>
        <w:tc>
          <w:tcPr>
            <w:tcW w:w="976"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szCs w:val="18"/>
              </w:rPr>
              <w:t>«Espèce:</w:t>
            </w:r>
          </w:p>
        </w:tc>
        <w:tc>
          <w:tcPr>
            <w:tcW w:w="2710" w:type="dxa"/>
            <w:gridSpan w:val="2"/>
            <w:tcBorders>
              <w:top w:val="single" w:sz="8" w:space="0" w:color="000000"/>
              <w:left w:val="nil"/>
              <w:bottom w:val="nil"/>
              <w:right w:val="nil"/>
            </w:tcBorders>
            <w:noWrap/>
            <w:hideMark/>
          </w:tcPr>
          <w:p>
            <w:pPr>
              <w:spacing w:after="0"/>
              <w:rPr>
                <w:rFonts w:eastAsia="Times New Roman"/>
                <w:noProof/>
                <w:sz w:val="18"/>
                <w:szCs w:val="18"/>
              </w:rPr>
            </w:pPr>
            <w:r>
              <w:rPr>
                <w:noProof/>
                <w:sz w:val="18"/>
                <w:szCs w:val="18"/>
              </w:rPr>
              <w:t>Crevette nordique</w:t>
            </w:r>
          </w:p>
        </w:tc>
        <w:tc>
          <w:tcPr>
            <w:tcW w:w="850"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szCs w:val="18"/>
              </w:rPr>
              <w:t xml:space="preserve"> </w:t>
            </w:r>
          </w:p>
        </w:tc>
        <w:tc>
          <w:tcPr>
            <w:tcW w:w="1036" w:type="dxa"/>
            <w:tcBorders>
              <w:top w:val="single" w:sz="8" w:space="0" w:color="000000"/>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szCs w:val="18"/>
              </w:rPr>
              <w:t>Zone:</w:t>
            </w:r>
          </w:p>
        </w:tc>
        <w:tc>
          <w:tcPr>
            <w:tcW w:w="1267"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szCs w:val="18"/>
              </w:rPr>
              <w:t>3a</w:t>
            </w:r>
          </w:p>
        </w:tc>
        <w:tc>
          <w:tcPr>
            <w:tcW w:w="868"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szCs w:val="18"/>
              </w:rPr>
              <w:t xml:space="preserve"> </w:t>
            </w:r>
          </w:p>
        </w:tc>
        <w:tc>
          <w:tcPr>
            <w:tcW w:w="1043"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szCs w:val="18"/>
              </w:rPr>
              <w:t xml:space="preserve"> </w:t>
            </w:r>
          </w:p>
        </w:tc>
      </w:tr>
      <w:tr>
        <w:trPr>
          <w:trHeight w:val="270"/>
        </w:trPr>
        <w:tc>
          <w:tcPr>
            <w:tcW w:w="976"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szCs w:val="18"/>
              </w:rPr>
              <w:t xml:space="preserve"> </w:t>
            </w:r>
          </w:p>
        </w:tc>
        <w:tc>
          <w:tcPr>
            <w:tcW w:w="1503" w:type="dxa"/>
            <w:noWrap/>
            <w:hideMark/>
          </w:tcPr>
          <w:p>
            <w:pPr>
              <w:spacing w:after="0"/>
              <w:rPr>
                <w:rFonts w:eastAsia="Times New Roman"/>
                <w:i/>
                <w:iCs/>
                <w:noProof/>
                <w:sz w:val="18"/>
                <w:szCs w:val="18"/>
              </w:rPr>
            </w:pPr>
            <w:r>
              <w:rPr>
                <w:i/>
                <w:iCs/>
                <w:noProof/>
                <w:sz w:val="18"/>
                <w:szCs w:val="18"/>
              </w:rPr>
              <w:t>Pandalus borealis</w:t>
            </w:r>
          </w:p>
        </w:tc>
        <w:tc>
          <w:tcPr>
            <w:tcW w:w="1207" w:type="dxa"/>
            <w:tcBorders>
              <w:top w:val="nil"/>
              <w:left w:val="nil"/>
              <w:bottom w:val="single" w:sz="8" w:space="0" w:color="000000"/>
              <w:right w:val="nil"/>
            </w:tcBorders>
            <w:noWrap/>
            <w:hideMark/>
          </w:tcPr>
          <w:p>
            <w:pPr>
              <w:spacing w:after="0"/>
              <w:jc w:val="right"/>
              <w:rPr>
                <w:rFonts w:eastAsia="Times New Roman"/>
                <w:i/>
                <w:iCs/>
                <w:noProof/>
                <w:color w:val="000000"/>
                <w:sz w:val="18"/>
                <w:szCs w:val="18"/>
              </w:rPr>
            </w:pPr>
            <w:r>
              <w:rPr>
                <w:i/>
                <w:iCs/>
                <w:noProof/>
                <w:color w:val="000000"/>
                <w:sz w:val="18"/>
                <w:szCs w:val="18"/>
              </w:rPr>
              <w:t xml:space="preserve"> </w:t>
            </w:r>
          </w:p>
        </w:tc>
        <w:tc>
          <w:tcPr>
            <w:tcW w:w="850" w:type="dxa"/>
            <w:tcBorders>
              <w:top w:val="nil"/>
              <w:left w:val="nil"/>
              <w:bottom w:val="single" w:sz="8" w:space="0" w:color="000000"/>
              <w:right w:val="nil"/>
            </w:tcBorders>
            <w:noWrap/>
            <w:hideMark/>
          </w:tcPr>
          <w:p>
            <w:pPr>
              <w:spacing w:after="0"/>
              <w:rPr>
                <w:rFonts w:eastAsia="Times New Roman"/>
                <w:i/>
                <w:iCs/>
                <w:noProof/>
                <w:color w:val="000000"/>
                <w:sz w:val="18"/>
                <w:szCs w:val="18"/>
              </w:rPr>
            </w:pPr>
            <w:r>
              <w:rPr>
                <w:i/>
                <w:iCs/>
                <w:noProof/>
                <w:color w:val="000000"/>
                <w:sz w:val="18"/>
                <w:szCs w:val="18"/>
              </w:rPr>
              <w:t xml:space="preserve"> </w:t>
            </w:r>
          </w:p>
        </w:tc>
        <w:tc>
          <w:tcPr>
            <w:tcW w:w="1036"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rPr>
            </w:pPr>
            <w:r>
              <w:rPr>
                <w:noProof/>
                <w:color w:val="000000"/>
                <w:sz w:val="18"/>
                <w:szCs w:val="18"/>
              </w:rPr>
              <w:t xml:space="preserve"> </w:t>
            </w:r>
          </w:p>
        </w:tc>
        <w:tc>
          <w:tcPr>
            <w:tcW w:w="1267"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szCs w:val="18"/>
              </w:rPr>
              <w:t>(PRA/03 A.)</w:t>
            </w:r>
          </w:p>
        </w:tc>
        <w:tc>
          <w:tcPr>
            <w:tcW w:w="868"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szCs w:val="18"/>
              </w:rPr>
              <w:t xml:space="preserve"> </w:t>
            </w:r>
          </w:p>
        </w:tc>
        <w:tc>
          <w:tcPr>
            <w:tcW w:w="1043"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szCs w:val="18"/>
              </w:rPr>
              <w:t xml:space="preserve"> </w:t>
            </w:r>
          </w:p>
        </w:tc>
      </w:tr>
      <w:tr>
        <w:trPr>
          <w:trHeight w:val="270"/>
        </w:trPr>
        <w:tc>
          <w:tcPr>
            <w:tcW w:w="976" w:type="dxa"/>
            <w:noWrap/>
            <w:hideMark/>
          </w:tcPr>
          <w:p>
            <w:pPr>
              <w:spacing w:after="0"/>
              <w:ind w:right="-266"/>
              <w:rPr>
                <w:rFonts w:eastAsia="Times New Roman"/>
                <w:noProof/>
                <w:color w:val="000000"/>
                <w:sz w:val="18"/>
                <w:szCs w:val="18"/>
              </w:rPr>
            </w:pPr>
            <w:r>
              <w:rPr>
                <w:noProof/>
                <w:color w:val="000000"/>
                <w:sz w:val="18"/>
                <w:szCs w:val="18"/>
              </w:rPr>
              <w:t>Danemark</w:t>
            </w:r>
          </w:p>
        </w:tc>
        <w:tc>
          <w:tcPr>
            <w:tcW w:w="1503" w:type="dxa"/>
            <w:tcBorders>
              <w:top w:val="single" w:sz="8" w:space="0" w:color="000000"/>
              <w:left w:val="nil"/>
              <w:bottom w:val="nil"/>
              <w:right w:val="nil"/>
            </w:tcBorders>
            <w:noWrap/>
            <w:hideMark/>
          </w:tcPr>
          <w:p>
            <w:pPr>
              <w:spacing w:after="0"/>
              <w:rPr>
                <w:rFonts w:eastAsia="Times New Roman"/>
                <w:noProof/>
                <w:sz w:val="18"/>
                <w:szCs w:val="18"/>
              </w:rPr>
            </w:pPr>
            <w:r>
              <w:rPr>
                <w:noProof/>
                <w:sz w:val="18"/>
                <w:szCs w:val="18"/>
              </w:rPr>
              <w:t xml:space="preserve"> </w:t>
            </w:r>
          </w:p>
        </w:tc>
        <w:tc>
          <w:tcPr>
            <w:tcW w:w="1207" w:type="dxa"/>
            <w:noWrap/>
            <w:hideMark/>
          </w:tcPr>
          <w:p>
            <w:pPr>
              <w:spacing w:after="0"/>
              <w:jc w:val="right"/>
              <w:rPr>
                <w:rFonts w:eastAsia="Times New Roman"/>
                <w:noProof/>
                <w:color w:val="000000"/>
                <w:sz w:val="18"/>
                <w:szCs w:val="18"/>
              </w:rPr>
            </w:pPr>
            <w:r>
              <w:rPr>
                <w:noProof/>
                <w:color w:val="000000"/>
                <w:sz w:val="18"/>
                <w:szCs w:val="18"/>
              </w:rPr>
              <w:t>2 123</w:t>
            </w:r>
          </w:p>
        </w:tc>
        <w:tc>
          <w:tcPr>
            <w:tcW w:w="850" w:type="dxa"/>
            <w:noWrap/>
            <w:hideMark/>
          </w:tcPr>
          <w:p>
            <w:pPr>
              <w:rPr>
                <w:rFonts w:eastAsia="Times New Roman"/>
                <w:noProof/>
                <w:color w:val="000000"/>
                <w:sz w:val="18"/>
                <w:szCs w:val="18"/>
                <w:lang w:eastAsia="en-GB"/>
              </w:rPr>
            </w:pPr>
          </w:p>
        </w:tc>
        <w:tc>
          <w:tcPr>
            <w:tcW w:w="2303"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szCs w:val="18"/>
              </w:rPr>
              <w:t>TAC analytique</w:t>
            </w:r>
          </w:p>
        </w:tc>
        <w:tc>
          <w:tcPr>
            <w:tcW w:w="868" w:type="dxa"/>
            <w:noWrap/>
            <w:hideMark/>
          </w:tcPr>
          <w:p>
            <w:pPr>
              <w:spacing w:after="0"/>
              <w:rPr>
                <w:rFonts w:eastAsia="Times New Roman"/>
                <w:noProof/>
                <w:color w:val="000000"/>
                <w:sz w:val="18"/>
                <w:szCs w:val="18"/>
              </w:rPr>
            </w:pPr>
            <w:r>
              <w:rPr>
                <w:noProof/>
                <w:color w:val="000000"/>
                <w:sz w:val="18"/>
                <w:szCs w:val="18"/>
              </w:rPr>
              <w:t xml:space="preserve"> </w:t>
            </w:r>
          </w:p>
        </w:tc>
        <w:tc>
          <w:tcPr>
            <w:tcW w:w="1043" w:type="dxa"/>
            <w:noWrap/>
            <w:hideMark/>
          </w:tcPr>
          <w:p>
            <w:pPr>
              <w:spacing w:after="0"/>
              <w:rPr>
                <w:rFonts w:eastAsia="Times New Roman"/>
                <w:noProof/>
                <w:color w:val="000000"/>
                <w:sz w:val="18"/>
                <w:szCs w:val="18"/>
              </w:rPr>
            </w:pPr>
            <w:r>
              <w:rPr>
                <w:noProof/>
                <w:color w:val="000000"/>
                <w:sz w:val="18"/>
                <w:szCs w:val="18"/>
              </w:rPr>
              <w:t xml:space="preserve"> </w:t>
            </w:r>
          </w:p>
        </w:tc>
      </w:tr>
      <w:tr>
        <w:trPr>
          <w:trHeight w:val="270"/>
        </w:trPr>
        <w:tc>
          <w:tcPr>
            <w:tcW w:w="976" w:type="dxa"/>
            <w:noWrap/>
            <w:hideMark/>
          </w:tcPr>
          <w:p>
            <w:pPr>
              <w:spacing w:after="0"/>
              <w:rPr>
                <w:rFonts w:eastAsia="Times New Roman"/>
                <w:noProof/>
                <w:color w:val="000000"/>
                <w:sz w:val="18"/>
                <w:szCs w:val="18"/>
              </w:rPr>
            </w:pPr>
            <w:r>
              <w:rPr>
                <w:noProof/>
                <w:color w:val="000000"/>
                <w:sz w:val="18"/>
                <w:szCs w:val="18"/>
              </w:rPr>
              <w:t>Suède</w:t>
            </w:r>
          </w:p>
        </w:tc>
        <w:tc>
          <w:tcPr>
            <w:tcW w:w="1503" w:type="dxa"/>
            <w:noWrap/>
            <w:hideMark/>
          </w:tcPr>
          <w:p>
            <w:pPr>
              <w:rPr>
                <w:rFonts w:eastAsia="Times New Roman"/>
                <w:noProof/>
                <w:color w:val="000000"/>
                <w:sz w:val="18"/>
                <w:szCs w:val="18"/>
                <w:lang w:eastAsia="en-GB"/>
              </w:rPr>
            </w:pPr>
          </w:p>
        </w:tc>
        <w:tc>
          <w:tcPr>
            <w:tcW w:w="1207" w:type="dxa"/>
            <w:noWrap/>
            <w:hideMark/>
          </w:tcPr>
          <w:p>
            <w:pPr>
              <w:spacing w:after="0"/>
              <w:jc w:val="right"/>
              <w:rPr>
                <w:rFonts w:eastAsia="Times New Roman"/>
                <w:noProof/>
                <w:color w:val="000000"/>
                <w:sz w:val="18"/>
                <w:szCs w:val="18"/>
              </w:rPr>
            </w:pPr>
            <w:r>
              <w:rPr>
                <w:noProof/>
                <w:color w:val="000000"/>
                <w:sz w:val="18"/>
                <w:szCs w:val="18"/>
              </w:rPr>
              <w:t xml:space="preserve"> 1 143</w:t>
            </w:r>
          </w:p>
        </w:tc>
        <w:tc>
          <w:tcPr>
            <w:tcW w:w="850" w:type="dxa"/>
            <w:noWrap/>
            <w:hideMark/>
          </w:tcPr>
          <w:p>
            <w:pPr>
              <w:rPr>
                <w:rFonts w:eastAsia="Times New Roman"/>
                <w:noProof/>
                <w:color w:val="000000"/>
                <w:sz w:val="18"/>
                <w:szCs w:val="18"/>
                <w:lang w:eastAsia="en-GB"/>
              </w:rPr>
            </w:pPr>
          </w:p>
        </w:tc>
        <w:tc>
          <w:tcPr>
            <w:tcW w:w="1036" w:type="dxa"/>
            <w:noWrap/>
            <w:hideMark/>
          </w:tcPr>
          <w:p>
            <w:pPr>
              <w:spacing w:after="0"/>
              <w:rPr>
                <w:noProof/>
                <w:sz w:val="20"/>
                <w:szCs w:val="20"/>
                <w:lang w:eastAsia="en-GB"/>
              </w:rPr>
            </w:pPr>
          </w:p>
        </w:tc>
        <w:tc>
          <w:tcPr>
            <w:tcW w:w="1267" w:type="dxa"/>
            <w:noWrap/>
            <w:hideMark/>
          </w:tcPr>
          <w:p>
            <w:pPr>
              <w:spacing w:after="0"/>
              <w:rPr>
                <w:noProof/>
                <w:sz w:val="20"/>
                <w:szCs w:val="20"/>
                <w:lang w:eastAsia="en-GB"/>
              </w:rPr>
            </w:pPr>
          </w:p>
        </w:tc>
        <w:tc>
          <w:tcPr>
            <w:tcW w:w="868"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70"/>
        </w:trPr>
        <w:tc>
          <w:tcPr>
            <w:tcW w:w="976" w:type="dxa"/>
            <w:noWrap/>
            <w:hideMark/>
          </w:tcPr>
          <w:p>
            <w:pPr>
              <w:spacing w:after="0"/>
              <w:rPr>
                <w:rFonts w:eastAsia="Times New Roman"/>
                <w:noProof/>
                <w:color w:val="000000"/>
                <w:sz w:val="18"/>
                <w:szCs w:val="18"/>
              </w:rPr>
            </w:pPr>
            <w:r>
              <w:rPr>
                <w:noProof/>
                <w:color w:val="000000"/>
                <w:sz w:val="18"/>
                <w:szCs w:val="18"/>
              </w:rPr>
              <w:t>Union</w:t>
            </w:r>
          </w:p>
        </w:tc>
        <w:tc>
          <w:tcPr>
            <w:tcW w:w="1503" w:type="dxa"/>
            <w:noWrap/>
            <w:hideMark/>
          </w:tcPr>
          <w:p>
            <w:pPr>
              <w:rPr>
                <w:rFonts w:eastAsia="Times New Roman"/>
                <w:noProof/>
                <w:color w:val="000000"/>
                <w:sz w:val="18"/>
                <w:szCs w:val="18"/>
                <w:lang w:eastAsia="en-GB"/>
              </w:rPr>
            </w:pPr>
          </w:p>
        </w:tc>
        <w:tc>
          <w:tcPr>
            <w:tcW w:w="1207" w:type="dxa"/>
            <w:noWrap/>
            <w:hideMark/>
          </w:tcPr>
          <w:p>
            <w:pPr>
              <w:spacing w:after="0"/>
              <w:jc w:val="right"/>
              <w:rPr>
                <w:rFonts w:eastAsia="Times New Roman"/>
                <w:noProof/>
                <w:color w:val="000000"/>
                <w:sz w:val="18"/>
                <w:szCs w:val="18"/>
              </w:rPr>
            </w:pPr>
            <w:r>
              <w:rPr>
                <w:noProof/>
                <w:color w:val="000000"/>
                <w:sz w:val="18"/>
                <w:szCs w:val="18"/>
              </w:rPr>
              <w:t>3 266</w:t>
            </w:r>
          </w:p>
        </w:tc>
        <w:tc>
          <w:tcPr>
            <w:tcW w:w="850" w:type="dxa"/>
            <w:noWrap/>
            <w:hideMark/>
          </w:tcPr>
          <w:p>
            <w:pPr>
              <w:rPr>
                <w:rFonts w:eastAsia="Times New Roman"/>
                <w:noProof/>
                <w:color w:val="000000"/>
                <w:sz w:val="18"/>
                <w:szCs w:val="18"/>
                <w:lang w:eastAsia="en-GB"/>
              </w:rPr>
            </w:pPr>
          </w:p>
        </w:tc>
        <w:tc>
          <w:tcPr>
            <w:tcW w:w="1036" w:type="dxa"/>
            <w:noWrap/>
            <w:hideMark/>
          </w:tcPr>
          <w:p>
            <w:pPr>
              <w:spacing w:after="0"/>
              <w:rPr>
                <w:noProof/>
                <w:sz w:val="20"/>
                <w:szCs w:val="20"/>
                <w:lang w:eastAsia="en-GB"/>
              </w:rPr>
            </w:pPr>
          </w:p>
        </w:tc>
        <w:tc>
          <w:tcPr>
            <w:tcW w:w="1267" w:type="dxa"/>
            <w:noWrap/>
            <w:hideMark/>
          </w:tcPr>
          <w:p>
            <w:pPr>
              <w:spacing w:after="0"/>
              <w:rPr>
                <w:noProof/>
                <w:sz w:val="20"/>
                <w:szCs w:val="20"/>
                <w:lang w:eastAsia="en-GB"/>
              </w:rPr>
            </w:pPr>
          </w:p>
        </w:tc>
        <w:tc>
          <w:tcPr>
            <w:tcW w:w="868"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70"/>
        </w:trPr>
        <w:tc>
          <w:tcPr>
            <w:tcW w:w="976" w:type="dxa"/>
            <w:noWrap/>
            <w:hideMark/>
          </w:tcPr>
          <w:p>
            <w:pPr>
              <w:spacing w:after="0"/>
              <w:rPr>
                <w:noProof/>
                <w:sz w:val="20"/>
                <w:szCs w:val="20"/>
                <w:lang w:eastAsia="en-GB"/>
              </w:rPr>
            </w:pPr>
          </w:p>
        </w:tc>
        <w:tc>
          <w:tcPr>
            <w:tcW w:w="1503" w:type="dxa"/>
            <w:noWrap/>
            <w:hideMark/>
          </w:tcPr>
          <w:p>
            <w:pPr>
              <w:spacing w:after="0"/>
              <w:rPr>
                <w:noProof/>
                <w:sz w:val="20"/>
                <w:szCs w:val="20"/>
                <w:lang w:eastAsia="en-GB"/>
              </w:rPr>
            </w:pPr>
          </w:p>
        </w:tc>
        <w:tc>
          <w:tcPr>
            <w:tcW w:w="1207" w:type="dxa"/>
            <w:noWrap/>
            <w:hideMark/>
          </w:tcPr>
          <w:p>
            <w:pPr>
              <w:spacing w:after="0"/>
              <w:rPr>
                <w:noProof/>
                <w:sz w:val="20"/>
                <w:szCs w:val="20"/>
                <w:lang w:eastAsia="en-GB"/>
              </w:rPr>
            </w:pPr>
          </w:p>
        </w:tc>
        <w:tc>
          <w:tcPr>
            <w:tcW w:w="850" w:type="dxa"/>
            <w:noWrap/>
            <w:hideMark/>
          </w:tcPr>
          <w:p>
            <w:pPr>
              <w:spacing w:after="0"/>
              <w:rPr>
                <w:noProof/>
                <w:sz w:val="20"/>
                <w:szCs w:val="20"/>
                <w:lang w:eastAsia="en-GB"/>
              </w:rPr>
            </w:pPr>
          </w:p>
        </w:tc>
        <w:tc>
          <w:tcPr>
            <w:tcW w:w="1036" w:type="dxa"/>
            <w:noWrap/>
            <w:hideMark/>
          </w:tcPr>
          <w:p>
            <w:pPr>
              <w:spacing w:after="0"/>
              <w:rPr>
                <w:noProof/>
                <w:sz w:val="20"/>
                <w:szCs w:val="20"/>
                <w:lang w:eastAsia="en-GB"/>
              </w:rPr>
            </w:pPr>
          </w:p>
        </w:tc>
        <w:tc>
          <w:tcPr>
            <w:tcW w:w="1267" w:type="dxa"/>
            <w:noWrap/>
            <w:hideMark/>
          </w:tcPr>
          <w:p>
            <w:pPr>
              <w:spacing w:after="0"/>
              <w:rPr>
                <w:noProof/>
                <w:sz w:val="20"/>
                <w:szCs w:val="20"/>
                <w:lang w:eastAsia="en-GB"/>
              </w:rPr>
            </w:pPr>
          </w:p>
        </w:tc>
        <w:tc>
          <w:tcPr>
            <w:tcW w:w="868"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70"/>
        </w:trPr>
        <w:tc>
          <w:tcPr>
            <w:tcW w:w="976" w:type="dxa"/>
            <w:tcBorders>
              <w:bottom w:val="single" w:sz="4" w:space="0" w:color="auto"/>
            </w:tcBorders>
            <w:noWrap/>
            <w:hideMark/>
          </w:tcPr>
          <w:p>
            <w:pPr>
              <w:spacing w:after="0"/>
              <w:rPr>
                <w:rFonts w:eastAsia="Times New Roman"/>
                <w:noProof/>
                <w:color w:val="000000"/>
                <w:sz w:val="18"/>
                <w:szCs w:val="18"/>
              </w:rPr>
            </w:pPr>
            <w:r>
              <w:rPr>
                <w:noProof/>
                <w:color w:val="000000"/>
                <w:sz w:val="18"/>
                <w:szCs w:val="18"/>
              </w:rPr>
              <w:t>TAC</w:t>
            </w:r>
          </w:p>
        </w:tc>
        <w:tc>
          <w:tcPr>
            <w:tcW w:w="1503" w:type="dxa"/>
            <w:tcBorders>
              <w:bottom w:val="single" w:sz="4" w:space="0" w:color="auto"/>
            </w:tcBorders>
            <w:noWrap/>
            <w:hideMark/>
          </w:tcPr>
          <w:p>
            <w:pPr>
              <w:rPr>
                <w:rFonts w:eastAsia="Times New Roman"/>
                <w:noProof/>
                <w:color w:val="000000"/>
                <w:sz w:val="18"/>
                <w:szCs w:val="18"/>
                <w:lang w:eastAsia="en-GB"/>
              </w:rPr>
            </w:pPr>
          </w:p>
        </w:tc>
        <w:tc>
          <w:tcPr>
            <w:tcW w:w="1207" w:type="dxa"/>
            <w:tcBorders>
              <w:bottom w:val="single" w:sz="4" w:space="0" w:color="auto"/>
            </w:tcBorders>
            <w:noWrap/>
            <w:hideMark/>
          </w:tcPr>
          <w:p>
            <w:pPr>
              <w:spacing w:after="0"/>
              <w:jc w:val="right"/>
              <w:rPr>
                <w:rFonts w:eastAsia="Times New Roman"/>
                <w:noProof/>
                <w:color w:val="000000"/>
                <w:sz w:val="18"/>
                <w:szCs w:val="18"/>
              </w:rPr>
            </w:pPr>
            <w:r>
              <w:rPr>
                <w:noProof/>
                <w:color w:val="000000"/>
                <w:sz w:val="18"/>
                <w:szCs w:val="18"/>
              </w:rPr>
              <w:t>6 116»</w:t>
            </w:r>
          </w:p>
        </w:tc>
        <w:tc>
          <w:tcPr>
            <w:tcW w:w="850" w:type="dxa"/>
            <w:tcBorders>
              <w:bottom w:val="single" w:sz="4" w:space="0" w:color="auto"/>
            </w:tcBorders>
            <w:noWrap/>
            <w:hideMark/>
          </w:tcPr>
          <w:p>
            <w:pPr>
              <w:rPr>
                <w:rFonts w:eastAsia="Times New Roman"/>
                <w:noProof/>
                <w:color w:val="000000"/>
                <w:sz w:val="18"/>
                <w:szCs w:val="18"/>
                <w:lang w:eastAsia="en-GB"/>
              </w:rPr>
            </w:pPr>
          </w:p>
        </w:tc>
        <w:tc>
          <w:tcPr>
            <w:tcW w:w="1036" w:type="dxa"/>
            <w:tcBorders>
              <w:bottom w:val="single" w:sz="4" w:space="0" w:color="auto"/>
            </w:tcBorders>
            <w:noWrap/>
            <w:hideMark/>
          </w:tcPr>
          <w:p>
            <w:pPr>
              <w:spacing w:after="0"/>
              <w:rPr>
                <w:noProof/>
                <w:sz w:val="20"/>
                <w:szCs w:val="20"/>
                <w:lang w:eastAsia="en-GB"/>
              </w:rPr>
            </w:pPr>
          </w:p>
        </w:tc>
        <w:tc>
          <w:tcPr>
            <w:tcW w:w="1267" w:type="dxa"/>
            <w:tcBorders>
              <w:bottom w:val="single" w:sz="4" w:space="0" w:color="auto"/>
            </w:tcBorders>
            <w:noWrap/>
            <w:hideMark/>
          </w:tcPr>
          <w:p>
            <w:pPr>
              <w:spacing w:after="0"/>
              <w:rPr>
                <w:noProof/>
                <w:sz w:val="20"/>
                <w:szCs w:val="20"/>
                <w:lang w:eastAsia="en-GB"/>
              </w:rPr>
            </w:pPr>
          </w:p>
        </w:tc>
        <w:tc>
          <w:tcPr>
            <w:tcW w:w="868" w:type="dxa"/>
            <w:tcBorders>
              <w:bottom w:val="single" w:sz="4" w:space="0" w:color="auto"/>
            </w:tcBorders>
            <w:noWrap/>
            <w:hideMark/>
          </w:tcPr>
          <w:p>
            <w:pPr>
              <w:spacing w:after="0"/>
              <w:rPr>
                <w:noProof/>
                <w:sz w:val="20"/>
                <w:szCs w:val="20"/>
                <w:lang w:eastAsia="en-GB"/>
              </w:rPr>
            </w:pPr>
          </w:p>
        </w:tc>
        <w:tc>
          <w:tcPr>
            <w:tcW w:w="1043" w:type="dxa"/>
            <w:tcBorders>
              <w:bottom w:val="single" w:sz="4" w:space="0" w:color="auto"/>
            </w:tcBorders>
            <w:noWrap/>
            <w:hideMark/>
          </w:tcPr>
          <w:p>
            <w:pPr>
              <w:spacing w:after="0"/>
              <w:rPr>
                <w:noProof/>
                <w:sz w:val="20"/>
                <w:szCs w:val="20"/>
                <w:lang w:eastAsia="en-GB"/>
              </w:rPr>
            </w:pPr>
          </w:p>
        </w:tc>
      </w:tr>
    </w:tbl>
    <w:p>
      <w:pPr>
        <w:rPr>
          <w:noProof/>
        </w:rPr>
      </w:pPr>
      <w:r>
        <w:rPr>
          <w:noProof/>
        </w:rPr>
        <w:t>;</w:t>
      </w:r>
    </w:p>
    <w:p>
      <w:pPr>
        <w:pStyle w:val="Point1letter"/>
        <w:rPr>
          <w:noProof/>
        </w:rPr>
      </w:pPr>
      <w:r>
        <w:rPr>
          <w:noProof/>
        </w:rPr>
        <w:tab/>
        <w:t>le tableau des possibilités de pêche ci-dessous pour le sprat et les prises accessoires associées dans les eaux de l’Union de la division CIEM 3a est inséré:</w:t>
      </w:r>
    </w:p>
    <w:tbl>
      <w:tblPr>
        <w:tblW w:w="9180" w:type="dxa"/>
        <w:tblInd w:w="108" w:type="dxa"/>
        <w:tblLook w:val="04A0" w:firstRow="1" w:lastRow="0" w:firstColumn="1" w:lastColumn="0" w:noHBand="0" w:noVBand="1"/>
      </w:tblPr>
      <w:tblGrid>
        <w:gridCol w:w="1050"/>
        <w:gridCol w:w="2309"/>
        <w:gridCol w:w="806"/>
        <w:gridCol w:w="806"/>
        <w:gridCol w:w="905"/>
        <w:gridCol w:w="1756"/>
        <w:gridCol w:w="742"/>
        <w:gridCol w:w="806"/>
      </w:tblGrid>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30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90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7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5"/>
        </w:trPr>
        <w:tc>
          <w:tcPr>
            <w:tcW w:w="1050"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«Espèce:</w:t>
            </w:r>
          </w:p>
        </w:tc>
        <w:tc>
          <w:tcPr>
            <w:tcW w:w="3921"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Sprat et prises accessoires associées</w:t>
            </w:r>
          </w:p>
        </w:tc>
        <w:tc>
          <w:tcPr>
            <w:tcW w:w="905" w:type="dxa"/>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Zone:</w:t>
            </w:r>
          </w:p>
        </w:tc>
        <w:tc>
          <w:tcPr>
            <w:tcW w:w="175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3a</w:t>
            </w:r>
          </w:p>
        </w:tc>
        <w:tc>
          <w:tcPr>
            <w:tcW w:w="742"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80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70"/>
        </w:trPr>
        <w:tc>
          <w:tcPr>
            <w:tcW w:w="1050"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311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Sprattus sprattus</w:t>
            </w:r>
          </w:p>
        </w:tc>
        <w:tc>
          <w:tcPr>
            <w:tcW w:w="806"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color w:val="000000"/>
                <w:sz w:val="18"/>
                <w:szCs w:val="18"/>
              </w:rPr>
              <w:t xml:space="preserve"> </w:t>
            </w:r>
          </w:p>
        </w:tc>
        <w:tc>
          <w:tcPr>
            <w:tcW w:w="905" w:type="dxa"/>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175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(SPR/03A.2)</w:t>
            </w:r>
          </w:p>
        </w:tc>
        <w:tc>
          <w:tcPr>
            <w:tcW w:w="742"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80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Danemark</w:t>
            </w:r>
          </w:p>
        </w:tc>
        <w:tc>
          <w:tcPr>
            <w:tcW w:w="230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80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w:t>
            </w:r>
          </w:p>
        </w:tc>
        <w:tc>
          <w:tcPr>
            <w:tcW w:w="2661"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TAC analytique</w:t>
            </w:r>
          </w:p>
        </w:tc>
        <w:tc>
          <w:tcPr>
            <w:tcW w:w="742"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80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Allemagne</w:t>
            </w:r>
          </w:p>
        </w:tc>
        <w:tc>
          <w:tcPr>
            <w:tcW w:w="230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p.m.</w:t>
            </w:r>
          </w:p>
        </w:tc>
        <w:tc>
          <w:tcPr>
            <w:tcW w:w="80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w:t>
            </w:r>
          </w:p>
        </w:tc>
        <w:tc>
          <w:tcPr>
            <w:tcW w:w="905"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Suède</w:t>
            </w:r>
          </w:p>
        </w:tc>
        <w:tc>
          <w:tcPr>
            <w:tcW w:w="230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80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w:t>
            </w:r>
          </w:p>
        </w:tc>
        <w:tc>
          <w:tcPr>
            <w:tcW w:w="905"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Union</w:t>
            </w:r>
          </w:p>
        </w:tc>
        <w:tc>
          <w:tcPr>
            <w:tcW w:w="230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80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w:t>
            </w:r>
          </w:p>
        </w:tc>
        <w:tc>
          <w:tcPr>
            <w:tcW w:w="905"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30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90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7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TAC</w:t>
            </w:r>
          </w:p>
        </w:tc>
        <w:tc>
          <w:tcPr>
            <w:tcW w:w="230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806" w:type="dxa"/>
            <w:tcBorders>
              <w:top w:val="nil"/>
              <w:left w:val="nil"/>
              <w:bottom w:val="nil"/>
              <w:right w:val="nil"/>
            </w:tcBorders>
            <w:shd w:val="clear" w:color="auto" w:fill="auto"/>
            <w:noWrap/>
            <w:hideMark/>
          </w:tcPr>
          <w:p>
            <w:pPr>
              <w:spacing w:after="0"/>
              <w:rPr>
                <w:rFonts w:eastAsia="Times New Roman"/>
                <w:noProof/>
                <w:color w:val="000000"/>
                <w:sz w:val="18"/>
                <w:szCs w:val="18"/>
                <w:vertAlign w:val="superscript"/>
              </w:rPr>
            </w:pPr>
            <w:r>
              <w:rPr>
                <w:noProof/>
                <w:color w:val="000000"/>
                <w:sz w:val="18"/>
                <w:szCs w:val="18"/>
                <w:vertAlign w:val="superscript"/>
              </w:rPr>
              <w:t>(2)</w:t>
            </w:r>
            <w:r>
              <w:rPr>
                <w:noProof/>
                <w:color w:val="000000"/>
                <w:sz w:val="18"/>
                <w:szCs w:val="18"/>
              </w:rPr>
              <w:t xml:space="preserve"> »</w:t>
            </w:r>
          </w:p>
        </w:tc>
        <w:tc>
          <w:tcPr>
            <w:tcW w:w="905"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_____________</w:t>
            </w:r>
            <w:r>
              <w:rPr>
                <w:noProof/>
              </w:rPr>
              <w:t xml:space="preserve"> </w:t>
            </w:r>
            <w:r>
              <w:rPr>
                <w:noProof/>
              </w:rPr>
              <w:br/>
            </w:r>
            <w:r>
              <w:rPr>
                <w:noProof/>
                <w:color w:val="000000"/>
                <w:sz w:val="18"/>
                <w:szCs w:val="18"/>
                <w:vertAlign w:val="superscript"/>
              </w:rPr>
              <w:t>1)</w:t>
            </w:r>
          </w:p>
        </w:tc>
        <w:tc>
          <w:tcPr>
            <w:tcW w:w="8130" w:type="dxa"/>
            <w:gridSpan w:val="7"/>
            <w:tcBorders>
              <w:top w:val="nil"/>
              <w:left w:val="nil"/>
              <w:bottom w:val="nil"/>
              <w:right w:val="nil"/>
            </w:tcBorders>
            <w:shd w:val="clear" w:color="auto" w:fill="auto"/>
            <w:noWrap/>
            <w:hideMark/>
          </w:tcPr>
          <w:p>
            <w:pPr>
              <w:spacing w:after="0"/>
              <w:rPr>
                <w:rFonts w:eastAsia="Times New Roman"/>
                <w:noProof/>
                <w:sz w:val="18"/>
                <w:szCs w:val="18"/>
                <w:vertAlign w:val="superscript"/>
                <w:lang w:eastAsia="en-GB"/>
              </w:rPr>
            </w:pPr>
          </w:p>
          <w:p>
            <w:pPr>
              <w:spacing w:after="0"/>
              <w:rPr>
                <w:rFonts w:eastAsia="Times New Roman"/>
                <w:noProof/>
                <w:sz w:val="18"/>
                <w:szCs w:val="18"/>
              </w:rPr>
            </w:pPr>
            <w:r>
              <w:rPr>
                <w:noProof/>
                <w:sz w:val="18"/>
                <w:szCs w:val="18"/>
                <w:vertAlign w:val="superscript"/>
              </w:rPr>
              <w:t>Jusqu'à 5 % du quota peuvent être constitués de prises accessoires de merlan et d'églefin (OTH/*03A.2.). Les prises accessoires de merlan et d'églefin imputées sur le quota conformément à la présente disposition et les prises accessoires d'espèces imputées sur le quota conformément à l'article 15, paragraphe 8, du règlement (UE) n° 1380/2013 ne dépassent pas, au total, 9 % du quota.</w:t>
            </w:r>
          </w:p>
        </w:tc>
      </w:tr>
      <w:tr>
        <w:trPr>
          <w:trHeight w:val="285"/>
        </w:trPr>
        <w:tc>
          <w:tcPr>
            <w:tcW w:w="1050"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2)</w:t>
            </w:r>
          </w:p>
        </w:tc>
        <w:tc>
          <w:tcPr>
            <w:tcW w:w="8130" w:type="dxa"/>
            <w:gridSpan w:val="7"/>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Ce quota peut être pêché uniquement du 1er juillet 2020 au 30 juin 2021. Des transferts de ce quota peuvent être effectués vers les eaux de l'Union des zones 2a et 4. Toutefois, ces transferts sont notifiés préalablement à la Commission.</w:t>
            </w:r>
          </w:p>
        </w:tc>
      </w:tr>
    </w:tbl>
    <w:p>
      <w:pPr>
        <w:rPr>
          <w:noProof/>
        </w:rPr>
      </w:pPr>
      <w:r>
        <w:rPr>
          <w:noProof/>
        </w:rPr>
        <w:t>;</w:t>
      </w:r>
    </w:p>
    <w:p>
      <w:pPr>
        <w:pStyle w:val="Point1letter"/>
        <w:rPr>
          <w:noProof/>
        </w:rPr>
      </w:pPr>
      <w:r>
        <w:rPr>
          <w:noProof/>
        </w:rPr>
        <w:tab/>
        <w:t>le tableau des possibilités de pêche pour le sprat et les prises accessoires associées dans les eaux de l'Union de la division CIEM 2a et de la sous-zone CIEM 4 est remplacé par le tableau suivant:</w:t>
      </w:r>
    </w:p>
    <w:tbl>
      <w:tblPr>
        <w:tblW w:w="9150" w:type="dxa"/>
        <w:tblInd w:w="108" w:type="dxa"/>
        <w:tblLook w:val="04A0" w:firstRow="1" w:lastRow="0" w:firstColumn="1" w:lastColumn="0" w:noHBand="0" w:noVBand="1"/>
      </w:tblPr>
      <w:tblGrid>
        <w:gridCol w:w="1126"/>
        <w:gridCol w:w="1414"/>
        <w:gridCol w:w="1142"/>
        <w:gridCol w:w="790"/>
        <w:gridCol w:w="969"/>
        <w:gridCol w:w="513"/>
        <w:gridCol w:w="2049"/>
        <w:gridCol w:w="625"/>
        <w:gridCol w:w="261"/>
        <w:gridCol w:w="261"/>
      </w:tblGrid>
      <w:tr>
        <w:trPr>
          <w:trHeight w:val="255"/>
        </w:trPr>
        <w:tc>
          <w:tcPr>
            <w:tcW w:w="1126" w:type="dxa"/>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«Espèce:</w:t>
            </w:r>
          </w:p>
        </w:tc>
        <w:tc>
          <w:tcPr>
            <w:tcW w:w="3346" w:type="dxa"/>
            <w:gridSpan w:val="3"/>
            <w:tcBorders>
              <w:top w:val="single" w:sz="4" w:space="0" w:color="auto"/>
              <w:left w:val="nil"/>
              <w:bottom w:val="nil"/>
              <w:right w:val="single" w:sz="4" w:space="0" w:color="auto"/>
            </w:tcBorders>
            <w:shd w:val="clear" w:color="auto" w:fill="auto"/>
            <w:noWrap/>
            <w:hideMark/>
          </w:tcPr>
          <w:p>
            <w:pPr>
              <w:spacing w:after="0"/>
              <w:rPr>
                <w:rFonts w:eastAsia="Times New Roman"/>
                <w:noProof/>
                <w:sz w:val="18"/>
                <w:szCs w:val="18"/>
              </w:rPr>
            </w:pPr>
            <w:r>
              <w:rPr>
                <w:noProof/>
                <w:sz w:val="18"/>
                <w:szCs w:val="18"/>
              </w:rPr>
              <w:t>Sprat et prises accessoires associées</w:t>
            </w:r>
          </w:p>
        </w:tc>
        <w:tc>
          <w:tcPr>
            <w:tcW w:w="969" w:type="dxa"/>
            <w:tcBorders>
              <w:top w:val="single" w:sz="4" w:space="0" w:color="auto"/>
              <w:left w:val="single" w:sz="4" w:space="0" w:color="auto"/>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Zone:</w:t>
            </w:r>
          </w:p>
        </w:tc>
        <w:tc>
          <w:tcPr>
            <w:tcW w:w="3448" w:type="dxa"/>
            <w:gridSpan w:val="4"/>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Eaux de l'Union des zones 2a et 4</w:t>
            </w:r>
          </w:p>
        </w:tc>
        <w:tc>
          <w:tcPr>
            <w:tcW w:w="261" w:type="dxa"/>
            <w:tcBorders>
              <w:top w:val="single" w:sz="8" w:space="0" w:color="auto"/>
              <w:left w:val="nil"/>
              <w:bottom w:val="nil"/>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szCs w:val="16"/>
              </w:rPr>
              <w:t xml:space="preserve"> </w:t>
            </w:r>
          </w:p>
        </w:tc>
      </w:tr>
      <w:tr>
        <w:trPr>
          <w:trHeight w:val="463"/>
        </w:trPr>
        <w:tc>
          <w:tcPr>
            <w:tcW w:w="11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556"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Sprattus sprattus</w:t>
            </w:r>
          </w:p>
        </w:tc>
        <w:tc>
          <w:tcPr>
            <w:tcW w:w="790" w:type="dxa"/>
            <w:tcBorders>
              <w:top w:val="nil"/>
              <w:left w:val="nil"/>
              <w:bottom w:val="single" w:sz="8" w:space="0" w:color="000000"/>
              <w:right w:val="single" w:sz="4" w:space="0" w:color="auto"/>
            </w:tcBorders>
            <w:shd w:val="clear" w:color="auto" w:fill="auto"/>
            <w:noWrap/>
            <w:hideMark/>
          </w:tcPr>
          <w:p>
            <w:pPr>
              <w:spacing w:after="0"/>
              <w:rPr>
                <w:rFonts w:eastAsia="Times New Roman"/>
                <w:i/>
                <w:iCs/>
                <w:noProof/>
                <w:color w:val="000000"/>
                <w:sz w:val="18"/>
                <w:szCs w:val="18"/>
              </w:rPr>
            </w:pPr>
            <w:r>
              <w:rPr>
                <w:i/>
                <w:iCs/>
                <w:noProof/>
                <w:color w:val="000000"/>
                <w:sz w:val="18"/>
                <w:szCs w:val="18"/>
              </w:rPr>
              <w:t xml:space="preserve"> </w:t>
            </w:r>
          </w:p>
        </w:tc>
        <w:tc>
          <w:tcPr>
            <w:tcW w:w="969" w:type="dxa"/>
            <w:tcBorders>
              <w:top w:val="nil"/>
              <w:left w:val="single" w:sz="4" w:space="0" w:color="auto"/>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szCs w:val="16"/>
              </w:rPr>
              <w:t xml:space="preserve"> </w:t>
            </w:r>
          </w:p>
        </w:tc>
        <w:tc>
          <w:tcPr>
            <w:tcW w:w="3187" w:type="dxa"/>
            <w:gridSpan w:val="3"/>
            <w:tcBorders>
              <w:top w:val="nil"/>
              <w:left w:val="nil"/>
              <w:bottom w:val="single" w:sz="8" w:space="0" w:color="auto"/>
              <w:right w:val="nil"/>
            </w:tcBorders>
            <w:shd w:val="clear" w:color="auto" w:fill="auto"/>
            <w:hideMark/>
          </w:tcPr>
          <w:p>
            <w:pPr>
              <w:spacing w:after="0"/>
              <w:rPr>
                <w:rFonts w:eastAsia="Times New Roman"/>
                <w:noProof/>
                <w:sz w:val="18"/>
                <w:szCs w:val="18"/>
              </w:rPr>
            </w:pPr>
            <w:r>
              <w:rPr>
                <w:noProof/>
                <w:sz w:val="18"/>
                <w:szCs w:val="18"/>
              </w:rPr>
              <w:t>(SPR/2AC4-C)</w:t>
            </w:r>
          </w:p>
        </w:tc>
        <w:tc>
          <w:tcPr>
            <w:tcW w:w="26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szCs w:val="16"/>
              </w:rPr>
              <w:t xml:space="preserve"> </w:t>
            </w: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Belgique</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w:t>
            </w: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w:t>
            </w:r>
          </w:p>
        </w:tc>
        <w:tc>
          <w:tcPr>
            <w:tcW w:w="148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TAC analytique</w:t>
            </w:r>
          </w:p>
        </w:tc>
        <w:tc>
          <w:tcPr>
            <w:tcW w:w="2674"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Danemark</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w:t>
            </w:r>
          </w:p>
        </w:tc>
        <w:tc>
          <w:tcPr>
            <w:tcW w:w="96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187"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Allemagne</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France</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540"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Pays-Bas</w:t>
            </w: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Suède</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(1)(2)(3)</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540"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Royaume-Uni</w:t>
            </w: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(1)(2)</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Union</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Norvège</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540"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Îles Féroé</w:t>
            </w: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(1)(4)</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rPr>
              <w:t>TAC</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(1)</w:t>
            </w:r>
            <w:r>
              <w:rPr>
                <w:noProof/>
                <w:color w:val="000000"/>
                <w:sz w:val="18"/>
                <w:szCs w:val="18"/>
              </w:rPr>
              <w:t xml:space="preserve"> »</w:t>
            </w:r>
          </w:p>
        </w:tc>
        <w:tc>
          <w:tcPr>
            <w:tcW w:w="96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_______________</w:t>
            </w:r>
            <w:r>
              <w:rPr>
                <w:noProof/>
              </w:rPr>
              <w:t xml:space="preserve"> </w:t>
            </w:r>
            <w:r>
              <w:rPr>
                <w:noProof/>
              </w:rPr>
              <w:br/>
            </w:r>
            <w:r>
              <w:rPr>
                <w:noProof/>
                <w:color w:val="000000"/>
                <w:sz w:val="18"/>
                <w:szCs w:val="18"/>
                <w:vertAlign w:val="superscript"/>
              </w:rPr>
              <w:t>1)</w:t>
            </w:r>
          </w:p>
        </w:tc>
        <w:tc>
          <w:tcPr>
            <w:tcW w:w="7502" w:type="dxa"/>
            <w:gridSpan w:val="7"/>
            <w:tcBorders>
              <w:top w:val="nil"/>
              <w:left w:val="nil"/>
              <w:bottom w:val="nil"/>
              <w:right w:val="nil"/>
            </w:tcBorders>
            <w:shd w:val="clear" w:color="auto" w:fill="auto"/>
            <w:noWrap/>
            <w:hideMark/>
          </w:tcPr>
          <w:p>
            <w:pPr>
              <w:spacing w:after="0"/>
              <w:rPr>
                <w:rFonts w:eastAsia="Times New Roman"/>
                <w:noProof/>
                <w:sz w:val="18"/>
                <w:szCs w:val="18"/>
                <w:vertAlign w:val="superscript"/>
                <w:lang w:eastAsia="en-GB"/>
              </w:rPr>
            </w:pPr>
          </w:p>
          <w:p>
            <w:pPr>
              <w:spacing w:after="0"/>
              <w:rPr>
                <w:rFonts w:eastAsia="Times New Roman"/>
                <w:noProof/>
                <w:color w:val="000000"/>
                <w:sz w:val="18"/>
                <w:szCs w:val="18"/>
              </w:rPr>
            </w:pPr>
            <w:r>
              <w:rPr>
                <w:noProof/>
                <w:sz w:val="18"/>
                <w:szCs w:val="18"/>
                <w:vertAlign w:val="superscript"/>
              </w:rPr>
              <w:t>Le quota ne peut être pêché que du 1er juillet 2020 au 30 juin 2021.</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2)</w:t>
            </w:r>
          </w:p>
        </w:tc>
        <w:tc>
          <w:tcPr>
            <w:tcW w:w="8024" w:type="dxa"/>
            <w:gridSpan w:val="9"/>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Jusqu'à 2 % du quota peuvent être constitués de prises accessoires de merlan (OTH/*2AC4C). Les prises accessoires de merlan imputées sur le quota conformément à la présente disposition et les prises accessoires d'espèces imputées sur le quota conformément à l'article 15, paragraphe 8, du règlement (UE) n° 1380/2013 ne dépassent pas, au total, 9 % du quota.</w:t>
            </w: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3)</w:t>
            </w:r>
          </w:p>
        </w:tc>
        <w:tc>
          <w:tcPr>
            <w:tcW w:w="1414"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Y compris le lançon.</w:t>
            </w:r>
          </w:p>
        </w:tc>
        <w:tc>
          <w:tcPr>
            <w:tcW w:w="11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96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8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1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4)</w:t>
            </w:r>
          </w:p>
        </w:tc>
        <w:tc>
          <w:tcPr>
            <w:tcW w:w="334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vertAlign w:val="superscript"/>
              </w:rPr>
              <w:t>Peut contenir jusqu'à 4 % de prises accessoires de hareng.</w:t>
            </w:r>
          </w:p>
        </w:tc>
        <w:tc>
          <w:tcPr>
            <w:tcW w:w="969"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562"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88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c>
          <w:tcPr>
            <w:tcW w:w="26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szCs w:val="18"/>
              </w:rPr>
              <w:t xml:space="preserve"> </w:t>
            </w:r>
          </w:p>
        </w:tc>
      </w:tr>
    </w:tbl>
    <w:p>
      <w:pPr>
        <w:rPr>
          <w:noProof/>
        </w:rPr>
      </w:pPr>
      <w:r>
        <w:rPr>
          <w:noProof/>
        </w:rPr>
        <w:t>;</w:t>
      </w:r>
    </w:p>
    <w:p>
      <w:pPr>
        <w:pStyle w:val="Point1letter"/>
        <w:rPr>
          <w:noProof/>
        </w:rPr>
      </w:pPr>
      <w:r>
        <w:rPr>
          <w:noProof/>
        </w:rPr>
        <w:tab/>
        <w:t>le tableau des possibilités de pêche pour l’anchois dans les sous-zones CIEM 9 et 10 et les eaux de l'Union de la zone Copace 34.1.1 est remplacé par le texte suivant:</w:t>
      </w:r>
    </w:p>
    <w:tbl>
      <w:tblPr>
        <w:tblW w:w="9289" w:type="dxa"/>
        <w:tblLook w:val="04A0" w:firstRow="1" w:lastRow="0" w:firstColumn="1" w:lastColumn="0" w:noHBand="0" w:noVBand="1"/>
      </w:tblPr>
      <w:tblGrid>
        <w:gridCol w:w="1028"/>
        <w:gridCol w:w="1115"/>
        <w:gridCol w:w="1027"/>
        <w:gridCol w:w="1028"/>
        <w:gridCol w:w="1019"/>
        <w:gridCol w:w="1021"/>
        <w:gridCol w:w="956"/>
        <w:gridCol w:w="1048"/>
        <w:gridCol w:w="1047"/>
      </w:tblGrid>
      <w:tr>
        <w:trPr>
          <w:trHeight w:val="254"/>
        </w:trPr>
        <w:tc>
          <w:tcPr>
            <w:tcW w:w="1028"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szCs w:val="18"/>
              </w:rPr>
              <w:t>«Espèce:</w:t>
            </w:r>
          </w:p>
        </w:tc>
        <w:tc>
          <w:tcPr>
            <w:tcW w:w="1115" w:type="dxa"/>
            <w:tcBorders>
              <w:top w:val="single" w:sz="8" w:space="0" w:color="000000"/>
              <w:left w:val="nil"/>
              <w:bottom w:val="nil"/>
              <w:right w:val="nil"/>
            </w:tcBorders>
            <w:noWrap/>
            <w:hideMark/>
          </w:tcPr>
          <w:p>
            <w:pPr>
              <w:spacing w:after="0"/>
              <w:rPr>
                <w:rFonts w:eastAsia="Times New Roman"/>
                <w:noProof/>
                <w:sz w:val="18"/>
                <w:szCs w:val="18"/>
              </w:rPr>
            </w:pPr>
            <w:r>
              <w:rPr>
                <w:noProof/>
                <w:sz w:val="18"/>
                <w:szCs w:val="18"/>
              </w:rPr>
              <w:t>Anchois commun</w:t>
            </w:r>
          </w:p>
        </w:tc>
        <w:tc>
          <w:tcPr>
            <w:tcW w:w="1027" w:type="dxa"/>
            <w:tcBorders>
              <w:top w:val="single" w:sz="8" w:space="0" w:color="000000"/>
              <w:left w:val="nil"/>
              <w:bottom w:val="nil"/>
              <w:right w:val="nil"/>
            </w:tcBorders>
          </w:tcPr>
          <w:p>
            <w:pPr>
              <w:spacing w:after="0"/>
              <w:jc w:val="right"/>
              <w:rPr>
                <w:rFonts w:eastAsia="Times New Roman"/>
                <w:noProof/>
                <w:color w:val="000000"/>
                <w:sz w:val="18"/>
                <w:szCs w:val="18"/>
                <w:lang w:eastAsia="en-GB"/>
              </w:rPr>
            </w:pPr>
          </w:p>
        </w:tc>
        <w:tc>
          <w:tcPr>
            <w:tcW w:w="1028" w:type="dxa"/>
            <w:tcBorders>
              <w:top w:val="single" w:sz="8" w:space="0" w:color="000000"/>
              <w:left w:val="nil"/>
              <w:bottom w:val="nil"/>
              <w:right w:val="nil"/>
            </w:tcBorders>
            <w:noWrap/>
            <w:hideMark/>
          </w:tcPr>
          <w:p>
            <w:pPr>
              <w:spacing w:after="0"/>
              <w:jc w:val="right"/>
              <w:rPr>
                <w:rFonts w:eastAsia="Times New Roman"/>
                <w:noProof/>
                <w:color w:val="000000"/>
                <w:sz w:val="18"/>
                <w:szCs w:val="18"/>
              </w:rPr>
            </w:pPr>
            <w:r>
              <w:rPr>
                <w:noProof/>
                <w:color w:val="000000"/>
                <w:sz w:val="18"/>
                <w:szCs w:val="18"/>
              </w:rPr>
              <w:t xml:space="preserve"> </w:t>
            </w:r>
          </w:p>
        </w:tc>
        <w:tc>
          <w:tcPr>
            <w:tcW w:w="1019"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szCs w:val="18"/>
              </w:rPr>
              <w:t xml:space="preserve"> </w:t>
            </w:r>
          </w:p>
        </w:tc>
        <w:tc>
          <w:tcPr>
            <w:tcW w:w="1021" w:type="dxa"/>
            <w:tcBorders>
              <w:top w:val="single" w:sz="8" w:space="0" w:color="000000"/>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szCs w:val="18"/>
              </w:rPr>
              <w:t>Zones:</w:t>
            </w:r>
          </w:p>
        </w:tc>
        <w:tc>
          <w:tcPr>
            <w:tcW w:w="3051" w:type="dxa"/>
            <w:gridSpan w:val="3"/>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szCs w:val="18"/>
              </w:rPr>
              <w:t>9 et 10; eaux de l’Union de la zone Copace 34.1.1</w:t>
            </w:r>
          </w:p>
        </w:tc>
      </w:tr>
      <w:tr>
        <w:trPr>
          <w:trHeight w:val="269"/>
        </w:trPr>
        <w:tc>
          <w:tcPr>
            <w:tcW w:w="1028"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szCs w:val="18"/>
              </w:rPr>
              <w:t xml:space="preserve"> </w:t>
            </w:r>
          </w:p>
        </w:tc>
        <w:tc>
          <w:tcPr>
            <w:tcW w:w="3170" w:type="dxa"/>
            <w:gridSpan w:val="3"/>
            <w:tcBorders>
              <w:top w:val="nil"/>
              <w:left w:val="nil"/>
              <w:bottom w:val="single" w:sz="8" w:space="0" w:color="000000"/>
              <w:right w:val="nil"/>
            </w:tcBorders>
          </w:tcPr>
          <w:p>
            <w:pPr>
              <w:spacing w:after="0"/>
              <w:rPr>
                <w:rFonts w:eastAsia="Times New Roman"/>
                <w:i/>
                <w:iCs/>
                <w:noProof/>
                <w:sz w:val="18"/>
                <w:szCs w:val="18"/>
              </w:rPr>
            </w:pPr>
            <w:r>
              <w:rPr>
                <w:i/>
                <w:iCs/>
                <w:noProof/>
                <w:sz w:val="18"/>
                <w:szCs w:val="18"/>
              </w:rPr>
              <w:t>Engraulis encrasicolus</w:t>
            </w:r>
          </w:p>
          <w:p>
            <w:pPr>
              <w:spacing w:after="0"/>
              <w:rPr>
                <w:rFonts w:eastAsia="Times New Roman"/>
                <w:i/>
                <w:iCs/>
                <w:noProof/>
                <w:sz w:val="18"/>
                <w:szCs w:val="18"/>
                <w:lang w:eastAsia="en-GB"/>
              </w:rPr>
            </w:pPr>
          </w:p>
        </w:tc>
        <w:tc>
          <w:tcPr>
            <w:tcW w:w="1019" w:type="dxa"/>
            <w:tcBorders>
              <w:top w:val="nil"/>
              <w:left w:val="nil"/>
              <w:bottom w:val="single" w:sz="8" w:space="0" w:color="000000"/>
              <w:right w:val="nil"/>
            </w:tcBorders>
            <w:noWrap/>
            <w:hideMark/>
          </w:tcPr>
          <w:p>
            <w:pPr>
              <w:spacing w:after="0"/>
              <w:rPr>
                <w:rFonts w:eastAsia="Times New Roman"/>
                <w:i/>
                <w:iCs/>
                <w:noProof/>
                <w:color w:val="000000"/>
                <w:sz w:val="18"/>
                <w:szCs w:val="18"/>
              </w:rPr>
            </w:pPr>
            <w:r>
              <w:rPr>
                <w:i/>
                <w:iCs/>
                <w:noProof/>
                <w:color w:val="000000"/>
                <w:sz w:val="18"/>
                <w:szCs w:val="18"/>
              </w:rPr>
              <w:t xml:space="preserve"> </w:t>
            </w:r>
          </w:p>
        </w:tc>
        <w:tc>
          <w:tcPr>
            <w:tcW w:w="1021"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rPr>
            </w:pPr>
            <w:r>
              <w:rPr>
                <w:noProof/>
                <w:color w:val="000000"/>
                <w:sz w:val="18"/>
                <w:szCs w:val="18"/>
              </w:rPr>
              <w:t xml:space="preserve"> </w:t>
            </w:r>
          </w:p>
        </w:tc>
        <w:tc>
          <w:tcPr>
            <w:tcW w:w="2004" w:type="dxa"/>
            <w:gridSpan w:val="2"/>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szCs w:val="18"/>
              </w:rPr>
              <w:t>(ANE/9/3411)</w:t>
            </w:r>
          </w:p>
        </w:tc>
        <w:tc>
          <w:tcPr>
            <w:tcW w:w="1047"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szCs w:val="18"/>
              </w:rPr>
              <w:t xml:space="preserve"> </w:t>
            </w:r>
          </w:p>
        </w:tc>
      </w:tr>
      <w:tr>
        <w:trPr>
          <w:trHeight w:val="269"/>
        </w:trPr>
        <w:tc>
          <w:tcPr>
            <w:tcW w:w="1028" w:type="dxa"/>
            <w:noWrap/>
            <w:hideMark/>
          </w:tcPr>
          <w:p>
            <w:pPr>
              <w:spacing w:after="0"/>
              <w:rPr>
                <w:rFonts w:eastAsia="Times New Roman"/>
                <w:noProof/>
                <w:color w:val="000000"/>
                <w:sz w:val="18"/>
                <w:szCs w:val="18"/>
              </w:rPr>
            </w:pPr>
            <w:r>
              <w:rPr>
                <w:noProof/>
                <w:color w:val="000000"/>
                <w:sz w:val="18"/>
                <w:szCs w:val="18"/>
              </w:rPr>
              <w:t>Espagne</w:t>
            </w:r>
          </w:p>
        </w:tc>
        <w:tc>
          <w:tcPr>
            <w:tcW w:w="1115" w:type="dxa"/>
            <w:noWrap/>
            <w:hideMark/>
          </w:tcPr>
          <w:p>
            <w:pPr>
              <w:spacing w:after="0"/>
              <w:rPr>
                <w:rFonts w:eastAsia="Times New Roman"/>
                <w:noProof/>
                <w:sz w:val="18"/>
                <w:szCs w:val="18"/>
              </w:rPr>
            </w:pPr>
            <w:r>
              <w:rPr>
                <w:noProof/>
                <w:sz w:val="18"/>
                <w:szCs w:val="18"/>
              </w:rPr>
              <w:t xml:space="preserve"> </w:t>
            </w:r>
          </w:p>
        </w:tc>
        <w:tc>
          <w:tcPr>
            <w:tcW w:w="1027" w:type="dxa"/>
          </w:tcPr>
          <w:p>
            <w:pPr>
              <w:spacing w:after="0"/>
              <w:jc w:val="right"/>
              <w:rPr>
                <w:rFonts w:eastAsia="Times New Roman"/>
                <w:noProof/>
                <w:color w:val="000000"/>
                <w:sz w:val="18"/>
                <w:szCs w:val="18"/>
                <w:lang w:eastAsia="en-GB"/>
              </w:rPr>
            </w:pPr>
          </w:p>
        </w:tc>
        <w:tc>
          <w:tcPr>
            <w:tcW w:w="1028" w:type="dxa"/>
            <w:noWrap/>
            <w:hideMark/>
          </w:tcPr>
          <w:p>
            <w:pPr>
              <w:spacing w:after="0"/>
              <w:jc w:val="right"/>
              <w:rPr>
                <w:rFonts w:eastAsia="Times New Roman"/>
                <w:noProof/>
                <w:color w:val="000000"/>
                <w:sz w:val="18"/>
                <w:szCs w:val="18"/>
              </w:rPr>
            </w:pPr>
            <w:r>
              <w:rPr>
                <w:noProof/>
                <w:color w:val="000000"/>
                <w:sz w:val="18"/>
                <w:szCs w:val="18"/>
              </w:rPr>
              <w:t>1 922</w:t>
            </w:r>
          </w:p>
        </w:tc>
        <w:tc>
          <w:tcPr>
            <w:tcW w:w="1019" w:type="dxa"/>
            <w:noWrap/>
            <w:hideMark/>
          </w:tcPr>
          <w:p>
            <w:pPr>
              <w:spacing w:after="0"/>
              <w:rPr>
                <w:rFonts w:eastAsia="Times New Roman"/>
                <w:noProof/>
                <w:color w:val="000000"/>
                <w:sz w:val="18"/>
                <w:szCs w:val="18"/>
              </w:rPr>
            </w:pPr>
            <w:r>
              <w:rPr>
                <w:noProof/>
                <w:color w:val="000000"/>
                <w:sz w:val="18"/>
                <w:szCs w:val="18"/>
                <w:vertAlign w:val="superscript"/>
              </w:rPr>
              <w:t>1)</w:t>
            </w:r>
          </w:p>
        </w:tc>
        <w:tc>
          <w:tcPr>
            <w:tcW w:w="1977"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szCs w:val="18"/>
              </w:rPr>
              <w:t>TAC de précaution</w:t>
            </w:r>
          </w:p>
        </w:tc>
        <w:tc>
          <w:tcPr>
            <w:tcW w:w="1048" w:type="dxa"/>
            <w:noWrap/>
            <w:hideMark/>
          </w:tcPr>
          <w:p>
            <w:pPr>
              <w:spacing w:after="0"/>
              <w:rPr>
                <w:rFonts w:eastAsia="Times New Roman"/>
                <w:noProof/>
                <w:color w:val="000000"/>
                <w:sz w:val="18"/>
                <w:szCs w:val="18"/>
              </w:rPr>
            </w:pPr>
            <w:r>
              <w:rPr>
                <w:noProof/>
                <w:color w:val="000000"/>
                <w:sz w:val="18"/>
                <w:szCs w:val="18"/>
              </w:rPr>
              <w:t xml:space="preserve"> </w:t>
            </w:r>
          </w:p>
        </w:tc>
        <w:tc>
          <w:tcPr>
            <w:tcW w:w="1047" w:type="dxa"/>
            <w:noWrap/>
            <w:hideMark/>
          </w:tcPr>
          <w:p>
            <w:pPr>
              <w:spacing w:after="0"/>
              <w:rPr>
                <w:rFonts w:eastAsia="Times New Roman"/>
                <w:noProof/>
                <w:color w:val="000000"/>
                <w:sz w:val="18"/>
                <w:szCs w:val="18"/>
              </w:rPr>
            </w:pPr>
            <w:r>
              <w:rPr>
                <w:noProof/>
                <w:color w:val="000000"/>
                <w:sz w:val="18"/>
                <w:szCs w:val="18"/>
              </w:rPr>
              <w:t xml:space="preserve"> </w:t>
            </w:r>
          </w:p>
        </w:tc>
      </w:tr>
      <w:tr>
        <w:trPr>
          <w:trHeight w:val="269"/>
        </w:trPr>
        <w:tc>
          <w:tcPr>
            <w:tcW w:w="1028" w:type="dxa"/>
            <w:noWrap/>
            <w:hideMark/>
          </w:tcPr>
          <w:p>
            <w:pPr>
              <w:spacing w:after="0"/>
              <w:rPr>
                <w:rFonts w:eastAsia="Times New Roman"/>
                <w:noProof/>
                <w:color w:val="000000"/>
                <w:sz w:val="18"/>
                <w:szCs w:val="18"/>
              </w:rPr>
            </w:pPr>
            <w:r>
              <w:rPr>
                <w:noProof/>
                <w:color w:val="000000"/>
                <w:sz w:val="18"/>
                <w:szCs w:val="18"/>
              </w:rPr>
              <w:t>Portugal</w:t>
            </w:r>
          </w:p>
        </w:tc>
        <w:tc>
          <w:tcPr>
            <w:tcW w:w="1115" w:type="dxa"/>
            <w:noWrap/>
            <w:hideMark/>
          </w:tcPr>
          <w:p>
            <w:pPr>
              <w:rPr>
                <w:rFonts w:eastAsia="Times New Roman"/>
                <w:noProof/>
                <w:color w:val="000000"/>
                <w:sz w:val="18"/>
                <w:szCs w:val="18"/>
                <w:lang w:eastAsia="en-GB"/>
              </w:rPr>
            </w:pPr>
          </w:p>
        </w:tc>
        <w:tc>
          <w:tcPr>
            <w:tcW w:w="1027" w:type="dxa"/>
          </w:tcPr>
          <w:p>
            <w:pPr>
              <w:spacing w:after="0"/>
              <w:jc w:val="right"/>
              <w:rPr>
                <w:rFonts w:eastAsia="Times New Roman"/>
                <w:noProof/>
                <w:color w:val="000000"/>
                <w:sz w:val="18"/>
                <w:szCs w:val="18"/>
                <w:lang w:eastAsia="en-GB"/>
              </w:rPr>
            </w:pPr>
          </w:p>
        </w:tc>
        <w:tc>
          <w:tcPr>
            <w:tcW w:w="1028" w:type="dxa"/>
            <w:noWrap/>
            <w:hideMark/>
          </w:tcPr>
          <w:p>
            <w:pPr>
              <w:spacing w:after="0"/>
              <w:jc w:val="right"/>
              <w:rPr>
                <w:rFonts w:eastAsia="Times New Roman"/>
                <w:noProof/>
                <w:color w:val="000000"/>
                <w:sz w:val="18"/>
                <w:szCs w:val="18"/>
              </w:rPr>
            </w:pPr>
            <w:r>
              <w:rPr>
                <w:noProof/>
                <w:color w:val="000000"/>
                <w:sz w:val="18"/>
                <w:szCs w:val="18"/>
              </w:rPr>
              <w:t>2 096</w:t>
            </w:r>
          </w:p>
        </w:tc>
        <w:tc>
          <w:tcPr>
            <w:tcW w:w="1019" w:type="dxa"/>
            <w:noWrap/>
            <w:hideMark/>
          </w:tcPr>
          <w:p>
            <w:pPr>
              <w:spacing w:after="0"/>
              <w:rPr>
                <w:rFonts w:eastAsia="Times New Roman"/>
                <w:noProof/>
                <w:color w:val="000000"/>
                <w:sz w:val="18"/>
                <w:szCs w:val="18"/>
              </w:rPr>
            </w:pPr>
            <w:r>
              <w:rPr>
                <w:noProof/>
                <w:color w:val="000000"/>
                <w:sz w:val="18"/>
                <w:szCs w:val="18"/>
                <w:vertAlign w:val="superscript"/>
              </w:rPr>
              <w:t>1)</w:t>
            </w:r>
          </w:p>
        </w:tc>
        <w:tc>
          <w:tcPr>
            <w:tcW w:w="1021" w:type="dxa"/>
            <w:noWrap/>
            <w:hideMark/>
          </w:tcPr>
          <w:p>
            <w:pPr>
              <w:rPr>
                <w:rFonts w:eastAsia="Times New Roman"/>
                <w:noProof/>
                <w:color w:val="000000"/>
                <w:sz w:val="18"/>
                <w:szCs w:val="18"/>
                <w:lang w:eastAsia="en-GB"/>
              </w:rPr>
            </w:pPr>
          </w:p>
        </w:tc>
        <w:tc>
          <w:tcPr>
            <w:tcW w:w="956" w:type="dxa"/>
            <w:noWrap/>
            <w:hideMark/>
          </w:tcPr>
          <w:p>
            <w:pPr>
              <w:spacing w:after="0"/>
              <w:rPr>
                <w:rFonts w:asciiTheme="minorHAnsi" w:hAnsiTheme="minorHAnsi" w:cstheme="minorBidi"/>
                <w:noProof/>
                <w:sz w:val="20"/>
                <w:szCs w:val="20"/>
                <w:lang w:eastAsia="en-GB"/>
              </w:rPr>
            </w:pPr>
          </w:p>
        </w:tc>
        <w:tc>
          <w:tcPr>
            <w:tcW w:w="1048" w:type="dxa"/>
            <w:noWrap/>
            <w:hideMark/>
          </w:tcPr>
          <w:p>
            <w:pPr>
              <w:spacing w:after="0"/>
              <w:rPr>
                <w:rFonts w:asciiTheme="minorHAnsi" w:hAnsiTheme="minorHAnsi" w:cstheme="minorBidi"/>
                <w:noProof/>
                <w:sz w:val="20"/>
                <w:szCs w:val="20"/>
                <w:lang w:eastAsia="en-GB"/>
              </w:rPr>
            </w:pPr>
          </w:p>
        </w:tc>
        <w:tc>
          <w:tcPr>
            <w:tcW w:w="1047" w:type="dxa"/>
            <w:noWrap/>
            <w:hideMark/>
          </w:tcPr>
          <w:p>
            <w:pPr>
              <w:spacing w:after="0"/>
              <w:rPr>
                <w:rFonts w:asciiTheme="minorHAnsi" w:hAnsiTheme="minorHAnsi" w:cstheme="minorBidi"/>
                <w:noProof/>
                <w:sz w:val="20"/>
                <w:szCs w:val="20"/>
                <w:lang w:eastAsia="en-GB"/>
              </w:rPr>
            </w:pPr>
          </w:p>
        </w:tc>
      </w:tr>
      <w:tr>
        <w:trPr>
          <w:trHeight w:val="269"/>
        </w:trPr>
        <w:tc>
          <w:tcPr>
            <w:tcW w:w="1028" w:type="dxa"/>
            <w:noWrap/>
            <w:hideMark/>
          </w:tcPr>
          <w:p>
            <w:pPr>
              <w:spacing w:after="0"/>
              <w:rPr>
                <w:rFonts w:eastAsia="Times New Roman"/>
                <w:noProof/>
                <w:color w:val="000000"/>
                <w:sz w:val="18"/>
                <w:szCs w:val="18"/>
              </w:rPr>
            </w:pPr>
            <w:r>
              <w:rPr>
                <w:noProof/>
                <w:color w:val="000000"/>
                <w:sz w:val="18"/>
                <w:szCs w:val="18"/>
              </w:rPr>
              <w:t>Union</w:t>
            </w:r>
          </w:p>
        </w:tc>
        <w:tc>
          <w:tcPr>
            <w:tcW w:w="1115" w:type="dxa"/>
            <w:noWrap/>
            <w:hideMark/>
          </w:tcPr>
          <w:p>
            <w:pPr>
              <w:rPr>
                <w:rFonts w:eastAsia="Times New Roman"/>
                <w:noProof/>
                <w:color w:val="000000"/>
                <w:sz w:val="18"/>
                <w:szCs w:val="18"/>
                <w:lang w:eastAsia="en-GB"/>
              </w:rPr>
            </w:pPr>
          </w:p>
        </w:tc>
        <w:tc>
          <w:tcPr>
            <w:tcW w:w="1027" w:type="dxa"/>
          </w:tcPr>
          <w:p>
            <w:pPr>
              <w:spacing w:after="0"/>
              <w:jc w:val="right"/>
              <w:rPr>
                <w:rFonts w:eastAsia="Times New Roman"/>
                <w:noProof/>
                <w:color w:val="000000"/>
                <w:sz w:val="18"/>
                <w:szCs w:val="18"/>
                <w:lang w:eastAsia="en-GB"/>
              </w:rPr>
            </w:pPr>
          </w:p>
        </w:tc>
        <w:tc>
          <w:tcPr>
            <w:tcW w:w="1028" w:type="dxa"/>
            <w:noWrap/>
            <w:hideMark/>
          </w:tcPr>
          <w:p>
            <w:pPr>
              <w:spacing w:after="0"/>
              <w:jc w:val="right"/>
              <w:rPr>
                <w:rFonts w:eastAsia="Times New Roman"/>
                <w:noProof/>
                <w:color w:val="000000"/>
                <w:sz w:val="18"/>
                <w:szCs w:val="18"/>
              </w:rPr>
            </w:pPr>
            <w:r>
              <w:rPr>
                <w:noProof/>
                <w:color w:val="000000"/>
                <w:sz w:val="18"/>
                <w:szCs w:val="18"/>
              </w:rPr>
              <w:t>4 018</w:t>
            </w:r>
          </w:p>
        </w:tc>
        <w:tc>
          <w:tcPr>
            <w:tcW w:w="1019" w:type="dxa"/>
            <w:noWrap/>
            <w:hideMark/>
          </w:tcPr>
          <w:p>
            <w:pPr>
              <w:spacing w:after="0"/>
              <w:rPr>
                <w:rFonts w:eastAsia="Times New Roman"/>
                <w:noProof/>
                <w:color w:val="000000"/>
                <w:sz w:val="18"/>
                <w:szCs w:val="18"/>
              </w:rPr>
            </w:pPr>
            <w:r>
              <w:rPr>
                <w:noProof/>
                <w:color w:val="000000"/>
                <w:sz w:val="18"/>
                <w:szCs w:val="18"/>
                <w:vertAlign w:val="superscript"/>
              </w:rPr>
              <w:t>1)</w:t>
            </w:r>
          </w:p>
        </w:tc>
        <w:tc>
          <w:tcPr>
            <w:tcW w:w="1021" w:type="dxa"/>
            <w:noWrap/>
            <w:hideMark/>
          </w:tcPr>
          <w:p>
            <w:pPr>
              <w:rPr>
                <w:rFonts w:eastAsia="Times New Roman"/>
                <w:noProof/>
                <w:color w:val="000000"/>
                <w:sz w:val="18"/>
                <w:szCs w:val="18"/>
                <w:lang w:eastAsia="en-GB"/>
              </w:rPr>
            </w:pPr>
          </w:p>
        </w:tc>
        <w:tc>
          <w:tcPr>
            <w:tcW w:w="956" w:type="dxa"/>
            <w:noWrap/>
            <w:hideMark/>
          </w:tcPr>
          <w:p>
            <w:pPr>
              <w:spacing w:after="0"/>
              <w:rPr>
                <w:rFonts w:asciiTheme="minorHAnsi" w:hAnsiTheme="minorHAnsi" w:cstheme="minorBidi"/>
                <w:noProof/>
                <w:sz w:val="20"/>
                <w:szCs w:val="20"/>
                <w:lang w:eastAsia="en-GB"/>
              </w:rPr>
            </w:pPr>
          </w:p>
        </w:tc>
        <w:tc>
          <w:tcPr>
            <w:tcW w:w="1048" w:type="dxa"/>
            <w:noWrap/>
            <w:hideMark/>
          </w:tcPr>
          <w:p>
            <w:pPr>
              <w:spacing w:after="0"/>
              <w:rPr>
                <w:rFonts w:asciiTheme="minorHAnsi" w:hAnsiTheme="minorHAnsi" w:cstheme="minorBidi"/>
                <w:noProof/>
                <w:sz w:val="20"/>
                <w:szCs w:val="20"/>
                <w:lang w:eastAsia="en-GB"/>
              </w:rPr>
            </w:pPr>
          </w:p>
        </w:tc>
        <w:tc>
          <w:tcPr>
            <w:tcW w:w="1047" w:type="dxa"/>
            <w:noWrap/>
            <w:hideMark/>
          </w:tcPr>
          <w:p>
            <w:pPr>
              <w:spacing w:after="0"/>
              <w:rPr>
                <w:rFonts w:asciiTheme="minorHAnsi" w:hAnsiTheme="minorHAnsi" w:cstheme="minorBidi"/>
                <w:noProof/>
                <w:sz w:val="20"/>
                <w:szCs w:val="20"/>
                <w:lang w:eastAsia="en-GB"/>
              </w:rPr>
            </w:pPr>
          </w:p>
        </w:tc>
      </w:tr>
      <w:tr>
        <w:trPr>
          <w:trHeight w:val="254"/>
        </w:trPr>
        <w:tc>
          <w:tcPr>
            <w:tcW w:w="1028" w:type="dxa"/>
            <w:noWrap/>
            <w:hideMark/>
          </w:tcPr>
          <w:p>
            <w:pPr>
              <w:spacing w:after="0"/>
              <w:rPr>
                <w:rFonts w:asciiTheme="minorHAnsi" w:hAnsiTheme="minorHAnsi" w:cstheme="minorBidi"/>
                <w:noProof/>
                <w:sz w:val="20"/>
                <w:szCs w:val="20"/>
                <w:lang w:eastAsia="en-GB"/>
              </w:rPr>
            </w:pPr>
          </w:p>
        </w:tc>
        <w:tc>
          <w:tcPr>
            <w:tcW w:w="1115" w:type="dxa"/>
            <w:noWrap/>
            <w:hideMark/>
          </w:tcPr>
          <w:p>
            <w:pPr>
              <w:spacing w:after="0"/>
              <w:rPr>
                <w:rFonts w:asciiTheme="minorHAnsi" w:hAnsiTheme="minorHAnsi" w:cstheme="minorBidi"/>
                <w:noProof/>
                <w:sz w:val="20"/>
                <w:szCs w:val="20"/>
                <w:lang w:eastAsia="en-GB"/>
              </w:rPr>
            </w:pPr>
          </w:p>
        </w:tc>
        <w:tc>
          <w:tcPr>
            <w:tcW w:w="1027" w:type="dxa"/>
          </w:tcPr>
          <w:p>
            <w:pPr>
              <w:spacing w:after="0"/>
              <w:rPr>
                <w:rFonts w:asciiTheme="minorHAnsi" w:hAnsiTheme="minorHAnsi" w:cstheme="minorBidi"/>
                <w:noProof/>
                <w:sz w:val="20"/>
                <w:szCs w:val="20"/>
                <w:lang w:eastAsia="en-GB"/>
              </w:rPr>
            </w:pPr>
          </w:p>
        </w:tc>
        <w:tc>
          <w:tcPr>
            <w:tcW w:w="1028" w:type="dxa"/>
            <w:noWrap/>
            <w:hideMark/>
          </w:tcPr>
          <w:p>
            <w:pPr>
              <w:spacing w:after="0"/>
              <w:rPr>
                <w:rFonts w:asciiTheme="minorHAnsi" w:hAnsiTheme="minorHAnsi" w:cstheme="minorBidi"/>
                <w:noProof/>
                <w:sz w:val="20"/>
                <w:szCs w:val="20"/>
                <w:lang w:eastAsia="en-GB"/>
              </w:rPr>
            </w:pPr>
          </w:p>
        </w:tc>
        <w:tc>
          <w:tcPr>
            <w:tcW w:w="1019" w:type="dxa"/>
            <w:noWrap/>
            <w:hideMark/>
          </w:tcPr>
          <w:p>
            <w:pPr>
              <w:spacing w:after="0"/>
              <w:rPr>
                <w:rFonts w:asciiTheme="minorHAnsi" w:hAnsiTheme="minorHAnsi" w:cstheme="minorBidi"/>
                <w:noProof/>
                <w:sz w:val="20"/>
                <w:szCs w:val="20"/>
                <w:lang w:eastAsia="en-GB"/>
              </w:rPr>
            </w:pPr>
          </w:p>
        </w:tc>
        <w:tc>
          <w:tcPr>
            <w:tcW w:w="1021" w:type="dxa"/>
            <w:noWrap/>
            <w:hideMark/>
          </w:tcPr>
          <w:p>
            <w:pPr>
              <w:spacing w:after="0"/>
              <w:rPr>
                <w:rFonts w:asciiTheme="minorHAnsi" w:hAnsiTheme="minorHAnsi" w:cstheme="minorBidi"/>
                <w:noProof/>
                <w:sz w:val="20"/>
                <w:szCs w:val="20"/>
                <w:lang w:eastAsia="en-GB"/>
              </w:rPr>
            </w:pPr>
          </w:p>
        </w:tc>
        <w:tc>
          <w:tcPr>
            <w:tcW w:w="956" w:type="dxa"/>
            <w:noWrap/>
            <w:hideMark/>
          </w:tcPr>
          <w:p>
            <w:pPr>
              <w:spacing w:after="0"/>
              <w:rPr>
                <w:rFonts w:asciiTheme="minorHAnsi" w:hAnsiTheme="minorHAnsi" w:cstheme="minorBidi"/>
                <w:noProof/>
                <w:sz w:val="20"/>
                <w:szCs w:val="20"/>
                <w:lang w:eastAsia="en-GB"/>
              </w:rPr>
            </w:pPr>
          </w:p>
        </w:tc>
        <w:tc>
          <w:tcPr>
            <w:tcW w:w="1048" w:type="dxa"/>
            <w:noWrap/>
            <w:hideMark/>
          </w:tcPr>
          <w:p>
            <w:pPr>
              <w:spacing w:after="0"/>
              <w:rPr>
                <w:rFonts w:asciiTheme="minorHAnsi" w:hAnsiTheme="minorHAnsi" w:cstheme="minorBidi"/>
                <w:noProof/>
                <w:sz w:val="20"/>
                <w:szCs w:val="20"/>
                <w:lang w:eastAsia="en-GB"/>
              </w:rPr>
            </w:pPr>
          </w:p>
        </w:tc>
        <w:tc>
          <w:tcPr>
            <w:tcW w:w="1047" w:type="dxa"/>
            <w:noWrap/>
            <w:hideMark/>
          </w:tcPr>
          <w:p>
            <w:pPr>
              <w:spacing w:after="0"/>
              <w:rPr>
                <w:rFonts w:asciiTheme="minorHAnsi" w:hAnsiTheme="minorHAnsi" w:cstheme="minorBidi"/>
                <w:noProof/>
                <w:sz w:val="20"/>
                <w:szCs w:val="20"/>
                <w:lang w:eastAsia="en-GB"/>
              </w:rPr>
            </w:pPr>
          </w:p>
        </w:tc>
      </w:tr>
      <w:tr>
        <w:trPr>
          <w:trHeight w:val="269"/>
        </w:trPr>
        <w:tc>
          <w:tcPr>
            <w:tcW w:w="1028" w:type="dxa"/>
            <w:noWrap/>
            <w:hideMark/>
          </w:tcPr>
          <w:p>
            <w:pPr>
              <w:spacing w:after="0"/>
              <w:rPr>
                <w:rFonts w:eastAsia="Times New Roman"/>
                <w:noProof/>
                <w:color w:val="000000"/>
                <w:sz w:val="18"/>
                <w:szCs w:val="18"/>
              </w:rPr>
            </w:pPr>
            <w:r>
              <w:rPr>
                <w:noProof/>
                <w:color w:val="000000"/>
                <w:sz w:val="18"/>
                <w:szCs w:val="18"/>
              </w:rPr>
              <w:t>TAC</w:t>
            </w:r>
          </w:p>
        </w:tc>
        <w:tc>
          <w:tcPr>
            <w:tcW w:w="1115" w:type="dxa"/>
            <w:noWrap/>
            <w:hideMark/>
          </w:tcPr>
          <w:p>
            <w:pPr>
              <w:rPr>
                <w:rFonts w:eastAsia="Times New Roman"/>
                <w:noProof/>
                <w:color w:val="000000"/>
                <w:sz w:val="18"/>
                <w:szCs w:val="18"/>
                <w:lang w:eastAsia="en-GB"/>
              </w:rPr>
            </w:pPr>
          </w:p>
        </w:tc>
        <w:tc>
          <w:tcPr>
            <w:tcW w:w="1027" w:type="dxa"/>
          </w:tcPr>
          <w:p>
            <w:pPr>
              <w:spacing w:after="0"/>
              <w:jc w:val="right"/>
              <w:rPr>
                <w:rFonts w:eastAsia="Times New Roman"/>
                <w:noProof/>
                <w:color w:val="000000"/>
                <w:sz w:val="18"/>
                <w:szCs w:val="18"/>
                <w:lang w:eastAsia="en-GB"/>
              </w:rPr>
            </w:pPr>
          </w:p>
        </w:tc>
        <w:tc>
          <w:tcPr>
            <w:tcW w:w="1028" w:type="dxa"/>
            <w:noWrap/>
            <w:hideMark/>
          </w:tcPr>
          <w:p>
            <w:pPr>
              <w:spacing w:after="0"/>
              <w:jc w:val="right"/>
              <w:rPr>
                <w:rFonts w:eastAsia="Times New Roman"/>
                <w:noProof/>
                <w:color w:val="000000"/>
                <w:sz w:val="18"/>
                <w:szCs w:val="18"/>
              </w:rPr>
            </w:pPr>
            <w:r>
              <w:rPr>
                <w:noProof/>
                <w:color w:val="000000"/>
                <w:sz w:val="18"/>
                <w:szCs w:val="18"/>
              </w:rPr>
              <w:t>4 018</w:t>
            </w:r>
          </w:p>
        </w:tc>
        <w:tc>
          <w:tcPr>
            <w:tcW w:w="1019" w:type="dxa"/>
            <w:noWrap/>
            <w:hideMark/>
          </w:tcPr>
          <w:p>
            <w:pPr>
              <w:spacing w:after="0"/>
              <w:rPr>
                <w:rFonts w:eastAsia="Times New Roman"/>
                <w:noProof/>
                <w:color w:val="000000"/>
                <w:sz w:val="18"/>
                <w:szCs w:val="18"/>
              </w:rPr>
            </w:pPr>
            <w:r>
              <w:rPr>
                <w:noProof/>
                <w:color w:val="000000"/>
                <w:sz w:val="18"/>
                <w:szCs w:val="18"/>
                <w:vertAlign w:val="superscript"/>
              </w:rPr>
              <w:t>(1)</w:t>
            </w:r>
            <w:r>
              <w:rPr>
                <w:noProof/>
                <w:color w:val="000000"/>
                <w:sz w:val="18"/>
                <w:szCs w:val="18"/>
              </w:rPr>
              <w:t xml:space="preserve"> »</w:t>
            </w:r>
          </w:p>
        </w:tc>
        <w:tc>
          <w:tcPr>
            <w:tcW w:w="1021" w:type="dxa"/>
            <w:noWrap/>
            <w:hideMark/>
          </w:tcPr>
          <w:p>
            <w:pPr>
              <w:rPr>
                <w:rFonts w:eastAsia="Times New Roman"/>
                <w:noProof/>
                <w:color w:val="000000"/>
                <w:sz w:val="18"/>
                <w:szCs w:val="18"/>
                <w:lang w:eastAsia="en-GB"/>
              </w:rPr>
            </w:pPr>
          </w:p>
        </w:tc>
        <w:tc>
          <w:tcPr>
            <w:tcW w:w="956" w:type="dxa"/>
            <w:noWrap/>
            <w:hideMark/>
          </w:tcPr>
          <w:p>
            <w:pPr>
              <w:spacing w:after="0"/>
              <w:rPr>
                <w:rFonts w:asciiTheme="minorHAnsi" w:hAnsiTheme="minorHAnsi" w:cstheme="minorBidi"/>
                <w:noProof/>
                <w:sz w:val="20"/>
                <w:szCs w:val="20"/>
                <w:lang w:eastAsia="en-GB"/>
              </w:rPr>
            </w:pPr>
          </w:p>
        </w:tc>
        <w:tc>
          <w:tcPr>
            <w:tcW w:w="1048" w:type="dxa"/>
            <w:noWrap/>
            <w:hideMark/>
          </w:tcPr>
          <w:p>
            <w:pPr>
              <w:spacing w:after="0"/>
              <w:rPr>
                <w:rFonts w:asciiTheme="minorHAnsi" w:hAnsiTheme="minorHAnsi" w:cstheme="minorBidi"/>
                <w:noProof/>
                <w:sz w:val="20"/>
                <w:szCs w:val="20"/>
                <w:lang w:eastAsia="en-GB"/>
              </w:rPr>
            </w:pPr>
          </w:p>
        </w:tc>
        <w:tc>
          <w:tcPr>
            <w:tcW w:w="1047" w:type="dxa"/>
            <w:noWrap/>
            <w:hideMark/>
          </w:tcPr>
          <w:p>
            <w:pPr>
              <w:spacing w:after="0"/>
              <w:rPr>
                <w:rFonts w:asciiTheme="minorHAnsi" w:hAnsiTheme="minorHAnsi" w:cstheme="minorBidi"/>
                <w:noProof/>
                <w:sz w:val="20"/>
                <w:szCs w:val="20"/>
                <w:lang w:eastAsia="en-GB"/>
              </w:rPr>
            </w:pPr>
          </w:p>
        </w:tc>
      </w:tr>
      <w:tr>
        <w:trPr>
          <w:trHeight w:val="284"/>
        </w:trPr>
        <w:tc>
          <w:tcPr>
            <w:tcW w:w="1028" w:type="dxa"/>
            <w:tcBorders>
              <w:bottom w:val="single" w:sz="8" w:space="0" w:color="000000"/>
            </w:tcBorders>
            <w:noWrap/>
            <w:hideMark/>
          </w:tcPr>
          <w:p>
            <w:pPr>
              <w:spacing w:after="0"/>
              <w:rPr>
                <w:rFonts w:eastAsia="Times New Roman"/>
                <w:noProof/>
                <w:color w:val="000000"/>
                <w:sz w:val="18"/>
                <w:szCs w:val="18"/>
              </w:rPr>
            </w:pPr>
            <w:r>
              <w:rPr>
                <w:noProof/>
                <w:color w:val="000000"/>
                <w:sz w:val="18"/>
                <w:szCs w:val="18"/>
                <w:vertAlign w:val="superscript"/>
              </w:rPr>
              <w:t>1)</w:t>
            </w:r>
          </w:p>
        </w:tc>
        <w:tc>
          <w:tcPr>
            <w:tcW w:w="8261" w:type="dxa"/>
            <w:gridSpan w:val="8"/>
            <w:tcBorders>
              <w:bottom w:val="single" w:sz="8" w:space="0" w:color="000000"/>
            </w:tcBorders>
          </w:tcPr>
          <w:p>
            <w:pPr>
              <w:spacing w:after="0"/>
              <w:rPr>
                <w:rFonts w:asciiTheme="minorHAnsi" w:hAnsiTheme="minorHAnsi" w:cstheme="minorBidi"/>
                <w:noProof/>
                <w:sz w:val="20"/>
                <w:szCs w:val="20"/>
              </w:rPr>
            </w:pPr>
            <w:r>
              <w:rPr>
                <w:noProof/>
                <w:sz w:val="18"/>
                <w:szCs w:val="18"/>
                <w:vertAlign w:val="superscript"/>
              </w:rPr>
              <w:t>Le quota ne peut être pêché que du 1er juillet 2020 au 30 juin 2021.</w:t>
            </w:r>
          </w:p>
        </w:tc>
      </w:tr>
    </w:tbl>
    <w:p>
      <w:pPr>
        <w:rPr>
          <w:noProof/>
        </w:rPr>
      </w:pPr>
      <w:r>
        <w:rPr>
          <w:noProof/>
        </w:rPr>
        <w:t>;</w:t>
      </w:r>
    </w:p>
    <w:p>
      <w:pPr>
        <w:pStyle w:val="Point1letter"/>
        <w:rPr>
          <w:noProof/>
        </w:rPr>
      </w:pPr>
      <w:r>
        <w:rPr>
          <w:noProof/>
        </w:rPr>
        <w:tab/>
        <w:t>le tableau des possibilités de pêche pour le hareng commun dans les eaux de l’Union et les eaux norvégiennes de la zone 4 au nord de 53° 30′ N est remplacé par le tableau suivant:</w:t>
      </w:r>
    </w:p>
    <w:tbl>
      <w:tblPr>
        <w:tblW w:w="9289" w:type="dxa"/>
        <w:tblLook w:val="04A0" w:firstRow="1" w:lastRow="0" w:firstColumn="1" w:lastColumn="0" w:noHBand="0" w:noVBand="1"/>
      </w:tblPr>
      <w:tblGrid>
        <w:gridCol w:w="1291"/>
        <w:gridCol w:w="1137"/>
        <w:gridCol w:w="1250"/>
        <w:gridCol w:w="380"/>
        <w:gridCol w:w="639"/>
        <w:gridCol w:w="1544"/>
        <w:gridCol w:w="1544"/>
        <w:gridCol w:w="1504"/>
      </w:tblGrid>
      <w:tr>
        <w:trPr>
          <w:trHeight w:val="214"/>
        </w:trPr>
        <w:tc>
          <w:tcPr>
            <w:tcW w:w="1510" w:type="dxa"/>
            <w:tcBorders>
              <w:top w:val="single" w:sz="4" w:space="0" w:color="auto"/>
              <w:left w:val="nil"/>
              <w:bottom w:val="nil"/>
              <w:right w:val="nil"/>
            </w:tcBorders>
            <w:shd w:val="clear" w:color="auto" w:fill="auto"/>
            <w:noWrap/>
            <w:hideMark/>
          </w:tcPr>
          <w:p>
            <w:pPr>
              <w:spacing w:before="0" w:after="160" w:line="259" w:lineRule="auto"/>
              <w:rPr>
                <w:noProof/>
                <w:sz w:val="18"/>
                <w:szCs w:val="18"/>
              </w:rPr>
            </w:pPr>
            <w:r>
              <w:rPr>
                <w:noProof/>
                <w:sz w:val="18"/>
                <w:szCs w:val="18"/>
              </w:rPr>
              <w:t>«Espèce:</w:t>
            </w:r>
          </w:p>
        </w:tc>
        <w:tc>
          <w:tcPr>
            <w:tcW w:w="1307" w:type="dxa"/>
            <w:tcBorders>
              <w:top w:val="single" w:sz="4" w:space="0" w:color="auto"/>
              <w:left w:val="nil"/>
              <w:bottom w:val="nil"/>
              <w:right w:val="nil"/>
            </w:tcBorders>
            <w:shd w:val="clear" w:color="auto" w:fill="auto"/>
            <w:noWrap/>
            <w:hideMark/>
          </w:tcPr>
          <w:p>
            <w:pPr>
              <w:spacing w:before="0" w:after="160" w:line="259" w:lineRule="auto"/>
              <w:rPr>
                <w:noProof/>
                <w:sz w:val="18"/>
                <w:szCs w:val="18"/>
              </w:rPr>
            </w:pPr>
            <w:r>
              <w:rPr>
                <w:noProof/>
                <w:sz w:val="18"/>
                <w:szCs w:val="18"/>
              </w:rPr>
              <w:t>Hareng commun</w:t>
            </w:r>
            <w:r>
              <w:rPr>
                <w:b/>
                <w:bCs/>
                <w:noProof/>
                <w:sz w:val="18"/>
                <w:szCs w:val="18"/>
                <w:vertAlign w:val="superscript"/>
              </w:rPr>
              <w:t>(1)</w:t>
            </w:r>
          </w:p>
        </w:tc>
        <w:tc>
          <w:tcPr>
            <w:tcW w:w="0" w:type="auto"/>
            <w:tcBorders>
              <w:top w:val="single" w:sz="4" w:space="0" w:color="auto"/>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single" w:sz="4" w:space="0" w:color="auto"/>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single" w:sz="4" w:space="0" w:color="auto"/>
              <w:left w:val="single" w:sz="8" w:space="0" w:color="000000"/>
              <w:bottom w:val="nil"/>
              <w:right w:val="nil"/>
            </w:tcBorders>
            <w:shd w:val="clear" w:color="auto" w:fill="auto"/>
            <w:noWrap/>
            <w:hideMark/>
          </w:tcPr>
          <w:p>
            <w:pPr>
              <w:spacing w:before="0" w:after="160" w:line="259" w:lineRule="auto"/>
              <w:rPr>
                <w:noProof/>
                <w:sz w:val="18"/>
                <w:szCs w:val="18"/>
              </w:rPr>
            </w:pPr>
            <w:r>
              <w:rPr>
                <w:noProof/>
                <w:sz w:val="18"/>
                <w:szCs w:val="18"/>
              </w:rPr>
              <w:t>Zone:</w:t>
            </w:r>
          </w:p>
        </w:tc>
        <w:tc>
          <w:tcPr>
            <w:tcW w:w="0" w:type="auto"/>
            <w:gridSpan w:val="3"/>
            <w:tcBorders>
              <w:top w:val="single" w:sz="4" w:space="0" w:color="auto"/>
              <w:left w:val="nil"/>
              <w:bottom w:val="nil"/>
              <w:right w:val="nil"/>
            </w:tcBorders>
            <w:shd w:val="clear" w:color="auto" w:fill="auto"/>
            <w:noWrap/>
            <w:hideMark/>
          </w:tcPr>
          <w:p>
            <w:pPr>
              <w:spacing w:before="0" w:after="160" w:line="259" w:lineRule="auto"/>
              <w:rPr>
                <w:noProof/>
                <w:sz w:val="18"/>
                <w:szCs w:val="18"/>
              </w:rPr>
            </w:pPr>
            <w:r>
              <w:rPr>
                <w:noProof/>
                <w:sz w:val="18"/>
                <w:szCs w:val="18"/>
              </w:rPr>
              <w:t>eaux de l'Union et eaux norvégiennes de la zone 4 au nord de 53° 30′ N</w:t>
            </w:r>
          </w:p>
        </w:tc>
      </w:tr>
      <w:tr>
        <w:trPr>
          <w:trHeight w:val="214"/>
        </w:trPr>
        <w:tc>
          <w:tcPr>
            <w:tcW w:w="1510" w:type="dxa"/>
            <w:tcBorders>
              <w:top w:val="nil"/>
              <w:left w:val="nil"/>
              <w:bottom w:val="single" w:sz="8" w:space="0" w:color="000000"/>
              <w:right w:val="nil"/>
            </w:tcBorders>
            <w:shd w:val="clear" w:color="auto" w:fill="auto"/>
            <w:noWrap/>
            <w:hideMark/>
          </w:tcPr>
          <w:p>
            <w:pPr>
              <w:spacing w:before="0" w:after="160" w:line="259" w:lineRule="auto"/>
              <w:rPr>
                <w:noProof/>
                <w:sz w:val="18"/>
                <w:szCs w:val="18"/>
              </w:rPr>
            </w:pPr>
          </w:p>
        </w:tc>
        <w:tc>
          <w:tcPr>
            <w:tcW w:w="2763" w:type="dxa"/>
            <w:gridSpan w:val="2"/>
            <w:tcBorders>
              <w:top w:val="nil"/>
              <w:left w:val="nil"/>
              <w:bottom w:val="single" w:sz="8" w:space="0" w:color="000000"/>
              <w:right w:val="nil"/>
            </w:tcBorders>
            <w:shd w:val="clear" w:color="auto" w:fill="auto"/>
            <w:noWrap/>
            <w:hideMark/>
          </w:tcPr>
          <w:p>
            <w:pPr>
              <w:spacing w:before="0" w:after="160" w:line="259" w:lineRule="auto"/>
              <w:rPr>
                <w:i/>
                <w:iCs/>
                <w:noProof/>
                <w:sz w:val="18"/>
                <w:szCs w:val="18"/>
              </w:rPr>
            </w:pPr>
            <w:r>
              <w:rPr>
                <w:i/>
                <w:iCs/>
                <w:noProof/>
                <w:sz w:val="18"/>
                <w:szCs w:val="18"/>
              </w:rPr>
              <w:t>Clupea harengus</w:t>
            </w:r>
          </w:p>
        </w:tc>
        <w:tc>
          <w:tcPr>
            <w:tcW w:w="0" w:type="auto"/>
            <w:tcBorders>
              <w:top w:val="nil"/>
              <w:left w:val="nil"/>
              <w:bottom w:val="single" w:sz="8" w:space="0" w:color="000000"/>
              <w:right w:val="nil"/>
            </w:tcBorders>
            <w:shd w:val="clear" w:color="auto" w:fill="auto"/>
            <w:noWrap/>
            <w:hideMark/>
          </w:tcPr>
          <w:p>
            <w:pPr>
              <w:spacing w:before="0" w:after="160" w:line="259" w:lineRule="auto"/>
              <w:rPr>
                <w:i/>
                <w:iCs/>
                <w:noProof/>
                <w:sz w:val="18"/>
                <w:szCs w:val="18"/>
              </w:rPr>
            </w:pPr>
          </w:p>
        </w:tc>
        <w:tc>
          <w:tcPr>
            <w:tcW w:w="0" w:type="auto"/>
            <w:tcBorders>
              <w:top w:val="nil"/>
              <w:left w:val="single" w:sz="8" w:space="0" w:color="000000"/>
              <w:bottom w:val="single" w:sz="8" w:space="0" w:color="000000"/>
              <w:right w:val="nil"/>
            </w:tcBorders>
            <w:shd w:val="clear" w:color="auto" w:fill="auto"/>
            <w:noWrap/>
            <w:hideMark/>
          </w:tcPr>
          <w:p>
            <w:pPr>
              <w:spacing w:before="0" w:after="160" w:line="259" w:lineRule="auto"/>
              <w:rPr>
                <w:noProof/>
                <w:sz w:val="18"/>
                <w:szCs w:val="18"/>
              </w:rPr>
            </w:pPr>
          </w:p>
        </w:tc>
        <w:tc>
          <w:tcPr>
            <w:tcW w:w="0" w:type="auto"/>
            <w:gridSpan w:val="2"/>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(HER/4AB.)</w:t>
            </w: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Danemark</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59 468</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gridSpan w:val="2"/>
            <w:tcBorders>
              <w:top w:val="single" w:sz="8" w:space="0" w:color="000000"/>
              <w:left w:val="nil"/>
              <w:bottom w:val="nil"/>
              <w:right w:val="nil"/>
            </w:tcBorders>
            <w:shd w:val="clear" w:color="auto" w:fill="auto"/>
            <w:noWrap/>
            <w:hideMark/>
          </w:tcPr>
          <w:p>
            <w:pPr>
              <w:spacing w:before="0" w:after="160" w:line="259" w:lineRule="auto"/>
              <w:rPr>
                <w:noProof/>
                <w:sz w:val="18"/>
                <w:szCs w:val="18"/>
              </w:rPr>
            </w:pPr>
            <w:r>
              <w:rPr>
                <w:noProof/>
                <w:sz w:val="18"/>
                <w:szCs w:val="18"/>
              </w:rPr>
              <w:t>TAC analytique</w:t>
            </w:r>
          </w:p>
        </w:tc>
        <w:tc>
          <w:tcPr>
            <w:tcW w:w="0" w:type="auto"/>
            <w:tcBorders>
              <w:top w:val="single" w:sz="8" w:space="0" w:color="000000"/>
              <w:left w:val="nil"/>
              <w:bottom w:val="nil"/>
              <w:right w:val="nil"/>
            </w:tcBorders>
            <w:shd w:val="clear" w:color="auto" w:fill="auto"/>
            <w:noWrap/>
            <w:hideMark/>
          </w:tcPr>
          <w:p>
            <w:pPr>
              <w:spacing w:before="0" w:after="160" w:line="259" w:lineRule="auto"/>
              <w:rPr>
                <w:noProof/>
              </w:rPr>
            </w:pPr>
          </w:p>
        </w:tc>
        <w:tc>
          <w:tcPr>
            <w:tcW w:w="0" w:type="auto"/>
            <w:tcBorders>
              <w:top w:val="single" w:sz="8" w:space="0" w:color="000000"/>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Allemagne</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39 404</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gridSpan w:val="3"/>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L'article 7, paragraphe 2, du présent règlement s'applique</w:t>
            </w: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France</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20 670</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0" w:type="auto"/>
            <w:gridSpan w:val="2"/>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Pays-Bas</w:t>
            </w: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51 717</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Suède</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3 913</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0" w:type="auto"/>
            <w:gridSpan w:val="2"/>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Royaume-Uni</w:t>
            </w: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55 583</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Union</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230 755</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0" w:type="auto"/>
            <w:gridSpan w:val="2"/>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Îles Féroé</w:t>
            </w: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250</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Norvège</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111 652</w:t>
            </w:r>
          </w:p>
        </w:tc>
        <w:tc>
          <w:tcPr>
            <w:tcW w:w="0" w:type="auto"/>
            <w:tcBorders>
              <w:top w:val="nil"/>
              <w:left w:val="nil"/>
              <w:bottom w:val="nil"/>
              <w:right w:val="nil"/>
            </w:tcBorders>
            <w:shd w:val="clear" w:color="auto" w:fill="auto"/>
            <w:noWrap/>
            <w:hideMark/>
          </w:tcPr>
          <w:p>
            <w:pPr>
              <w:spacing w:before="0" w:after="160" w:line="259" w:lineRule="auto"/>
              <w:rPr>
                <w:b/>
                <w:bCs/>
                <w:noProof/>
                <w:sz w:val="18"/>
                <w:szCs w:val="18"/>
              </w:rPr>
            </w:pPr>
            <w:r>
              <w:rPr>
                <w:b/>
                <w:bCs/>
                <w:noProof/>
                <w:sz w:val="18"/>
                <w:szCs w:val="18"/>
                <w:vertAlign w:val="superscript"/>
              </w:rPr>
              <w:t>2)</w:t>
            </w: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TAC</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r>
              <w:rPr>
                <w:noProof/>
                <w:sz w:val="18"/>
                <w:szCs w:val="18"/>
              </w:rPr>
              <w:t>385 008</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jc w:val="left"/>
              <w:rPr>
                <w:b/>
                <w:bCs/>
                <w:noProof/>
                <w:sz w:val="18"/>
                <w:szCs w:val="18"/>
              </w:rPr>
            </w:pPr>
            <w:r>
              <w:rPr>
                <w:b/>
                <w:bCs/>
                <w:noProof/>
                <w:sz w:val="18"/>
                <w:szCs w:val="18"/>
                <w:vertAlign w:val="superscript"/>
              </w:rPr>
              <w:t>1)</w:t>
            </w:r>
          </w:p>
        </w:tc>
        <w:tc>
          <w:tcPr>
            <w:tcW w:w="7779" w:type="dxa"/>
            <w:gridSpan w:val="7"/>
            <w:tcBorders>
              <w:top w:val="nil"/>
              <w:left w:val="nil"/>
              <w:bottom w:val="nil"/>
              <w:right w:val="nil"/>
            </w:tcBorders>
            <w:shd w:val="clear" w:color="auto" w:fill="auto"/>
            <w:noWrap/>
            <w:hideMark/>
          </w:tcPr>
          <w:p>
            <w:pPr>
              <w:spacing w:before="0" w:after="160" w:line="259" w:lineRule="auto"/>
              <w:rPr>
                <w:noProof/>
              </w:rPr>
            </w:pPr>
            <w:r>
              <w:rPr>
                <w:noProof/>
                <w:sz w:val="18"/>
                <w:szCs w:val="18"/>
              </w:rPr>
              <w:t>Captures de hareng commun effectuées dans des pêcheries utilisant des filets dont le maillage est supérieur ou égal à 32 mm.</w:t>
            </w:r>
          </w:p>
        </w:tc>
      </w:tr>
      <w:tr>
        <w:trPr>
          <w:trHeight w:val="214"/>
        </w:trPr>
        <w:tc>
          <w:tcPr>
            <w:tcW w:w="1510" w:type="dxa"/>
            <w:tcBorders>
              <w:top w:val="nil"/>
              <w:left w:val="nil"/>
              <w:bottom w:val="nil"/>
              <w:right w:val="nil"/>
            </w:tcBorders>
            <w:shd w:val="clear" w:color="auto" w:fill="auto"/>
            <w:noWrap/>
            <w:hideMark/>
          </w:tcPr>
          <w:p>
            <w:pPr>
              <w:spacing w:before="0" w:after="160" w:line="259" w:lineRule="auto"/>
              <w:jc w:val="left"/>
              <w:rPr>
                <w:b/>
                <w:bCs/>
                <w:noProof/>
                <w:sz w:val="18"/>
                <w:szCs w:val="18"/>
              </w:rPr>
            </w:pPr>
            <w:r>
              <w:rPr>
                <w:b/>
                <w:bCs/>
                <w:noProof/>
                <w:sz w:val="18"/>
                <w:szCs w:val="18"/>
                <w:vertAlign w:val="superscript"/>
              </w:rPr>
              <w:t>2)</w:t>
            </w:r>
          </w:p>
        </w:tc>
        <w:tc>
          <w:tcPr>
            <w:tcW w:w="7779" w:type="dxa"/>
            <w:gridSpan w:val="7"/>
            <w:tcBorders>
              <w:top w:val="nil"/>
              <w:left w:val="nil"/>
              <w:bottom w:val="nil"/>
              <w:right w:val="nil"/>
            </w:tcBorders>
            <w:shd w:val="clear" w:color="auto" w:fill="auto"/>
            <w:noWrap/>
            <w:hideMark/>
          </w:tcPr>
          <w:p>
            <w:pPr>
              <w:spacing w:before="0" w:after="160" w:line="259" w:lineRule="auto"/>
              <w:rPr>
                <w:noProof/>
                <w:sz w:val="18"/>
                <w:szCs w:val="18"/>
                <w:highlight w:val="yellow"/>
              </w:rPr>
            </w:pPr>
            <w:r>
              <w:rPr>
                <w:noProof/>
                <w:sz w:val="18"/>
                <w:szCs w:val="18"/>
              </w:rPr>
              <w:t>Les captures relevant de ce quota sont à imputer sur la part norvégienne du TAC. Dans la limite de ce quota, les captures sont limitées à la quantité portée ci-dessous dans les eaux de l'Union des zones 4a et 4b (HER/*4AB-C). Une quantité supplémentaire maximale de 10 000 tonnes sera accordée si cette augmentation est demandée par la Norvège.</w:t>
            </w: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r>
              <w:rPr>
                <w:noProof/>
                <w:sz w:val="18"/>
                <w:szCs w:val="18"/>
              </w:rPr>
              <w:t>50 000</w:t>
            </w:r>
          </w:p>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0" w:type="auto"/>
            <w:gridSpan w:val="8"/>
            <w:tcBorders>
              <w:top w:val="single" w:sz="4" w:space="0" w:color="auto"/>
              <w:left w:val="nil"/>
              <w:bottom w:val="nil"/>
              <w:right w:val="nil"/>
            </w:tcBorders>
            <w:shd w:val="clear" w:color="auto" w:fill="auto"/>
            <w:noWrap/>
            <w:hideMark/>
          </w:tcPr>
          <w:p>
            <w:pPr>
              <w:spacing w:before="0" w:after="160" w:line="259" w:lineRule="auto"/>
              <w:jc w:val="left"/>
              <w:rPr>
                <w:noProof/>
                <w:sz w:val="18"/>
                <w:szCs w:val="18"/>
              </w:rPr>
            </w:pPr>
            <w:r>
              <w:rPr>
                <w:noProof/>
                <w:sz w:val="18"/>
                <w:szCs w:val="18"/>
              </w:rPr>
              <w:t xml:space="preserve">Condition particulière: dans les limites des quotas susmentionnés, les captures sont limitées aux quantités portées ci-dessous par l’Union dans les eaux norvégiennes au sud de 62° N. Une quantité supplémentaire maximale de 10 000 tonnes sera accordée si cette augmentation est demandée par l’Union européenne.  </w:t>
            </w:r>
          </w:p>
          <w:p>
            <w:pPr>
              <w:spacing w:before="0" w:after="0" w:line="259" w:lineRule="auto"/>
              <w:jc w:val="center"/>
              <w:rPr>
                <w:noProof/>
                <w:sz w:val="18"/>
                <w:szCs w:val="18"/>
              </w:rPr>
            </w:pPr>
            <w:r>
              <w:rPr>
                <w:noProof/>
                <w:sz w:val="18"/>
                <w:szCs w:val="18"/>
              </w:rPr>
              <w:t xml:space="preserve">Eaux norvégiennes au sud de 62° N </w:t>
            </w:r>
          </w:p>
          <w:p>
            <w:pPr>
              <w:spacing w:before="0" w:after="160" w:line="259" w:lineRule="auto"/>
              <w:jc w:val="center"/>
              <w:rPr>
                <w:noProof/>
                <w:sz w:val="18"/>
                <w:szCs w:val="18"/>
              </w:rPr>
            </w:pPr>
            <w:r>
              <w:rPr>
                <w:noProof/>
                <w:sz w:val="18"/>
                <w:szCs w:val="18"/>
              </w:rPr>
              <w:t xml:space="preserve">(HER/*04-N) </w:t>
            </w:r>
            <w:r>
              <w:rPr>
                <w:b/>
                <w:bCs/>
                <w:noProof/>
                <w:sz w:val="18"/>
                <w:szCs w:val="18"/>
                <w:vertAlign w:val="superscript"/>
              </w:rPr>
              <w:t>(1)</w:t>
            </w:r>
          </w:p>
        </w:tc>
      </w:tr>
      <w:tr>
        <w:trPr>
          <w:trHeight w:val="214"/>
        </w:trPr>
        <w:tc>
          <w:tcPr>
            <w:tcW w:w="0" w:type="auto"/>
            <w:gridSpan w:val="2"/>
            <w:tcBorders>
              <w:top w:val="nil"/>
              <w:left w:val="nil"/>
              <w:bottom w:val="nil"/>
              <w:right w:val="nil"/>
            </w:tcBorders>
            <w:shd w:val="clear" w:color="auto" w:fill="auto"/>
            <w:noWrap/>
            <w:hideMark/>
          </w:tcPr>
          <w:p>
            <w:pPr>
              <w:spacing w:before="0" w:after="160" w:line="259" w:lineRule="auto"/>
              <w:jc w:val="left"/>
              <w:rPr>
                <w:noProof/>
                <w:sz w:val="18"/>
                <w:szCs w:val="18"/>
              </w:rPr>
            </w:pPr>
            <w:r>
              <w:rPr>
                <w:noProof/>
                <w:sz w:val="18"/>
                <w:szCs w:val="18"/>
              </w:rPr>
              <w:t xml:space="preserve"> </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r>
              <w:rPr>
                <w:noProof/>
                <w:sz w:val="18"/>
                <w:szCs w:val="18"/>
              </w:rPr>
              <w:t>50 000</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left"/>
              <w:rPr>
                <w:noProof/>
              </w:rPr>
            </w:pPr>
          </w:p>
        </w:tc>
        <w:tc>
          <w:tcPr>
            <w:tcW w:w="0" w:type="auto"/>
            <w:tcBorders>
              <w:top w:val="nil"/>
              <w:left w:val="nil"/>
              <w:bottom w:val="nil"/>
              <w:right w:val="nil"/>
            </w:tcBorders>
            <w:shd w:val="clear" w:color="auto" w:fill="auto"/>
            <w:noWrap/>
            <w:hideMark/>
          </w:tcPr>
          <w:p>
            <w:pPr>
              <w:spacing w:before="0" w:after="160" w:line="259" w:lineRule="auto"/>
              <w:jc w:val="left"/>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jc w:val="left"/>
              <w:rPr>
                <w:b/>
                <w:bCs/>
                <w:noProof/>
                <w:sz w:val="18"/>
                <w:szCs w:val="18"/>
                <w:vertAlign w:val="superscript"/>
              </w:rPr>
            </w:pPr>
          </w:p>
          <w:p>
            <w:pPr>
              <w:spacing w:before="0" w:after="160" w:line="259" w:lineRule="auto"/>
              <w:jc w:val="left"/>
              <w:rPr>
                <w:b/>
                <w:bCs/>
                <w:noProof/>
                <w:sz w:val="18"/>
                <w:szCs w:val="18"/>
              </w:rPr>
            </w:pPr>
          </w:p>
        </w:tc>
        <w:tc>
          <w:tcPr>
            <w:tcW w:w="7779" w:type="dxa"/>
            <w:gridSpan w:val="7"/>
            <w:tcBorders>
              <w:top w:val="nil"/>
              <w:left w:val="nil"/>
              <w:bottom w:val="nil"/>
              <w:right w:val="nil"/>
            </w:tcBorders>
            <w:shd w:val="clear" w:color="auto" w:fill="auto"/>
            <w:noWrap/>
            <w:hideMark/>
          </w:tcPr>
          <w:p>
            <w:pPr>
              <w:spacing w:before="0" w:after="160" w:line="480" w:lineRule="auto"/>
              <w:jc w:val="left"/>
              <w:rPr>
                <w:noProof/>
                <w:sz w:val="18"/>
                <w:szCs w:val="18"/>
              </w:rPr>
            </w:pPr>
            <w:r>
              <w:rPr>
                <w:noProof/>
                <w:sz w:val="18"/>
                <w:szCs w:val="18"/>
              </w:rPr>
              <w:t>»</w:t>
            </w:r>
          </w:p>
        </w:tc>
      </w:tr>
    </w:tbl>
    <w:p>
      <w:pPr>
        <w:rPr>
          <w:noProof/>
        </w:rPr>
      </w:pPr>
      <w:r>
        <w:rPr>
          <w:noProof/>
        </w:rPr>
        <w:t>;</w:t>
      </w:r>
    </w:p>
    <w:p>
      <w:pPr>
        <w:pStyle w:val="Point0"/>
        <w:rPr>
          <w:noProof/>
        </w:rPr>
      </w:pPr>
      <w:r>
        <w:rPr>
          <w:noProof/>
        </w:rPr>
        <w:t>2)</w:t>
      </w:r>
      <w:r>
        <w:rPr>
          <w:noProof/>
        </w:rPr>
        <w:tab/>
        <w:t>À l’annexe I D, le tableau des possibilités de pêche pour l’espadon en Méditerranée est remplacé par le tableau suivant:</w:t>
      </w:r>
    </w:p>
    <w:tbl>
      <w:tblPr>
        <w:tblW w:w="5000" w:type="pct"/>
        <w:tblLook w:val="06A0" w:firstRow="1" w:lastRow="0" w:firstColumn="1" w:lastColumn="0" w:noHBand="1" w:noVBand="1"/>
      </w:tblPr>
      <w:tblGrid>
        <w:gridCol w:w="1737"/>
        <w:gridCol w:w="1518"/>
        <w:gridCol w:w="1222"/>
        <w:gridCol w:w="28"/>
        <w:gridCol w:w="1182"/>
        <w:gridCol w:w="3602"/>
      </w:tblGrid>
      <w:tr>
        <w:trPr>
          <w:trHeight w:val="227"/>
        </w:trPr>
        <w:tc>
          <w:tcPr>
            <w:tcW w:w="935" w:type="pct"/>
            <w:tcBorders>
              <w:top w:val="single" w:sz="4" w:space="0" w:color="auto"/>
              <w:bottom w:val="single" w:sz="4" w:space="0" w:color="auto"/>
            </w:tcBorders>
          </w:tcPr>
          <w:p>
            <w:pPr>
              <w:pageBreakBefore/>
              <w:spacing w:before="60" w:after="60"/>
              <w:rPr>
                <w:noProof/>
                <w:sz w:val="18"/>
                <w:szCs w:val="18"/>
              </w:rPr>
            </w:pPr>
            <w:r>
              <w:rPr>
                <w:noProof/>
                <w:sz w:val="18"/>
                <w:szCs w:val="18"/>
              </w:rPr>
              <w:t>«Espèce:</w:t>
            </w:r>
          </w:p>
        </w:tc>
        <w:tc>
          <w:tcPr>
            <w:tcW w:w="1475" w:type="pct"/>
            <w:gridSpan w:val="2"/>
            <w:tcBorders>
              <w:top w:val="single" w:sz="4" w:space="0" w:color="auto"/>
              <w:bottom w:val="single" w:sz="4" w:space="0" w:color="auto"/>
              <w:right w:val="single" w:sz="4" w:space="0" w:color="auto"/>
            </w:tcBorders>
          </w:tcPr>
          <w:p>
            <w:pPr>
              <w:spacing w:before="60" w:after="60"/>
              <w:rPr>
                <w:noProof/>
                <w:sz w:val="18"/>
                <w:szCs w:val="18"/>
              </w:rPr>
            </w:pPr>
            <w:r>
              <w:rPr>
                <w:noProof/>
                <w:sz w:val="18"/>
                <w:szCs w:val="18"/>
              </w:rPr>
              <w:t>Espadon</w:t>
            </w:r>
          </w:p>
          <w:p>
            <w:pPr>
              <w:spacing w:before="60" w:after="60"/>
              <w:rPr>
                <w:i/>
                <w:iCs/>
                <w:noProof/>
                <w:sz w:val="18"/>
                <w:szCs w:val="18"/>
              </w:rPr>
            </w:pPr>
            <w:r>
              <w:rPr>
                <w:i/>
                <w:iCs/>
                <w:noProof/>
                <w:sz w:val="18"/>
                <w:szCs w:val="18"/>
              </w:rPr>
              <w:t>Xiphias gladius</w:t>
            </w:r>
          </w:p>
        </w:tc>
        <w:tc>
          <w:tcPr>
            <w:tcW w:w="651" w:type="pct"/>
            <w:gridSpan w:val="2"/>
            <w:tcBorders>
              <w:top w:val="single" w:sz="4" w:space="0" w:color="auto"/>
              <w:left w:val="single" w:sz="4" w:space="0" w:color="auto"/>
              <w:bottom w:val="single" w:sz="4" w:space="0" w:color="auto"/>
              <w:right w:val="nil"/>
            </w:tcBorders>
          </w:tcPr>
          <w:p>
            <w:pPr>
              <w:spacing w:before="60" w:after="60"/>
              <w:rPr>
                <w:noProof/>
                <w:sz w:val="18"/>
                <w:szCs w:val="18"/>
              </w:rPr>
            </w:pPr>
            <w:r>
              <w:rPr>
                <w:noProof/>
                <w:sz w:val="18"/>
                <w:szCs w:val="18"/>
              </w:rPr>
              <w:t>Zone:</w:t>
            </w:r>
          </w:p>
        </w:tc>
        <w:tc>
          <w:tcPr>
            <w:tcW w:w="1939" w:type="pct"/>
            <w:tcBorders>
              <w:top w:val="single" w:sz="4" w:space="0" w:color="auto"/>
              <w:bottom w:val="single" w:sz="4" w:space="0" w:color="auto"/>
            </w:tcBorders>
          </w:tcPr>
          <w:p>
            <w:pPr>
              <w:spacing w:before="60" w:after="60"/>
              <w:rPr>
                <w:noProof/>
                <w:sz w:val="18"/>
                <w:szCs w:val="18"/>
              </w:rPr>
            </w:pPr>
            <w:r>
              <w:rPr>
                <w:noProof/>
                <w:sz w:val="18"/>
                <w:szCs w:val="18"/>
              </w:rPr>
              <w:t>Mer Méditerranée</w:t>
            </w:r>
          </w:p>
          <w:p>
            <w:pPr>
              <w:spacing w:before="60" w:after="60"/>
              <w:rPr>
                <w:noProof/>
                <w:sz w:val="18"/>
                <w:szCs w:val="18"/>
              </w:rPr>
            </w:pPr>
            <w:r>
              <w:rPr>
                <w:noProof/>
                <w:sz w:val="18"/>
                <w:szCs w:val="18"/>
              </w:rPr>
              <w:t>(SWO/MED)</w:t>
            </w:r>
          </w:p>
        </w:tc>
      </w:tr>
      <w:tr>
        <w:trPr>
          <w:trHeight w:val="227"/>
        </w:trPr>
        <w:tc>
          <w:tcPr>
            <w:tcW w:w="935" w:type="pct"/>
            <w:tcBorders>
              <w:top w:val="single" w:sz="4" w:space="0" w:color="auto"/>
            </w:tcBorders>
          </w:tcPr>
          <w:p>
            <w:pPr>
              <w:spacing w:before="60" w:after="60"/>
              <w:rPr>
                <w:noProof/>
                <w:sz w:val="18"/>
                <w:szCs w:val="18"/>
              </w:rPr>
            </w:pPr>
            <w:r>
              <w:rPr>
                <w:noProof/>
                <w:sz w:val="18"/>
                <w:szCs w:val="18"/>
              </w:rPr>
              <w:t>Croatie</w:t>
            </w:r>
          </w:p>
        </w:tc>
        <w:tc>
          <w:tcPr>
            <w:tcW w:w="817" w:type="pct"/>
            <w:tcBorders>
              <w:top w:val="single" w:sz="4" w:space="0" w:color="auto"/>
            </w:tcBorders>
          </w:tcPr>
          <w:p>
            <w:pPr>
              <w:spacing w:before="60" w:after="60"/>
              <w:jc w:val="right"/>
              <w:rPr>
                <w:noProof/>
                <w:color w:val="000000"/>
                <w:sz w:val="18"/>
                <w:szCs w:val="18"/>
              </w:rPr>
            </w:pPr>
            <w:r>
              <w:rPr>
                <w:noProof/>
                <w:color w:val="000000"/>
                <w:sz w:val="18"/>
                <w:szCs w:val="18"/>
              </w:rPr>
              <w:t>14,60</w:t>
            </w:r>
          </w:p>
        </w:tc>
        <w:tc>
          <w:tcPr>
            <w:tcW w:w="673" w:type="pct"/>
            <w:gridSpan w:val="2"/>
            <w:tcBorders>
              <w:top w:val="single" w:sz="4" w:space="0" w:color="auto"/>
              <w:right w:val="nil"/>
            </w:tcBorders>
          </w:tcPr>
          <w:p>
            <w:pPr>
              <w:spacing w:before="60" w:after="60"/>
              <w:rPr>
                <w:noProof/>
                <w:sz w:val="18"/>
                <w:szCs w:val="18"/>
              </w:rPr>
            </w:pPr>
            <w:r>
              <w:rPr>
                <w:b/>
                <w:bCs/>
                <w:noProof/>
                <w:sz w:val="18"/>
                <w:szCs w:val="18"/>
                <w:vertAlign w:val="superscript"/>
              </w:rPr>
              <w:t>1)</w:t>
            </w:r>
          </w:p>
        </w:tc>
        <w:tc>
          <w:tcPr>
            <w:tcW w:w="2575" w:type="pct"/>
            <w:gridSpan w:val="2"/>
            <w:vMerge w:val="restart"/>
            <w:tcBorders>
              <w:top w:val="single" w:sz="4" w:space="0" w:color="auto"/>
            </w:tcBorders>
          </w:tcPr>
          <w:p>
            <w:pPr>
              <w:spacing w:before="60" w:after="60"/>
              <w:rPr>
                <w:noProof/>
                <w:sz w:val="18"/>
                <w:szCs w:val="18"/>
              </w:rPr>
            </w:pPr>
            <w:r>
              <w:rPr>
                <w:noProof/>
                <w:sz w:val="18"/>
                <w:szCs w:val="18"/>
              </w:rPr>
              <w:t>TAC analytique</w:t>
            </w:r>
          </w:p>
          <w:p>
            <w:pPr>
              <w:spacing w:before="60" w:after="60"/>
              <w:rPr>
                <w:noProof/>
                <w:sz w:val="18"/>
                <w:szCs w:val="18"/>
              </w:rPr>
            </w:pPr>
            <w:r>
              <w:rPr>
                <w:noProof/>
                <w:sz w:val="18"/>
                <w:szCs w:val="18"/>
              </w:rPr>
              <w:t>L'article 3 du règlement (CE) nº 847/96 ne s'applique pas.</w:t>
            </w:r>
          </w:p>
          <w:p>
            <w:pPr>
              <w:spacing w:before="60" w:after="60"/>
              <w:rPr>
                <w:noProof/>
                <w:sz w:val="18"/>
                <w:szCs w:val="18"/>
              </w:rPr>
            </w:pPr>
            <w:r>
              <w:rPr>
                <w:noProof/>
                <w:sz w:val="18"/>
                <w:szCs w:val="18"/>
              </w:rPr>
              <w:t>L'article 4 du règlement (CE) nº 847/96 ne s'applique pas.</w:t>
            </w:r>
          </w:p>
        </w:tc>
      </w:tr>
      <w:tr>
        <w:trPr>
          <w:trHeight w:val="227"/>
        </w:trPr>
        <w:tc>
          <w:tcPr>
            <w:tcW w:w="935" w:type="pct"/>
          </w:tcPr>
          <w:p>
            <w:pPr>
              <w:spacing w:before="60" w:after="60"/>
              <w:rPr>
                <w:noProof/>
                <w:sz w:val="18"/>
                <w:szCs w:val="18"/>
              </w:rPr>
            </w:pPr>
            <w:r>
              <w:rPr>
                <w:noProof/>
                <w:sz w:val="18"/>
                <w:szCs w:val="18"/>
              </w:rPr>
              <w:t>Chypre</w:t>
            </w:r>
          </w:p>
        </w:tc>
        <w:tc>
          <w:tcPr>
            <w:tcW w:w="817" w:type="pct"/>
          </w:tcPr>
          <w:p>
            <w:pPr>
              <w:spacing w:before="60" w:after="60"/>
              <w:jc w:val="right"/>
              <w:rPr>
                <w:noProof/>
                <w:color w:val="000000"/>
                <w:sz w:val="18"/>
                <w:szCs w:val="18"/>
              </w:rPr>
            </w:pPr>
            <w:r>
              <w:rPr>
                <w:noProof/>
                <w:color w:val="000000"/>
                <w:sz w:val="18"/>
                <w:szCs w:val="18"/>
              </w:rPr>
              <w:t>53,85</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Espagne</w:t>
            </w:r>
          </w:p>
        </w:tc>
        <w:tc>
          <w:tcPr>
            <w:tcW w:w="817" w:type="pct"/>
          </w:tcPr>
          <w:p>
            <w:pPr>
              <w:spacing w:before="60" w:after="60"/>
              <w:jc w:val="right"/>
              <w:rPr>
                <w:noProof/>
                <w:color w:val="000000"/>
                <w:sz w:val="18"/>
                <w:szCs w:val="18"/>
              </w:rPr>
            </w:pPr>
            <w:r>
              <w:rPr>
                <w:noProof/>
                <w:color w:val="000000"/>
                <w:sz w:val="18"/>
                <w:szCs w:val="18"/>
              </w:rPr>
              <w:t>1 663,34</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France</w:t>
            </w:r>
          </w:p>
        </w:tc>
        <w:tc>
          <w:tcPr>
            <w:tcW w:w="817" w:type="pct"/>
          </w:tcPr>
          <w:p>
            <w:pPr>
              <w:spacing w:before="60" w:after="60"/>
              <w:jc w:val="right"/>
              <w:rPr>
                <w:noProof/>
                <w:color w:val="000000"/>
                <w:sz w:val="18"/>
                <w:szCs w:val="18"/>
              </w:rPr>
            </w:pPr>
            <w:r>
              <w:rPr>
                <w:noProof/>
                <w:color w:val="000000"/>
                <w:sz w:val="18"/>
                <w:szCs w:val="18"/>
              </w:rPr>
              <w:t>115,93</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Grèce</w:t>
            </w:r>
          </w:p>
        </w:tc>
        <w:tc>
          <w:tcPr>
            <w:tcW w:w="817" w:type="pct"/>
          </w:tcPr>
          <w:p>
            <w:pPr>
              <w:spacing w:before="60" w:after="60"/>
              <w:jc w:val="right"/>
              <w:rPr>
                <w:noProof/>
                <w:color w:val="000000"/>
                <w:sz w:val="18"/>
                <w:szCs w:val="18"/>
              </w:rPr>
            </w:pPr>
            <w:r>
              <w:rPr>
                <w:noProof/>
                <w:color w:val="000000"/>
                <w:sz w:val="18"/>
                <w:szCs w:val="18"/>
              </w:rPr>
              <w:t>1 101,10</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Italie</w:t>
            </w:r>
          </w:p>
        </w:tc>
        <w:tc>
          <w:tcPr>
            <w:tcW w:w="817" w:type="pct"/>
          </w:tcPr>
          <w:p>
            <w:pPr>
              <w:spacing w:before="60" w:after="60"/>
              <w:jc w:val="right"/>
              <w:rPr>
                <w:noProof/>
                <w:color w:val="000000"/>
                <w:sz w:val="18"/>
                <w:szCs w:val="18"/>
              </w:rPr>
            </w:pPr>
            <w:r>
              <w:rPr>
                <w:noProof/>
                <w:color w:val="000000"/>
                <w:sz w:val="18"/>
                <w:szCs w:val="18"/>
              </w:rPr>
              <w:t>3 409,98</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Malte</w:t>
            </w:r>
          </w:p>
        </w:tc>
        <w:tc>
          <w:tcPr>
            <w:tcW w:w="817" w:type="pct"/>
          </w:tcPr>
          <w:p>
            <w:pPr>
              <w:spacing w:before="60" w:after="60"/>
              <w:jc w:val="right"/>
              <w:rPr>
                <w:noProof/>
                <w:color w:val="000000"/>
                <w:sz w:val="18"/>
                <w:szCs w:val="18"/>
              </w:rPr>
            </w:pPr>
            <w:r>
              <w:rPr>
                <w:noProof/>
                <w:color w:val="000000"/>
                <w:sz w:val="18"/>
                <w:szCs w:val="18"/>
              </w:rPr>
              <w:t>404,55</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Union</w:t>
            </w:r>
          </w:p>
        </w:tc>
        <w:tc>
          <w:tcPr>
            <w:tcW w:w="817" w:type="pct"/>
          </w:tcPr>
          <w:p>
            <w:pPr>
              <w:spacing w:before="60" w:after="60"/>
              <w:jc w:val="right"/>
              <w:rPr>
                <w:noProof/>
                <w:color w:val="000000"/>
                <w:sz w:val="18"/>
                <w:szCs w:val="18"/>
              </w:rPr>
            </w:pPr>
            <w:r>
              <w:rPr>
                <w:noProof/>
                <w:color w:val="000000"/>
                <w:sz w:val="18"/>
                <w:szCs w:val="18"/>
              </w:rPr>
              <w:t>6 763,35</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TAC</w:t>
            </w:r>
          </w:p>
        </w:tc>
        <w:tc>
          <w:tcPr>
            <w:tcW w:w="817" w:type="pct"/>
          </w:tcPr>
          <w:p>
            <w:pPr>
              <w:spacing w:before="60" w:after="60"/>
              <w:jc w:val="right"/>
              <w:rPr>
                <w:noProof/>
                <w:color w:val="000000"/>
                <w:sz w:val="18"/>
                <w:szCs w:val="18"/>
              </w:rPr>
            </w:pPr>
            <w:r>
              <w:rPr>
                <w:noProof/>
                <w:color w:val="000000"/>
                <w:sz w:val="18"/>
                <w:szCs w:val="18"/>
              </w:rPr>
              <w:t>9 583,07»</w:t>
            </w:r>
          </w:p>
        </w:tc>
        <w:tc>
          <w:tcPr>
            <w:tcW w:w="673" w:type="pct"/>
            <w:gridSpan w:val="2"/>
            <w:tcBorders>
              <w:right w:val="nil"/>
            </w:tcBorders>
          </w:tcPr>
          <w:p>
            <w:pPr>
              <w:spacing w:before="60" w:after="60"/>
              <w:rPr>
                <w:noProof/>
                <w:sz w:val="18"/>
                <w:szCs w:val="18"/>
              </w:rPr>
            </w:pPr>
          </w:p>
        </w:tc>
        <w:tc>
          <w:tcPr>
            <w:tcW w:w="2575" w:type="pct"/>
            <w:gridSpan w:val="2"/>
            <w:vMerge/>
          </w:tcPr>
          <w:p>
            <w:pPr>
              <w:spacing w:before="60" w:after="60"/>
              <w:rPr>
                <w:noProof/>
                <w:sz w:val="18"/>
                <w:szCs w:val="18"/>
              </w:rPr>
            </w:pPr>
          </w:p>
        </w:tc>
      </w:tr>
      <w:tr>
        <w:trPr>
          <w:trHeight w:val="227"/>
        </w:trPr>
        <w:tc>
          <w:tcPr>
            <w:tcW w:w="935" w:type="pct"/>
            <w:tcBorders>
              <w:bottom w:val="single" w:sz="4" w:space="0" w:color="auto"/>
            </w:tcBorders>
          </w:tcPr>
          <w:p>
            <w:pPr>
              <w:spacing w:before="60" w:after="60"/>
              <w:jc w:val="right"/>
              <w:rPr>
                <w:noProof/>
                <w:sz w:val="18"/>
                <w:szCs w:val="18"/>
              </w:rPr>
            </w:pPr>
            <w:r>
              <w:rPr>
                <w:b/>
                <w:bCs/>
                <w:noProof/>
                <w:sz w:val="18"/>
                <w:szCs w:val="18"/>
                <w:vertAlign w:val="superscript"/>
              </w:rPr>
              <w:t>1)</w:t>
            </w:r>
          </w:p>
        </w:tc>
        <w:tc>
          <w:tcPr>
            <w:tcW w:w="4065" w:type="pct"/>
            <w:gridSpan w:val="5"/>
            <w:tcBorders>
              <w:bottom w:val="single" w:sz="4" w:space="0" w:color="auto"/>
            </w:tcBorders>
          </w:tcPr>
          <w:p>
            <w:pPr>
              <w:spacing w:before="60" w:after="60"/>
              <w:rPr>
                <w:noProof/>
                <w:sz w:val="18"/>
                <w:szCs w:val="18"/>
              </w:rPr>
            </w:pPr>
            <w:r>
              <w:rPr>
                <w:noProof/>
                <w:sz w:val="18"/>
                <w:szCs w:val="18"/>
              </w:rPr>
              <w:t>Ce quota peut être pêché uniquement du 1</w:t>
            </w:r>
            <w:r>
              <w:rPr>
                <w:noProof/>
                <w:sz w:val="18"/>
                <w:szCs w:val="18"/>
                <w:vertAlign w:val="superscript"/>
              </w:rPr>
              <w:t>er</w:t>
            </w:r>
            <w:r>
              <w:rPr>
                <w:noProof/>
                <w:sz w:val="18"/>
                <w:szCs w:val="18"/>
              </w:rPr>
              <w:t xml:space="preserve"> avril au 31 décembre.</w:t>
            </w:r>
          </w:p>
        </w:tc>
      </w:tr>
      <w:tr>
        <w:trPr>
          <w:trHeight w:val="227"/>
        </w:trPr>
        <w:tc>
          <w:tcPr>
            <w:tcW w:w="5000" w:type="pct"/>
            <w:gridSpan w:val="6"/>
            <w:tcBorders>
              <w:top w:val="single" w:sz="4" w:space="0" w:color="auto"/>
            </w:tcBorders>
          </w:tcPr>
          <w:p>
            <w:pPr>
              <w:spacing w:before="60" w:after="60"/>
              <w:jc w:val="left"/>
              <w:rPr>
                <w:noProof/>
              </w:rPr>
            </w:pPr>
            <w:r>
              <w:rPr>
                <w:noProof/>
              </w:rPr>
              <w:t>;</w:t>
            </w:r>
          </w:p>
        </w:tc>
      </w:tr>
    </w:tbl>
    <w:p>
      <w:pPr>
        <w:pStyle w:val="Point0"/>
        <w:rPr>
          <w:noProof/>
        </w:rPr>
      </w:pPr>
      <w:r>
        <w:rPr>
          <w:noProof/>
        </w:rPr>
        <w:t>3)</w:t>
      </w:r>
      <w:r>
        <w:rPr>
          <w:noProof/>
        </w:rPr>
        <w:tab/>
        <w:t>À l’annexe I H, le tableau des possibilités de pêche pour le chinchard du Chili dans la zone de la convention ORGPPS est remplacé par le tableau suivant:</w:t>
      </w:r>
    </w:p>
    <w:tbl>
      <w:tblPr>
        <w:tblW w:w="9639" w:type="dxa"/>
        <w:tblInd w:w="108" w:type="dxa"/>
        <w:tblLook w:val="04A0" w:firstRow="1" w:lastRow="0" w:firstColumn="1" w:lastColumn="0" w:noHBand="0" w:noVBand="1"/>
      </w:tblPr>
      <w:tblGrid>
        <w:gridCol w:w="866"/>
        <w:gridCol w:w="992"/>
        <w:gridCol w:w="1701"/>
        <w:gridCol w:w="851"/>
        <w:gridCol w:w="850"/>
        <w:gridCol w:w="4394"/>
      </w:tblGrid>
      <w:tr>
        <w:trPr>
          <w:trHeight w:val="20"/>
        </w:trPr>
        <w:tc>
          <w:tcPr>
            <w:tcW w:w="851" w:type="dxa"/>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«Espèce:</w:t>
            </w:r>
          </w:p>
        </w:tc>
        <w:tc>
          <w:tcPr>
            <w:tcW w:w="3544" w:type="dxa"/>
            <w:gridSpan w:val="3"/>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Chinchard du Chili</w:t>
            </w:r>
          </w:p>
          <w:p>
            <w:pPr>
              <w:keepNext/>
              <w:tabs>
                <w:tab w:val="left" w:pos="850"/>
              </w:tabs>
              <w:spacing w:before="60" w:after="60"/>
              <w:outlineLvl w:val="0"/>
              <w:rPr>
                <w:noProof/>
                <w:sz w:val="18"/>
                <w:szCs w:val="16"/>
              </w:rPr>
            </w:pPr>
            <w:r>
              <w:rPr>
                <w:i/>
                <w:iCs/>
                <w:noProof/>
                <w:sz w:val="18"/>
                <w:szCs w:val="16"/>
              </w:rPr>
              <w:t>Trachurus murphyi</w:t>
            </w:r>
          </w:p>
        </w:tc>
        <w:tc>
          <w:tcPr>
            <w:tcW w:w="850" w:type="dxa"/>
            <w:tcBorders>
              <w:top w:val="single" w:sz="8" w:space="0" w:color="auto"/>
              <w:left w:val="single" w:sz="8" w:space="0" w:color="auto"/>
              <w:bottom w:val="single" w:sz="8" w:space="0" w:color="auto"/>
              <w:right w:val="nil"/>
            </w:tcBorders>
            <w:noWrap/>
            <w:hideMark/>
          </w:tcPr>
          <w:p>
            <w:pPr>
              <w:spacing w:before="60" w:after="60"/>
              <w:rPr>
                <w:noProof/>
                <w:sz w:val="18"/>
                <w:szCs w:val="16"/>
              </w:rPr>
            </w:pPr>
            <w:r>
              <w:rPr>
                <w:noProof/>
                <w:sz w:val="18"/>
                <w:szCs w:val="16"/>
              </w:rPr>
              <w:t>Zone:</w:t>
            </w:r>
          </w:p>
        </w:tc>
        <w:tc>
          <w:tcPr>
            <w:tcW w:w="4394" w:type="dxa"/>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Zone de la convention ORGPPS</w:t>
            </w:r>
          </w:p>
          <w:p>
            <w:pPr>
              <w:spacing w:before="60" w:after="60"/>
              <w:rPr>
                <w:noProof/>
                <w:sz w:val="18"/>
                <w:szCs w:val="16"/>
              </w:rPr>
            </w:pPr>
            <w:r>
              <w:rPr>
                <w:noProof/>
                <w:sz w:val="18"/>
                <w:szCs w:val="16"/>
              </w:rPr>
              <w:t>(CJM/SPRFMO)</w:t>
            </w:r>
          </w:p>
        </w:tc>
      </w:tr>
      <w:tr>
        <w:trPr>
          <w:trHeight w:val="20"/>
        </w:trPr>
        <w:tc>
          <w:tcPr>
            <w:tcW w:w="1843" w:type="dxa"/>
            <w:gridSpan w:val="2"/>
            <w:tcBorders>
              <w:top w:val="single" w:sz="8" w:space="0" w:color="auto"/>
            </w:tcBorders>
            <w:noWrap/>
            <w:hideMark/>
          </w:tcPr>
          <w:p>
            <w:pPr>
              <w:spacing w:before="60" w:after="60"/>
              <w:rPr>
                <w:noProof/>
                <w:sz w:val="18"/>
                <w:szCs w:val="16"/>
              </w:rPr>
            </w:pPr>
            <w:r>
              <w:rPr>
                <w:noProof/>
                <w:sz w:val="18"/>
                <w:szCs w:val="16"/>
              </w:rPr>
              <w:t>Allemagne</w:t>
            </w:r>
          </w:p>
        </w:tc>
        <w:tc>
          <w:tcPr>
            <w:tcW w:w="1701" w:type="dxa"/>
            <w:tcBorders>
              <w:top w:val="single" w:sz="8" w:space="0" w:color="auto"/>
            </w:tcBorders>
            <w:noWrap/>
            <w:hideMark/>
          </w:tcPr>
          <w:p>
            <w:pPr>
              <w:spacing w:before="60" w:after="60"/>
              <w:jc w:val="right"/>
              <w:rPr>
                <w:noProof/>
                <w:sz w:val="18"/>
                <w:szCs w:val="16"/>
              </w:rPr>
            </w:pPr>
            <w:r>
              <w:rPr>
                <w:noProof/>
                <w:sz w:val="18"/>
                <w:szCs w:val="16"/>
              </w:rPr>
              <w:t>10 446,80</w:t>
            </w:r>
          </w:p>
        </w:tc>
        <w:tc>
          <w:tcPr>
            <w:tcW w:w="851" w:type="dxa"/>
            <w:tcBorders>
              <w:top w:val="single" w:sz="8" w:space="0" w:color="auto"/>
            </w:tcBorders>
          </w:tcPr>
          <w:p>
            <w:pPr>
              <w:spacing w:before="60" w:after="60"/>
              <w:rPr>
                <w:noProof/>
                <w:sz w:val="18"/>
                <w:szCs w:val="16"/>
                <w:vertAlign w:val="superscript"/>
              </w:rPr>
            </w:pPr>
          </w:p>
        </w:tc>
        <w:tc>
          <w:tcPr>
            <w:tcW w:w="5244" w:type="dxa"/>
            <w:gridSpan w:val="2"/>
            <w:vMerge w:val="restart"/>
            <w:tcBorders>
              <w:top w:val="single" w:sz="8" w:space="0" w:color="auto"/>
            </w:tcBorders>
            <w:noWrap/>
            <w:hideMark/>
          </w:tcPr>
          <w:p>
            <w:pPr>
              <w:spacing w:before="60" w:after="60"/>
              <w:rPr>
                <w:noProof/>
                <w:sz w:val="18"/>
                <w:szCs w:val="16"/>
              </w:rPr>
            </w:pPr>
            <w:r>
              <w:rPr>
                <w:noProof/>
                <w:sz w:val="18"/>
                <w:szCs w:val="16"/>
              </w:rPr>
              <w:t>TAC analytique</w:t>
            </w:r>
          </w:p>
          <w:p>
            <w:pPr>
              <w:spacing w:before="60" w:after="60"/>
              <w:rPr>
                <w:noProof/>
                <w:sz w:val="18"/>
                <w:szCs w:val="16"/>
              </w:rPr>
            </w:pPr>
            <w:r>
              <w:rPr>
                <w:noProof/>
                <w:sz w:val="18"/>
                <w:szCs w:val="16"/>
              </w:rPr>
              <w:t>L'article 3 du règlement (CE) nº 847/96 ne s'applique pas.</w:t>
            </w:r>
          </w:p>
          <w:p>
            <w:pPr>
              <w:spacing w:before="60" w:after="60"/>
              <w:rPr>
                <w:noProof/>
                <w:sz w:val="18"/>
                <w:szCs w:val="16"/>
              </w:rPr>
            </w:pPr>
            <w:r>
              <w:rPr>
                <w:noProof/>
                <w:sz w:val="18"/>
                <w:szCs w:val="16"/>
              </w:rPr>
              <w:t>L'article 4 du règlement (CE) nº 847/96 ne s'applique pas.</w:t>
            </w:r>
          </w:p>
        </w:tc>
      </w:tr>
      <w:tr>
        <w:trPr>
          <w:trHeight w:val="20"/>
        </w:trPr>
        <w:tc>
          <w:tcPr>
            <w:tcW w:w="1843" w:type="dxa"/>
            <w:gridSpan w:val="2"/>
            <w:noWrap/>
            <w:hideMark/>
          </w:tcPr>
          <w:p>
            <w:pPr>
              <w:spacing w:before="60" w:after="60"/>
              <w:rPr>
                <w:noProof/>
                <w:sz w:val="18"/>
                <w:szCs w:val="16"/>
              </w:rPr>
            </w:pPr>
            <w:r>
              <w:rPr>
                <w:noProof/>
                <w:sz w:val="18"/>
                <w:szCs w:val="16"/>
              </w:rPr>
              <w:t>Pays-Bas</w:t>
            </w:r>
          </w:p>
        </w:tc>
        <w:tc>
          <w:tcPr>
            <w:tcW w:w="1701" w:type="dxa"/>
            <w:noWrap/>
          </w:tcPr>
          <w:p>
            <w:pPr>
              <w:spacing w:before="60" w:after="60"/>
              <w:jc w:val="right"/>
              <w:rPr>
                <w:noProof/>
                <w:sz w:val="18"/>
                <w:szCs w:val="16"/>
              </w:rPr>
            </w:pPr>
            <w:r>
              <w:rPr>
                <w:noProof/>
                <w:sz w:val="18"/>
                <w:szCs w:val="18"/>
              </w:rPr>
              <w:t>11 323,26</w:t>
            </w:r>
          </w:p>
        </w:tc>
        <w:tc>
          <w:tcPr>
            <w:tcW w:w="851" w:type="dxa"/>
          </w:tcPr>
          <w:p>
            <w:pPr>
              <w:spacing w:before="60" w:after="60"/>
              <w:rPr>
                <w:noProof/>
                <w:sz w:val="18"/>
                <w:szCs w:val="16"/>
              </w:rPr>
            </w:pPr>
          </w:p>
        </w:tc>
        <w:tc>
          <w:tcPr>
            <w:tcW w:w="5244" w:type="dxa"/>
            <w:gridSpan w:val="2"/>
            <w:vMerge/>
            <w:noWrap/>
            <w:hideMark/>
          </w:tcPr>
          <w:p>
            <w:pPr>
              <w:spacing w:before="60" w:after="60"/>
              <w:rPr>
                <w:noProof/>
                <w:sz w:val="18"/>
                <w:szCs w:val="16"/>
              </w:rPr>
            </w:pPr>
          </w:p>
        </w:tc>
      </w:tr>
      <w:tr>
        <w:trPr>
          <w:trHeight w:val="20"/>
        </w:trPr>
        <w:tc>
          <w:tcPr>
            <w:tcW w:w="1843" w:type="dxa"/>
            <w:gridSpan w:val="2"/>
            <w:noWrap/>
            <w:hideMark/>
          </w:tcPr>
          <w:p>
            <w:pPr>
              <w:spacing w:before="60" w:after="60"/>
              <w:rPr>
                <w:noProof/>
                <w:sz w:val="18"/>
                <w:szCs w:val="16"/>
              </w:rPr>
            </w:pPr>
            <w:r>
              <w:rPr>
                <w:noProof/>
                <w:sz w:val="18"/>
                <w:szCs w:val="16"/>
              </w:rPr>
              <w:t>Lituanie</w:t>
            </w:r>
          </w:p>
        </w:tc>
        <w:tc>
          <w:tcPr>
            <w:tcW w:w="1701" w:type="dxa"/>
            <w:noWrap/>
          </w:tcPr>
          <w:p>
            <w:pPr>
              <w:spacing w:before="60" w:after="60"/>
              <w:jc w:val="right"/>
              <w:rPr>
                <w:noProof/>
                <w:sz w:val="18"/>
                <w:szCs w:val="16"/>
              </w:rPr>
            </w:pPr>
            <w:r>
              <w:rPr>
                <w:noProof/>
                <w:sz w:val="18"/>
                <w:szCs w:val="16"/>
              </w:rPr>
              <w:t>7 269,16</w:t>
            </w:r>
          </w:p>
        </w:tc>
        <w:tc>
          <w:tcPr>
            <w:tcW w:w="851" w:type="dxa"/>
          </w:tcPr>
          <w:p>
            <w:pPr>
              <w:spacing w:before="60" w:after="60"/>
              <w:rPr>
                <w:noProof/>
                <w:sz w:val="18"/>
                <w:szCs w:val="16"/>
              </w:rPr>
            </w:pPr>
          </w:p>
        </w:tc>
        <w:tc>
          <w:tcPr>
            <w:tcW w:w="5244" w:type="dxa"/>
            <w:gridSpan w:val="2"/>
            <w:vMerge/>
            <w:noWrap/>
            <w:hideMark/>
          </w:tcPr>
          <w:p>
            <w:pPr>
              <w:spacing w:before="60" w:after="60"/>
              <w:rPr>
                <w:noProof/>
                <w:sz w:val="18"/>
                <w:szCs w:val="16"/>
              </w:rPr>
            </w:pPr>
          </w:p>
        </w:tc>
      </w:tr>
      <w:tr>
        <w:trPr>
          <w:trHeight w:val="20"/>
        </w:trPr>
        <w:tc>
          <w:tcPr>
            <w:tcW w:w="1843" w:type="dxa"/>
            <w:gridSpan w:val="2"/>
            <w:noWrap/>
            <w:hideMark/>
          </w:tcPr>
          <w:p>
            <w:pPr>
              <w:spacing w:before="60" w:after="60"/>
              <w:rPr>
                <w:noProof/>
                <w:sz w:val="18"/>
                <w:szCs w:val="16"/>
              </w:rPr>
            </w:pPr>
            <w:r>
              <w:rPr>
                <w:noProof/>
                <w:sz w:val="18"/>
                <w:szCs w:val="16"/>
              </w:rPr>
              <w:t>Pologne</w:t>
            </w:r>
          </w:p>
        </w:tc>
        <w:tc>
          <w:tcPr>
            <w:tcW w:w="1701" w:type="dxa"/>
            <w:noWrap/>
          </w:tcPr>
          <w:p>
            <w:pPr>
              <w:spacing w:before="60" w:after="60"/>
              <w:jc w:val="right"/>
              <w:rPr>
                <w:noProof/>
                <w:sz w:val="18"/>
                <w:szCs w:val="16"/>
              </w:rPr>
            </w:pPr>
            <w:r>
              <w:rPr>
                <w:noProof/>
                <w:sz w:val="18"/>
                <w:szCs w:val="18"/>
              </w:rPr>
              <w:t>12 498,78</w:t>
            </w:r>
          </w:p>
        </w:tc>
        <w:tc>
          <w:tcPr>
            <w:tcW w:w="851" w:type="dxa"/>
          </w:tcPr>
          <w:p>
            <w:pPr>
              <w:spacing w:before="60" w:after="60"/>
              <w:rPr>
                <w:noProof/>
                <w:sz w:val="18"/>
                <w:szCs w:val="16"/>
              </w:rPr>
            </w:pPr>
          </w:p>
        </w:tc>
        <w:tc>
          <w:tcPr>
            <w:tcW w:w="5244" w:type="dxa"/>
            <w:gridSpan w:val="2"/>
            <w:vMerge/>
            <w:noWrap/>
            <w:hideMark/>
          </w:tcPr>
          <w:p>
            <w:pPr>
              <w:spacing w:before="60" w:after="60"/>
              <w:rPr>
                <w:noProof/>
                <w:sz w:val="18"/>
                <w:szCs w:val="16"/>
              </w:rPr>
            </w:pPr>
          </w:p>
        </w:tc>
      </w:tr>
      <w:tr>
        <w:trPr>
          <w:trHeight w:val="20"/>
        </w:trPr>
        <w:tc>
          <w:tcPr>
            <w:tcW w:w="1843" w:type="dxa"/>
            <w:gridSpan w:val="2"/>
            <w:noWrap/>
            <w:hideMark/>
          </w:tcPr>
          <w:p>
            <w:pPr>
              <w:spacing w:before="60" w:after="60"/>
              <w:rPr>
                <w:noProof/>
                <w:sz w:val="18"/>
                <w:szCs w:val="16"/>
              </w:rPr>
            </w:pPr>
            <w:r>
              <w:rPr>
                <w:noProof/>
                <w:sz w:val="18"/>
                <w:szCs w:val="16"/>
              </w:rPr>
              <w:t>Union</w:t>
            </w:r>
          </w:p>
        </w:tc>
        <w:tc>
          <w:tcPr>
            <w:tcW w:w="1701" w:type="dxa"/>
            <w:noWrap/>
          </w:tcPr>
          <w:p>
            <w:pPr>
              <w:spacing w:before="60" w:after="60"/>
              <w:jc w:val="right"/>
              <w:rPr>
                <w:noProof/>
                <w:sz w:val="18"/>
                <w:szCs w:val="16"/>
              </w:rPr>
            </w:pPr>
            <w:r>
              <w:rPr>
                <w:noProof/>
                <w:sz w:val="18"/>
                <w:szCs w:val="16"/>
              </w:rPr>
              <w:t>41 538</w:t>
            </w:r>
          </w:p>
        </w:tc>
        <w:tc>
          <w:tcPr>
            <w:tcW w:w="851" w:type="dxa"/>
          </w:tcPr>
          <w:p>
            <w:pPr>
              <w:spacing w:before="60" w:after="60"/>
              <w:rPr>
                <w:noProof/>
                <w:sz w:val="18"/>
                <w:szCs w:val="16"/>
              </w:rPr>
            </w:pPr>
          </w:p>
        </w:tc>
        <w:tc>
          <w:tcPr>
            <w:tcW w:w="5244" w:type="dxa"/>
            <w:gridSpan w:val="2"/>
            <w:vMerge/>
            <w:noWrap/>
            <w:hideMark/>
          </w:tcPr>
          <w:p>
            <w:pPr>
              <w:spacing w:before="60" w:after="60"/>
              <w:rPr>
                <w:noProof/>
                <w:sz w:val="18"/>
                <w:szCs w:val="16"/>
              </w:rPr>
            </w:pPr>
          </w:p>
        </w:tc>
      </w:tr>
      <w:tr>
        <w:trPr>
          <w:trHeight w:val="20"/>
        </w:trPr>
        <w:tc>
          <w:tcPr>
            <w:tcW w:w="1843" w:type="dxa"/>
            <w:gridSpan w:val="2"/>
            <w:noWrap/>
            <w:hideMark/>
          </w:tcPr>
          <w:p>
            <w:pPr>
              <w:spacing w:before="60" w:after="60"/>
              <w:rPr>
                <w:noProof/>
                <w:sz w:val="18"/>
                <w:szCs w:val="16"/>
              </w:rPr>
            </w:pPr>
            <w:r>
              <w:rPr>
                <w:noProof/>
                <w:sz w:val="18"/>
                <w:szCs w:val="16"/>
              </w:rPr>
              <w:t>TAC</w:t>
            </w:r>
          </w:p>
        </w:tc>
        <w:tc>
          <w:tcPr>
            <w:tcW w:w="1701" w:type="dxa"/>
            <w:noWrap/>
            <w:hideMark/>
          </w:tcPr>
          <w:p>
            <w:pPr>
              <w:spacing w:before="60" w:after="60"/>
              <w:jc w:val="right"/>
              <w:rPr>
                <w:noProof/>
                <w:sz w:val="18"/>
                <w:szCs w:val="16"/>
              </w:rPr>
            </w:pPr>
            <w:r>
              <w:rPr>
                <w:noProof/>
                <w:sz w:val="18"/>
                <w:szCs w:val="16"/>
              </w:rPr>
              <w:t>Sans objet»</w:t>
            </w:r>
          </w:p>
        </w:tc>
        <w:tc>
          <w:tcPr>
            <w:tcW w:w="851" w:type="dxa"/>
          </w:tcPr>
          <w:p>
            <w:pPr>
              <w:spacing w:before="60" w:after="60"/>
              <w:rPr>
                <w:noProof/>
                <w:sz w:val="18"/>
                <w:szCs w:val="16"/>
              </w:rPr>
            </w:pPr>
          </w:p>
        </w:tc>
        <w:tc>
          <w:tcPr>
            <w:tcW w:w="5244" w:type="dxa"/>
            <w:gridSpan w:val="2"/>
            <w:vMerge/>
          </w:tcPr>
          <w:p>
            <w:pPr>
              <w:spacing w:before="60" w:after="60"/>
              <w:rPr>
                <w:noProof/>
                <w:sz w:val="18"/>
                <w:szCs w:val="16"/>
              </w:rPr>
            </w:pPr>
          </w:p>
        </w:tc>
      </w:tr>
      <w:tr>
        <w:trPr>
          <w:trHeight w:val="20"/>
        </w:trPr>
        <w:tc>
          <w:tcPr>
            <w:tcW w:w="851" w:type="dxa"/>
            <w:tcBorders>
              <w:top w:val="nil"/>
              <w:left w:val="nil"/>
              <w:bottom w:val="single" w:sz="8" w:space="0" w:color="auto"/>
              <w:right w:val="nil"/>
            </w:tcBorders>
            <w:noWrap/>
          </w:tcPr>
          <w:p>
            <w:pPr>
              <w:spacing w:before="60" w:after="60"/>
              <w:rPr>
                <w:noProof/>
                <w:sz w:val="18"/>
                <w:szCs w:val="16"/>
                <w:vertAlign w:val="superscript"/>
              </w:rPr>
            </w:pPr>
          </w:p>
        </w:tc>
        <w:tc>
          <w:tcPr>
            <w:tcW w:w="8788" w:type="dxa"/>
            <w:gridSpan w:val="5"/>
            <w:tcBorders>
              <w:top w:val="nil"/>
              <w:left w:val="nil"/>
              <w:bottom w:val="single" w:sz="8" w:space="0" w:color="auto"/>
              <w:right w:val="nil"/>
            </w:tcBorders>
            <w:noWrap/>
          </w:tcPr>
          <w:p>
            <w:pPr>
              <w:spacing w:before="60" w:after="60"/>
              <w:rPr>
                <w:noProof/>
                <w:sz w:val="18"/>
                <w:szCs w:val="16"/>
              </w:rPr>
            </w:pPr>
          </w:p>
        </w:tc>
      </w:tr>
    </w:tbl>
    <w:p>
      <w:pPr>
        <w:rPr>
          <w:noProof/>
        </w:rPr>
      </w:pPr>
      <w:r>
        <w:rPr>
          <w:noProof/>
        </w:rPr>
        <w:t>;</w:t>
      </w:r>
    </w:p>
    <w:p>
      <w:pPr>
        <w:pStyle w:val="Point0"/>
        <w:rPr>
          <w:noProof/>
        </w:rPr>
      </w:pPr>
      <w:r>
        <w:rPr>
          <w:noProof/>
        </w:rPr>
        <w:t>4)</w:t>
      </w:r>
      <w:r>
        <w:rPr>
          <w:noProof/>
        </w:rPr>
        <w:tab/>
        <w:t>À l’annexe V, dans le tableau de la partie B relatif aux «Limitations quantitatives des autorisations de pêche applicables aux navires de pays tiers pêchant dans les eaux de l’Union», la note de bas de page 1 est remplacée par le texte suivant:</w:t>
      </w:r>
    </w:p>
    <w:p>
      <w:pPr>
        <w:ind w:left="720"/>
        <w:rPr>
          <w:noProof/>
        </w:rPr>
      </w:pPr>
      <w:r>
        <w:rPr>
          <w:noProof/>
        </w:rPr>
        <w:t xml:space="preserve"> « (</w:t>
      </w:r>
      <w:r>
        <w:rPr>
          <w:noProof/>
          <w:vertAlign w:val="superscript"/>
        </w:rPr>
        <w:t>1</w:t>
      </w:r>
      <w:r>
        <w:rPr>
          <w:noProof/>
        </w:rPr>
        <w:t>)Pour que lesdites autorisations de pêche soient délivrées, il faut apporter la preuve qu'un contrat valable a été conclu entre le propriétaire du navire qui demande l'autorisation de pêche et une entreprise de transformation située dans le département de la Guyane française, et que ledit contrat prévoie l'obligation de débarquer dans ledit département au moins 75 % de toutes les prises de vivaneaux du navire concerné, de sorte qu'ils puissent être transformés dans les installations de cette entreprise. Ledit contrat doit être approuvé par les autorités françaises, qui veillent à ce qu’il soit compatible non seulement avec la capacité réelle de l’entreprise de transformation contractante, mais aussi avec les objectifs de développement de l’économie guyanaise. Une copie du contrat approuvé en bonne et due forme figure en appendice de la demande d’autorisation de pêche. Si cette approbation est refusée, les autorités françaises le notifient à la partie concernée et à la Commission en indiquant les motifs du refus. Un navire de pêche battant pavillon du Venezuela autorisé à exercer des activités de pêche en 2020 peut continuer à pêcher jusqu’au 1</w:t>
      </w:r>
      <w:r>
        <w:rPr>
          <w:noProof/>
          <w:vertAlign w:val="superscript"/>
        </w:rPr>
        <w:t>er</w:t>
      </w:r>
      <w:r>
        <w:rPr>
          <w:noProof/>
        </w:rPr>
        <w:t xml:space="preserve"> avril 2021 sous réserve du renouvellement de son autorisation de pêche et si:</w:t>
      </w:r>
    </w:p>
    <w:p>
      <w:pPr>
        <w:ind w:firstLine="720"/>
        <w:rPr>
          <w:noProof/>
        </w:rPr>
      </w:pPr>
      <w:r>
        <w:rPr>
          <w:noProof/>
        </w:rPr>
        <w:t>- l’opérateur du navire a signé un nouveau contrat de fourniture pour 2021,</w:t>
      </w:r>
    </w:p>
    <w:p>
      <w:pPr>
        <w:ind w:firstLine="720"/>
        <w:rPr>
          <w:noProof/>
        </w:rPr>
      </w:pPr>
      <w:r>
        <w:rPr>
          <w:noProof/>
        </w:rPr>
        <w:t>- les procédures de renouvellement d’autorisation pour ce navire sont en cours,</w:t>
      </w:r>
    </w:p>
    <w:p>
      <w:pPr>
        <w:ind w:left="720"/>
        <w:rPr>
          <w:noProof/>
        </w:rPr>
      </w:pPr>
      <w:r>
        <w:rPr>
          <w:noProof/>
        </w:rPr>
        <w:t>- l'opérateur du navire a respecté ses obligations en matière de communication d’informations et ses obligations contractuelles en matière de débarquement en 2020.</w:t>
      </w:r>
    </w:p>
    <w:p>
      <w:pPr>
        <w:ind w:left="720"/>
        <w:rPr>
          <w:noProof/>
        </w:rPr>
      </w:pPr>
      <w:r>
        <w:rPr>
          <w:noProof/>
        </w:rPr>
        <w:t>Cette prorogation expire à la date d’entrée en vigueur de la décision de la Commission délivrant une autorisation de pêche au navire pour 2021, ou au moment où la Commission a notifié que l’autorisation est refusée.»</w:t>
      </w:r>
    </w:p>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t xml:space="preserve">ANNEXE </w:t>
      </w:r>
      <w:r>
        <w:rPr>
          <w:rStyle w:val="Marker"/>
          <w:noProof/>
        </w:rPr>
        <w: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A8F5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6E0E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3882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0C84E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D1A87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4A51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3A2CA0"/>
    <w:lvl w:ilvl="0">
      <w:start w:val="1"/>
      <w:numFmt w:val="decimal"/>
      <w:pStyle w:val="ListNumber"/>
      <w:lvlText w:val="%1."/>
      <w:lvlJc w:val="left"/>
      <w:pPr>
        <w:tabs>
          <w:tab w:val="num" w:pos="360"/>
        </w:tabs>
        <w:ind w:left="360" w:hanging="360"/>
      </w:pPr>
    </w:lvl>
  </w:abstractNum>
  <w:abstractNum w:abstractNumId="7">
    <w:nsid w:val="FFFFFF89"/>
    <w:multiLevelType w:val="singleLevel"/>
    <w:tmpl w:val="67E886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6 15:39:5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3D77D063-0898-423C-97A6-50CDE872EB57"/>
    <w:docVar w:name="LW_COVERPAGE_TYPE" w:val="1"/>
    <w:docVar w:name="LW_CROSSREFERENCE" w:val="&lt;UNUSED&gt;"/>
    <w:docVar w:name="LW_DocType" w:val="ANNEX"/>
    <w:docVar w:name="LW_EMISSION" w:val="20.5.2020"/>
    <w:docVar w:name="LW_EMISSION_ISODATE" w:val="2020-05-20"/>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modifiant le règlement (UE) 2019/1838 en ce qui concerne certaines possibilités de pêche pour 2020 dans la mer Baltique, et modifiant le règlement (UE) 2020/123 en ce qui concerne certaines possibilités de pêche pour 2020 dans les eaux de l\u8217?Union et n\u8217?appartenant pas à l\u8217?Union&lt;/FMT&gt;_x000b_"/>
    <w:docVar w:name="LW_OBJETACTEPRINCIPAL.CP" w:val="&lt;FMT:Bold&gt;modifiant le règlement (UE) 2019/1838 en ce qui concerne certaines possibilités de pêche pour 2020 dans la mer Baltique, et modifiant le règlement (UE) 2020/123 en ce qui concerne certaines possibilités de pêche pour 2020 dans les eaux de l\u8217?Union et n\u8217?appartenant pas à l\u8217?Union&lt;/FMT&gt;_x000b_"/>
    <w:docVar w:name="LW_PART_NBR" w:val="&lt;UNUSED&gt;"/>
    <w:docVar w:name="LW_PART_NBR_TOTAL" w:val="&lt;UNUSED&gt;"/>
    <w:docVar w:name="LW_REF.INST.NEW" w:val="COM"/>
    <w:docVar w:name="LW_REF.INST.NEW_ADOPTED" w:val="final"/>
    <w:docVar w:name="LW_REF.INST.NEW_TEXT" w:val="(2020) 2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 règlement du Conseil_x000b_"/>
    <w:docVar w:name="LW_TYPEACTEPRINCIPAL.CP" w:val="Proposition de règlement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510CDCE-FB07-4836-99D9-920B27BE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Pages>
  <Words>1778</Words>
  <Characters>8749</Characters>
  <Application>Microsoft Office Word</Application>
  <DocSecurity>0</DocSecurity>
  <Lines>673</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Veronique (MARE)</dc:creator>
  <cp:keywords/>
  <dc:description/>
  <cp:lastModifiedBy>DIGIT/C6</cp:lastModifiedBy>
  <cp:revision>9</cp:revision>
  <dcterms:created xsi:type="dcterms:W3CDTF">2020-05-26T07:28:00Z</dcterms:created>
  <dcterms:modified xsi:type="dcterms:W3CDTF">2020-05-26T13:39:00Z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