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87088E2-2CEF-4363-A988-A72BB2E060BB" style="width:450.8pt;height:447.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ANNEX</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Annexes I, II, V to Commission proposal COM(2018) 375 are amended as follows:</w:t>
      </w:r>
    </w:p>
    <w:p>
      <w:pPr>
        <w:pStyle w:val="NormalCentered"/>
        <w:jc w:val="left"/>
        <w:rPr>
          <w:noProof/>
          <w:szCs w:val="24"/>
        </w:rPr>
      </w:pPr>
    </w:p>
    <w:p>
      <w:pPr>
        <w:pStyle w:val="NormalCentered"/>
        <w:jc w:val="left"/>
        <w:rPr>
          <w:noProof/>
          <w:szCs w:val="24"/>
        </w:rPr>
      </w:pPr>
      <w:r>
        <w:rPr>
          <w:noProof/>
          <w:szCs w:val="24"/>
        </w:rPr>
        <w:t xml:space="preserve"> (1) In Annex I, the following dimension codes are inserted in Table 1:</w:t>
      </w:r>
    </w:p>
    <w:p>
      <w:pPr>
        <w:pStyle w:val="NormalCentered"/>
        <w:jc w:val="left"/>
        <w:rPr>
          <w:noProof/>
          <w:szCs w:val="24"/>
        </w:rPr>
      </w:pPr>
      <w:r>
        <w:rPr>
          <w:noProof/>
          <w:szCs w:val="24"/>
        </w:rPr>
        <w:t xml:space="preserve"> “</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0053"/>
        <w:gridCol w:w="1654"/>
        <w:gridCol w:w="1808"/>
      </w:tblGrid>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rFonts w:ascii="Times New Roman" w:hAnsi="Times New Roman" w:cs="Times New Roman"/>
                <w:noProof/>
                <w:sz w:val="20"/>
              </w:rPr>
            </w:pPr>
            <w:r>
              <w:rPr>
                <w:rFonts w:ascii="Times New Roman" w:hAnsi="Times New Roman" w:cs="Times New Roman"/>
                <w:noProof/>
                <w:sz w:val="20"/>
              </w:rPr>
              <w:t>023a</w:t>
            </w:r>
          </w:p>
        </w:tc>
        <w:tc>
          <w:tcPr>
            <w:tcW w:w="10053"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ascii="Times New Roman" w:hAnsi="Times New Roman" w:cs="Times New Roman"/>
                <w:noProof/>
                <w:sz w:val="20"/>
              </w:rPr>
            </w:pPr>
            <w:r>
              <w:rPr>
                <w:rFonts w:ascii="Times New Roman" w:hAnsi="Times New Roman" w:cs="Times New Roman"/>
                <w:noProof/>
                <w:sz w:val="20"/>
              </w:rPr>
              <w:t>Financing of working capital in SMEs in the form of grants to address emergency situation*</w:t>
            </w:r>
          </w:p>
        </w:tc>
        <w:tc>
          <w:tcPr>
            <w:tcW w:w="1654"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cs="Times New Roman"/>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cs="Times New Roman"/>
                <w:noProof/>
                <w:sz w:val="20"/>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rFonts w:ascii="Times New Roman" w:hAnsi="Times New Roman" w:cs="Times New Roman"/>
                <w:noProof/>
                <w:sz w:val="20"/>
              </w:rPr>
            </w:pPr>
            <w:r>
              <w:rPr>
                <w:rFonts w:ascii="Times New Roman" w:hAnsi="Times New Roman" w:cs="Times New Roman"/>
                <w:noProof/>
                <w:sz w:val="20"/>
              </w:rPr>
              <w:t>095a</w:t>
            </w:r>
          </w:p>
        </w:tc>
        <w:tc>
          <w:tcPr>
            <w:tcW w:w="10053"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ascii="Times New Roman" w:hAnsi="Times New Roman" w:cs="Times New Roman"/>
                <w:noProof/>
                <w:sz w:val="20"/>
              </w:rPr>
            </w:pPr>
            <w:r>
              <w:rPr>
                <w:rFonts w:ascii="Times New Roman" w:hAnsi="Times New Roman" w:cs="Times New Roman"/>
                <w:noProof/>
                <w:sz w:val="20"/>
              </w:rPr>
              <w:t>Critical equipment and supplies necessary to address emergency situation</w:t>
            </w:r>
          </w:p>
        </w:tc>
        <w:tc>
          <w:tcPr>
            <w:tcW w:w="1654"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cs="Times New Roman"/>
                <w:noProof/>
                <w:sz w:val="20"/>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rFonts w:ascii="Times New Roman" w:hAnsi="Times New Roman" w:cs="Times New Roman"/>
                <w:noProof/>
                <w:sz w:val="20"/>
              </w:rPr>
            </w:pPr>
            <w:r>
              <w:rPr>
                <w:rFonts w:ascii="Times New Roman" w:hAnsi="Times New Roman" w:cs="Times New Roman"/>
                <w:noProof/>
                <w:sz w:val="20"/>
              </w:rPr>
              <w:t>0 %</w:t>
            </w:r>
          </w:p>
        </w:tc>
      </w:tr>
    </w:tbl>
    <w:p>
      <w:pPr>
        <w:pStyle w:val="NormalCentered"/>
        <w:jc w:val="left"/>
        <w:rPr>
          <w:noProof/>
          <w:szCs w:val="24"/>
        </w:rPr>
      </w:pPr>
      <w:r>
        <w:rPr>
          <w:noProof/>
          <w:szCs w:val="24"/>
        </w:rPr>
        <w:t>*Code 023a is only available for use where temporary measures for the use of the ERDF in response to exceptional circumstances are implemented pursuant to Article 11a of [ERDF amended proposal].”</w:t>
      </w:r>
    </w:p>
    <w:p>
      <w:pPr>
        <w:pStyle w:val="NormalCentered"/>
        <w:jc w:val="left"/>
        <w:rPr>
          <w:noProof/>
          <w:szCs w:val="24"/>
        </w:rPr>
      </w:pPr>
    </w:p>
    <w:p>
      <w:pPr>
        <w:pStyle w:val="NormalCentered"/>
        <w:jc w:val="left"/>
        <w:rPr>
          <w:noProof/>
          <w:szCs w:val="24"/>
        </w:rPr>
      </w:pPr>
    </w:p>
    <w:p>
      <w:pPr>
        <w:pStyle w:val="NormalCentered"/>
        <w:jc w:val="left"/>
        <w:rPr>
          <w:noProof/>
          <w:szCs w:val="24"/>
        </w:rPr>
        <w:sectPr>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6838" w:h="11906" w:orient="landscape" w:code="9"/>
          <w:pgMar w:top="1417" w:right="1417" w:bottom="1417" w:left="1417" w:header="709" w:footer="709" w:gutter="0"/>
          <w:cols w:space="720"/>
          <w:titlePg/>
          <w:docGrid w:linePitch="360"/>
        </w:sectPr>
      </w:pPr>
    </w:p>
    <w:p>
      <w:pPr>
        <w:spacing w:before="120" w:after="0" w:line="240" w:lineRule="auto"/>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In Annex II, the following point 4a is inserted :</w:t>
      </w:r>
    </w:p>
    <w:p>
      <w:pPr>
        <w:spacing w:after="0" w:line="240" w:lineRule="auto"/>
        <w:rPr>
          <w:rFonts w:ascii="Times New Roman" w:hAnsi="Times New Roman" w:cs="Times New Roman"/>
          <w:noProof/>
          <w:sz w:val="24"/>
          <w:szCs w:val="24"/>
        </w:rPr>
      </w:pPr>
    </w:p>
    <w:p>
      <w:pPr>
        <w:spacing w:after="120" w:line="24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“4a. Transfers to instruments under direct or indirect management, between shared management funds, including between cohesion policy funds with justification</w:t>
      </w: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Reference: Article 8(d) and Article 21</w:t>
      </w:r>
    </w:p>
    <w:p>
      <w:pPr>
        <w:rPr>
          <w:rFonts w:ascii="Times New Roman" w:eastAsia="Times New Roman" w:hAnsi="Times New Roman" w:cs="Times New Roman"/>
          <w:i/>
          <w:noProof/>
          <w:sz w:val="20"/>
        </w:rPr>
      </w:pPr>
      <w:r>
        <w:rPr>
          <w:rFonts w:ascii="Times New Roman" w:hAnsi="Times New Roman" w:cs="Times New Roman"/>
          <w:b/>
          <w:noProof/>
          <w:sz w:val="20"/>
        </w:rPr>
        <w:t>Table 3a: Transfers to instruments under direct or indirect management*</w:t>
      </w:r>
      <w:r>
        <w:rPr>
          <w:rFonts w:ascii="Times New Roman" w:eastAsia="Times New Roman" w:hAnsi="Times New Roman" w:cs="Times New Roman"/>
          <w:i/>
          <w:noProof/>
          <w:sz w:val="20"/>
        </w:rPr>
        <w:t xml:space="preserve"> </w:t>
      </w:r>
    </w:p>
    <w:tbl>
      <w:tblPr>
        <w:tblStyle w:val="TableGrid"/>
        <w:tblW w:w="5000" w:type="pct"/>
        <w:tblLayout w:type="fixed"/>
        <w:tblLook w:val="04A0" w:firstRow="1" w:lastRow="0" w:firstColumn="1" w:lastColumn="0" w:noHBand="0" w:noVBand="1"/>
      </w:tblPr>
      <w:tblGrid>
        <w:gridCol w:w="1252"/>
        <w:gridCol w:w="1517"/>
        <w:gridCol w:w="1736"/>
        <w:gridCol w:w="1736"/>
        <w:gridCol w:w="1736"/>
        <w:gridCol w:w="1735"/>
        <w:gridCol w:w="1735"/>
        <w:gridCol w:w="2773"/>
      </w:tblGrid>
      <w:tr>
        <w:tc>
          <w:tcPr>
            <w:tcW w:w="44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eastAsia="Times New Roman" w:hAnsi="Times New Roman" w:cs="Times New Roman"/>
                <w:b/>
                <w:noProof/>
                <w:sz w:val="18"/>
                <w:szCs w:val="18"/>
              </w:rPr>
              <w:t>Fund</w:t>
            </w:r>
          </w:p>
        </w:tc>
        <w:tc>
          <w:tcPr>
            <w:tcW w:w="533" w:type="pct"/>
            <w:tcBorders>
              <w:bottom w:val="nil"/>
            </w:tcBorders>
          </w:tcPr>
          <w:p>
            <w:pPr>
              <w:spacing w:beforeLines="60" w:before="144" w:afterLines="60" w:after="144"/>
              <w:rPr>
                <w:rFonts w:ascii="Times New Roman" w:eastAsia="Times New Roman" w:hAnsi="Times New Roman" w:cs="Times New Roman"/>
                <w:b/>
                <w:noProof/>
                <w:sz w:val="18"/>
                <w:szCs w:val="18"/>
              </w:rPr>
            </w:pPr>
            <w:r>
              <w:rPr>
                <w:rFonts w:ascii="Times New Roman" w:eastAsia="Times New Roman" w:hAnsi="Times New Roman" w:cs="Times New Roman"/>
                <w:b/>
                <w:noProof/>
                <w:sz w:val="18"/>
                <w:szCs w:val="18"/>
              </w:rPr>
              <w:t>Category of regions</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cs="Times New Roman"/>
                <w:b/>
                <w:noProof/>
                <w:sz w:val="18"/>
                <w:szCs w:val="18"/>
              </w:rPr>
              <w:t>Instrument</w:t>
            </w:r>
            <w:r>
              <w:rPr>
                <w:rFonts w:ascii="Times New Roman" w:eastAsia="Times New Roman" w:hAnsi="Times New Roman" w:cs="Times New Roman"/>
                <w:b/>
                <w:noProof/>
                <w:sz w:val="18"/>
                <w:szCs w:val="18"/>
              </w:rPr>
              <w:t xml:space="preserve"> 1</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cs="Times New Roman"/>
                <w:b/>
                <w:noProof/>
                <w:sz w:val="18"/>
                <w:szCs w:val="18"/>
              </w:rPr>
              <w:t>Instrument</w:t>
            </w:r>
            <w:r>
              <w:rPr>
                <w:rFonts w:ascii="Times New Roman" w:eastAsia="Times New Roman" w:hAnsi="Times New Roman" w:cs="Times New Roman"/>
                <w:b/>
                <w:noProof/>
                <w:sz w:val="18"/>
                <w:szCs w:val="18"/>
              </w:rPr>
              <w:t xml:space="preserve"> 2</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cs="Times New Roman"/>
                <w:b/>
                <w:noProof/>
                <w:sz w:val="18"/>
                <w:szCs w:val="18"/>
              </w:rPr>
              <w:t>Instrument</w:t>
            </w:r>
            <w:r>
              <w:rPr>
                <w:rFonts w:ascii="Times New Roman" w:eastAsia="Times New Roman" w:hAnsi="Times New Roman" w:cs="Times New Roman"/>
                <w:b/>
                <w:noProof/>
                <w:sz w:val="18"/>
                <w:szCs w:val="18"/>
              </w:rPr>
              <w:t xml:space="preserve"> 3</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cs="Times New Roman"/>
                <w:b/>
                <w:noProof/>
                <w:sz w:val="18"/>
                <w:szCs w:val="18"/>
              </w:rPr>
              <w:t>Instrument</w:t>
            </w:r>
            <w:r>
              <w:rPr>
                <w:rFonts w:ascii="Times New Roman" w:eastAsia="Times New Roman" w:hAnsi="Times New Roman" w:cs="Times New Roman"/>
                <w:b/>
                <w:noProof/>
                <w:sz w:val="18"/>
                <w:szCs w:val="18"/>
              </w:rPr>
              <w:t xml:space="preserve"> 4</w:t>
            </w:r>
          </w:p>
        </w:tc>
        <w:tc>
          <w:tcPr>
            <w:tcW w:w="610" w:type="pct"/>
            <w:tcBorders>
              <w:bottom w:val="nil"/>
            </w:tcBorders>
          </w:tcPr>
          <w:p>
            <w:pPr>
              <w:spacing w:beforeLines="60" w:before="144" w:afterLines="60" w:after="144"/>
              <w:jc w:val="center"/>
              <w:rPr>
                <w:rFonts w:ascii="Times New Roman" w:eastAsia="Times New Roman" w:hAnsi="Times New Roman" w:cs="Times New Roman"/>
                <w:b/>
                <w:noProof/>
                <w:sz w:val="18"/>
                <w:szCs w:val="18"/>
              </w:rPr>
            </w:pPr>
            <w:r>
              <w:rPr>
                <w:rFonts w:ascii="Times New Roman" w:hAnsi="Times New Roman" w:cs="Times New Roman"/>
                <w:b/>
                <w:noProof/>
                <w:sz w:val="18"/>
                <w:szCs w:val="18"/>
              </w:rPr>
              <w:t>Instrument</w:t>
            </w:r>
            <w:r>
              <w:rPr>
                <w:rFonts w:ascii="Times New Roman" w:eastAsia="Times New Roman" w:hAnsi="Times New Roman" w:cs="Times New Roman"/>
                <w:b/>
                <w:noProof/>
                <w:sz w:val="18"/>
                <w:szCs w:val="18"/>
              </w:rPr>
              <w:t xml:space="preserve"> 5</w:t>
            </w:r>
          </w:p>
        </w:tc>
        <w:tc>
          <w:tcPr>
            <w:tcW w:w="975" w:type="pct"/>
            <w:tcBorders>
              <w:bottom w:val="nil"/>
            </w:tcBorders>
          </w:tcPr>
          <w:p>
            <w:pPr>
              <w:spacing w:beforeLines="60" w:before="144" w:afterLines="60" w:after="144"/>
              <w:rPr>
                <w:rFonts w:ascii="Times New Roman" w:eastAsia="Times New Roman" w:hAnsi="Times New Roman" w:cs="Times New Roman"/>
                <w:b/>
                <w:noProof/>
                <w:sz w:val="18"/>
                <w:szCs w:val="18"/>
              </w:rPr>
            </w:pPr>
            <w:r>
              <w:rPr>
                <w:rFonts w:ascii="Times New Roman" w:eastAsia="Times New Roman" w:hAnsi="Times New Roman" w:cs="Times New Roman"/>
                <w:b/>
                <w:noProof/>
                <w:sz w:val="18"/>
                <w:szCs w:val="18"/>
              </w:rPr>
              <w:t>Transfer amount</w:t>
            </w:r>
          </w:p>
        </w:tc>
      </w:tr>
      <w:tr>
        <w:tc>
          <w:tcPr>
            <w:tcW w:w="440" w:type="pct"/>
            <w:tcBorders>
              <w:top w:val="nil"/>
            </w:tcBorders>
          </w:tcPr>
          <w:p>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tcBorders>
          </w:tcPr>
          <w:p>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(a)</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(b)</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(c)</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(d)</w:t>
            </w:r>
          </w:p>
        </w:tc>
        <w:tc>
          <w:tcPr>
            <w:tcW w:w="610"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(e)</w:t>
            </w:r>
          </w:p>
        </w:tc>
        <w:tc>
          <w:tcPr>
            <w:tcW w:w="975" w:type="pct"/>
            <w:tcBorders>
              <w:top w:val="nil"/>
            </w:tcBorders>
          </w:tcPr>
          <w:p>
            <w:pPr>
              <w:spacing w:beforeLines="60" w:before="144" w:afterLines="60" w:after="144"/>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(f)=(a)+(b)+(c)+(d)+(e)</w:t>
            </w:r>
          </w:p>
        </w:tc>
      </w:tr>
      <w:tr>
        <w:tc>
          <w:tcPr>
            <w:tcW w:w="440" w:type="pct"/>
            <w:vMerge w:val="restart"/>
          </w:tcPr>
          <w:p>
            <w:pPr>
              <w:spacing w:beforeLines="60" w:before="144" w:afterLines="60" w:after="144"/>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ERDF</w:t>
            </w: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More developed</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cs="Times New Roman"/>
                <w:noProof/>
                <w:sz w:val="16"/>
                <w:szCs w:val="16"/>
              </w:rPr>
              <w:t>Transition</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hAnsi="Times New Roman" w:cs="Times New Roman"/>
                <w:noProof/>
                <w:sz w:val="16"/>
                <w:szCs w:val="16"/>
              </w:rPr>
            </w:pPr>
            <w:r>
              <w:rPr>
                <w:rFonts w:ascii="Times New Roman" w:eastAsia="Times New Roman" w:hAnsi="Times New Roman" w:cs="Times New Roman"/>
                <w:noProof/>
                <w:sz w:val="16"/>
                <w:szCs w:val="16"/>
              </w:rPr>
              <w:t>Less developed</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hAnsi="Times New Roman" w:cs="Times New Roman"/>
                <w:noProof/>
                <w:sz w:val="16"/>
                <w:szCs w:val="16"/>
              </w:rPr>
              <w:t>Outermost and northern sparsely populated</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val="restart"/>
          </w:tcPr>
          <w:p>
            <w:pPr>
              <w:spacing w:beforeLines="60" w:before="144" w:afterLines="60" w:after="144"/>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ESF+</w:t>
            </w: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More developed</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Transition</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Less developed</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vMerge/>
          </w:tcPr>
          <w:p>
            <w:pPr>
              <w:spacing w:beforeLines="60" w:before="144" w:afterLines="60" w:after="144"/>
              <w:rPr>
                <w:rFonts w:ascii="Times New Roman" w:eastAsia="Times New Roman" w:hAnsi="Times New Roman" w:cs="Times New Roman"/>
                <w:noProof/>
                <w:sz w:val="18"/>
                <w:szCs w:val="18"/>
              </w:rPr>
            </w:pPr>
          </w:p>
        </w:tc>
        <w:tc>
          <w:tcPr>
            <w:tcW w:w="533" w:type="pct"/>
          </w:tcPr>
          <w:p>
            <w:pPr>
              <w:spacing w:beforeLines="60" w:before="144" w:afterLines="60" w:after="144"/>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Outermost</w:t>
            </w: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tcPr>
          <w:p>
            <w:pPr>
              <w:spacing w:beforeLines="60" w:before="144" w:afterLines="60" w:after="144"/>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CF</w:t>
            </w:r>
          </w:p>
        </w:tc>
        <w:tc>
          <w:tcPr>
            <w:tcW w:w="533"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tcPr>
          <w:p>
            <w:pPr>
              <w:spacing w:beforeLines="60" w:before="144" w:afterLines="60" w:after="144"/>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EMFF</w:t>
            </w:r>
          </w:p>
        </w:tc>
        <w:tc>
          <w:tcPr>
            <w:tcW w:w="533"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r>
        <w:tc>
          <w:tcPr>
            <w:tcW w:w="440" w:type="pct"/>
          </w:tcPr>
          <w:p>
            <w:pPr>
              <w:spacing w:beforeLines="60" w:before="144" w:afterLines="60" w:after="144"/>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Total</w:t>
            </w:r>
          </w:p>
        </w:tc>
        <w:tc>
          <w:tcPr>
            <w:tcW w:w="533"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610" w:type="pct"/>
          </w:tcPr>
          <w:p>
            <w:pPr>
              <w:spacing w:beforeLines="60" w:before="144" w:afterLines="60" w:after="144"/>
              <w:rPr>
                <w:rFonts w:ascii="Times New Roman" w:eastAsia="Times New Roman" w:hAnsi="Times New Roman" w:cs="Times New Roman"/>
                <w:noProof/>
                <w:sz w:val="18"/>
                <w:szCs w:val="18"/>
              </w:rPr>
            </w:pPr>
          </w:p>
        </w:tc>
        <w:tc>
          <w:tcPr>
            <w:tcW w:w="975" w:type="pct"/>
          </w:tcPr>
          <w:p>
            <w:pPr>
              <w:spacing w:beforeLines="60" w:before="144" w:afterLines="60" w:after="144"/>
              <w:rPr>
                <w:rFonts w:ascii="Times New Roman" w:eastAsia="Times New Roman" w:hAnsi="Times New Roman" w:cs="Times New Roman"/>
                <w:noProof/>
                <w:sz w:val="18"/>
                <w:szCs w:val="18"/>
              </w:rPr>
            </w:pPr>
          </w:p>
        </w:tc>
      </w:tr>
    </w:tbl>
    <w:p>
      <w:pPr>
        <w:spacing w:after="0"/>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*Cumulative amounts for all transfers during programming period.</w:t>
      </w:r>
    </w:p>
    <w:p>
      <w:pPr>
        <w:rPr>
          <w:rFonts w:ascii="Times New Roman" w:eastAsia="Times New Roman" w:hAnsi="Times New Roman" w:cs="Times New Roman"/>
          <w:noProof/>
          <w:sz w:val="20"/>
        </w:rPr>
      </w:pPr>
    </w:p>
    <w:p>
      <w:pPr>
        <w:spacing w:after="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noProof/>
                <w:sz w:val="24"/>
                <w:szCs w:val="24"/>
              </w:rPr>
            </w:pPr>
            <w:r>
              <w:rPr>
                <w:rFonts w:ascii="Times New Roman" w:hAnsi="Times New Roman" w:cs="Times New Roman"/>
                <w:noProof/>
                <w:sz w:val="24"/>
                <w:szCs w:val="24"/>
              </w:rPr>
              <w:t>Text field [3000] (justification)</w:t>
            </w:r>
          </w:p>
        </w:tc>
      </w:tr>
    </w:tbl>
    <w:p>
      <w:pPr>
        <w:rPr>
          <w:rFonts w:ascii="Times New Roman" w:eastAsia="Times New Roman" w:hAnsi="Times New Roman" w:cs="Times New Roman"/>
          <w:b/>
          <w:noProof/>
          <w:sz w:val="20"/>
        </w:rPr>
        <w:sectPr>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6838" w:h="11906" w:orient="landscape" w:code="9"/>
          <w:pgMar w:top="1417" w:right="1417" w:bottom="1417" w:left="1417" w:header="709" w:footer="709" w:gutter="0"/>
          <w:cols w:space="720"/>
          <w:titlePg/>
          <w:docGrid w:linePitch="360"/>
        </w:sectPr>
      </w:pPr>
    </w:p>
    <w:p>
      <w:pPr>
        <w:rPr>
          <w:rFonts w:ascii="Times New Roman" w:eastAsia="Times New Roman" w:hAnsi="Times New Roman" w:cs="Times New Roman"/>
          <w:b/>
          <w:noProof/>
          <w:sz w:val="20"/>
        </w:rPr>
      </w:pPr>
      <w:r>
        <w:rPr>
          <w:rFonts w:ascii="Times New Roman" w:eastAsia="Times New Roman" w:hAnsi="Times New Roman" w:cs="Times New Roman"/>
          <w:b/>
          <w:noProof/>
          <w:sz w:val="20"/>
        </w:rPr>
        <w:t>Table 3b: Transfers between shared management funds, including between cohesion policy funds*</w:t>
      </w:r>
    </w:p>
    <w:p>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Reference:Article 8 and Article 21</w:t>
      </w:r>
    </w:p>
    <w:tbl>
      <w:tblPr>
        <w:tblStyle w:val="TableGrid"/>
        <w:tblW w:w="0" w:type="auto"/>
        <w:shd w:val="clear" w:color="auto" w:fill="FFFFFF" w:themeFill="background1"/>
        <w:tblLook w:val="04A0" w:firstRow="1" w:lastRow="0" w:firstColumn="1" w:lastColumn="0" w:noHBand="0" w:noVBand="1"/>
      </w:tblPr>
      <w:tblGrid>
        <w:gridCol w:w="737"/>
        <w:gridCol w:w="1581"/>
        <w:gridCol w:w="1002"/>
        <w:gridCol w:w="874"/>
        <w:gridCol w:w="984"/>
        <w:gridCol w:w="1582"/>
        <w:gridCol w:w="1002"/>
        <w:gridCol w:w="874"/>
        <w:gridCol w:w="984"/>
        <w:gridCol w:w="892"/>
        <w:gridCol w:w="456"/>
        <w:gridCol w:w="726"/>
        <w:gridCol w:w="696"/>
        <w:gridCol w:w="497"/>
        <w:gridCol w:w="706"/>
        <w:gridCol w:w="627"/>
      </w:tblGrid>
      <w:tr>
        <w:tc>
          <w:tcPr>
            <w:tcW w:w="0" w:type="auto"/>
            <w:gridSpan w:val="2"/>
            <w:vMerge w:val="restart"/>
            <w:tcBorders>
              <w:tl2br w:val="single" w:sz="4" w:space="0" w:color="auto"/>
            </w:tcBorders>
            <w:shd w:val="clear" w:color="auto" w:fill="FFFFFF" w:themeFill="background1"/>
          </w:tcPr>
          <w:p>
            <w:pPr>
              <w:rPr>
                <w:rFonts w:ascii="Times New Roman" w:hAnsi="Times New Roman" w:cs="Times New Roman"/>
                <w:b/>
                <w:noProof/>
                <w:sz w:val="18"/>
                <w:szCs w:val="18"/>
              </w:rPr>
            </w:pPr>
          </w:p>
        </w:tc>
        <w:tc>
          <w:tcPr>
            <w:tcW w:w="0" w:type="auto"/>
            <w:gridSpan w:val="4"/>
            <w:shd w:val="clear" w:color="auto" w:fill="FFFFFF" w:themeFill="background1"/>
          </w:tcPr>
          <w:p>
            <w:pPr>
              <w:jc w:val="center"/>
              <w:rPr>
                <w:rFonts w:ascii="Times New Roman" w:hAnsi="Times New Roman" w:cs="Times New Roman"/>
                <w:b/>
                <w:noProof/>
                <w:sz w:val="18"/>
                <w:szCs w:val="18"/>
              </w:rPr>
            </w:pPr>
            <w:r>
              <w:rPr>
                <w:rFonts w:ascii="Times New Roman" w:hAnsi="Times New Roman" w:cs="Times New Roman"/>
                <w:b/>
                <w:noProof/>
                <w:sz w:val="18"/>
                <w:szCs w:val="18"/>
              </w:rPr>
              <w:t>ERDF</w:t>
            </w:r>
          </w:p>
        </w:tc>
        <w:tc>
          <w:tcPr>
            <w:tcW w:w="0" w:type="auto"/>
            <w:gridSpan w:val="4"/>
            <w:shd w:val="clear" w:color="auto" w:fill="FFFFFF" w:themeFill="background1"/>
          </w:tcPr>
          <w:p>
            <w:pPr>
              <w:jc w:val="center"/>
              <w:rPr>
                <w:rFonts w:ascii="Times New Roman" w:hAnsi="Times New Roman" w:cs="Times New Roman"/>
                <w:b/>
                <w:noProof/>
                <w:sz w:val="18"/>
                <w:szCs w:val="18"/>
              </w:rPr>
            </w:pPr>
            <w:r>
              <w:rPr>
                <w:rFonts w:ascii="Times New Roman" w:hAnsi="Times New Roman" w:cs="Times New Roman"/>
                <w:b/>
                <w:noProof/>
                <w:sz w:val="18"/>
                <w:szCs w:val="18"/>
              </w:rPr>
              <w:t>ESF+</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cs="Times New Roman"/>
                <w:b/>
                <w:noProof/>
                <w:sz w:val="18"/>
                <w:szCs w:val="18"/>
              </w:rPr>
              <w:t>CF</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cs="Times New Roman"/>
                <w:b/>
                <w:noProof/>
                <w:sz w:val="18"/>
                <w:szCs w:val="18"/>
              </w:rPr>
              <w:t>EMFF</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cs="Times New Roman"/>
                <w:b/>
                <w:noProof/>
                <w:sz w:val="18"/>
                <w:szCs w:val="18"/>
              </w:rPr>
              <w:t>AMIF</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cs="Times New Roman"/>
                <w:b/>
                <w:noProof/>
                <w:sz w:val="18"/>
                <w:szCs w:val="18"/>
              </w:rPr>
              <w:t>ISF</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cs="Times New Roman"/>
                <w:b/>
                <w:noProof/>
                <w:sz w:val="18"/>
                <w:szCs w:val="18"/>
              </w:rPr>
              <w:t>BMVI</w:t>
            </w:r>
          </w:p>
        </w:tc>
        <w:tc>
          <w:tcPr>
            <w:tcW w:w="0" w:type="auto"/>
            <w:vMerge w:val="restart"/>
            <w:shd w:val="clear" w:color="auto" w:fill="FFFFFF" w:themeFill="background1"/>
          </w:tcPr>
          <w:p>
            <w:pPr>
              <w:rPr>
                <w:rFonts w:ascii="Times New Roman" w:hAnsi="Times New Roman" w:cs="Times New Roman"/>
                <w:b/>
                <w:noProof/>
                <w:sz w:val="18"/>
                <w:szCs w:val="18"/>
              </w:rPr>
            </w:pPr>
            <w:r>
              <w:rPr>
                <w:rFonts w:ascii="Times New Roman" w:hAnsi="Times New Roman" w:cs="Times New Roman"/>
                <w:b/>
                <w:noProof/>
                <w:sz w:val="18"/>
                <w:szCs w:val="18"/>
              </w:rPr>
              <w:t xml:space="preserve">Total </w:t>
            </w:r>
          </w:p>
        </w:tc>
      </w:tr>
      <w:tr>
        <w:trPr>
          <w:trHeight w:val="673"/>
        </w:trPr>
        <w:tc>
          <w:tcPr>
            <w:tcW w:w="0" w:type="auto"/>
            <w:gridSpan w:val="2"/>
            <w:vMerge/>
            <w:tcBorders>
              <w:tl2br w:val="single" w:sz="4" w:space="0" w:color="auto"/>
            </w:tcBorders>
            <w:shd w:val="clear" w:color="auto" w:fill="FFFFFF" w:themeFill="background1"/>
          </w:tcPr>
          <w:p>
            <w:pPr>
              <w:rPr>
                <w:rFonts w:ascii="Times New Roman" w:eastAsia="Times New Roman" w:hAnsi="Times New Roman" w:cs="Times New Roman"/>
                <w:b/>
                <w:i/>
                <w:noProof/>
                <w:sz w:val="18"/>
                <w:szCs w:val="18"/>
              </w:rPr>
            </w:pPr>
          </w:p>
        </w:tc>
        <w:tc>
          <w:tcPr>
            <w:tcW w:w="0" w:type="auto"/>
            <w:tcBorders>
              <w:bottom w:val="single" w:sz="4" w:space="0" w:color="auto"/>
            </w:tcBorders>
            <w:shd w:val="clear" w:color="auto" w:fill="FFFFFF" w:themeFill="background1"/>
          </w:tcPr>
          <w:p>
            <w:pPr>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More developed</w:t>
            </w:r>
          </w:p>
        </w:tc>
        <w:tc>
          <w:tcPr>
            <w:tcW w:w="0" w:type="auto"/>
            <w:tcBorders>
              <w:bottom w:val="single" w:sz="4" w:space="0" w:color="auto"/>
            </w:tcBorders>
            <w:shd w:val="clear" w:color="auto" w:fill="FFFFFF" w:themeFill="background1"/>
          </w:tcPr>
          <w:p>
            <w:pPr>
              <w:jc w:val="center"/>
              <w:rPr>
                <w:rFonts w:ascii="Times New Roman" w:hAnsi="Times New Roman" w:cs="Times New Roman"/>
                <w:noProof/>
                <w:sz w:val="16"/>
                <w:szCs w:val="16"/>
              </w:rPr>
            </w:pPr>
            <w:r>
              <w:rPr>
                <w:rFonts w:ascii="Times New Roman" w:hAnsi="Times New Roman" w:cs="Times New Roman"/>
                <w:noProof/>
                <w:sz w:val="16"/>
                <w:szCs w:val="16"/>
              </w:rPr>
              <w:t>Transition</w:t>
            </w:r>
          </w:p>
        </w:tc>
        <w:tc>
          <w:tcPr>
            <w:tcW w:w="0" w:type="auto"/>
            <w:tcBorders>
              <w:bottom w:val="single" w:sz="4" w:space="0" w:color="auto"/>
            </w:tcBorders>
            <w:shd w:val="clear" w:color="auto" w:fill="FFFFFF" w:themeFill="background1"/>
          </w:tcPr>
          <w:p>
            <w:pPr>
              <w:jc w:val="center"/>
              <w:rPr>
                <w:rFonts w:ascii="Times New Roman" w:hAnsi="Times New Roman" w:cs="Times New Roman"/>
                <w:noProof/>
                <w:sz w:val="16"/>
                <w:szCs w:val="16"/>
              </w:rPr>
            </w:pPr>
            <w:r>
              <w:rPr>
                <w:rFonts w:ascii="Times New Roman" w:eastAsia="Times New Roman" w:hAnsi="Times New Roman" w:cs="Times New Roman"/>
                <w:noProof/>
                <w:sz w:val="16"/>
                <w:szCs w:val="16"/>
              </w:rPr>
              <w:t>Less developed</w:t>
            </w:r>
          </w:p>
        </w:tc>
        <w:tc>
          <w:tcPr>
            <w:tcW w:w="0" w:type="auto"/>
            <w:tcBorders>
              <w:bottom w:val="single" w:sz="4" w:space="0" w:color="auto"/>
            </w:tcBorders>
            <w:shd w:val="clear" w:color="auto" w:fill="FFFFFF" w:themeFill="background1"/>
          </w:tcPr>
          <w:p>
            <w:pPr>
              <w:jc w:val="center"/>
              <w:rPr>
                <w:rFonts w:ascii="Times New Roman" w:hAnsi="Times New Roman" w:cs="Times New Roman"/>
                <w:noProof/>
                <w:sz w:val="16"/>
                <w:szCs w:val="16"/>
              </w:rPr>
            </w:pPr>
            <w:r>
              <w:rPr>
                <w:rFonts w:ascii="Times New Roman" w:hAnsi="Times New Roman" w:cs="Times New Roman"/>
                <w:noProof/>
                <w:sz w:val="16"/>
                <w:szCs w:val="16"/>
              </w:rPr>
              <w:t>Outermost and northern sparsely populated</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eastAsia="Times New Roman" w:hAnsi="Times New Roman" w:cs="Times New Roman"/>
                <w:noProof/>
                <w:sz w:val="16"/>
                <w:szCs w:val="16"/>
              </w:rPr>
              <w:t>More developed</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eastAsia="Times New Roman" w:hAnsi="Times New Roman" w:cs="Times New Roman"/>
                <w:noProof/>
                <w:sz w:val="16"/>
                <w:szCs w:val="16"/>
              </w:rPr>
              <w:t>Transition</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eastAsia="Times New Roman" w:hAnsi="Times New Roman" w:cs="Times New Roman"/>
                <w:noProof/>
                <w:sz w:val="16"/>
                <w:szCs w:val="16"/>
              </w:rPr>
              <w:t>Less developed</w:t>
            </w:r>
          </w:p>
        </w:tc>
        <w:tc>
          <w:tcPr>
            <w:tcW w:w="0" w:type="auto"/>
            <w:shd w:val="clear" w:color="auto" w:fill="FFFFFF" w:themeFill="background1"/>
          </w:tcPr>
          <w:p>
            <w:pPr>
              <w:jc w:val="center"/>
              <w:rPr>
                <w:rFonts w:ascii="Times New Roman" w:hAnsi="Times New Roman" w:cs="Times New Roman"/>
                <w:noProof/>
                <w:sz w:val="16"/>
                <w:szCs w:val="16"/>
              </w:rPr>
            </w:pPr>
            <w:r>
              <w:rPr>
                <w:rFonts w:ascii="Times New Roman" w:hAnsi="Times New Roman" w:cs="Times New Roman"/>
                <w:noProof/>
                <w:sz w:val="16"/>
                <w:szCs w:val="16"/>
              </w:rPr>
              <w:t>Outermost</w:t>
            </w: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c>
          <w:tcPr>
            <w:tcW w:w="0" w:type="auto"/>
            <w:vMerge/>
            <w:shd w:val="clear" w:color="auto" w:fill="FFFFFF" w:themeFill="background1"/>
          </w:tcPr>
          <w:p>
            <w:pPr>
              <w:rPr>
                <w:rFonts w:ascii="Times New Roman" w:hAnsi="Times New Roman" w:cs="Times New Roman"/>
                <w:b/>
                <w:i/>
                <w:noProof/>
                <w:sz w:val="18"/>
                <w:szCs w:val="18"/>
              </w:rPr>
            </w:pPr>
          </w:p>
        </w:tc>
      </w:tr>
      <w:tr>
        <w:trPr>
          <w:trHeight w:val="428"/>
        </w:trPr>
        <w:tc>
          <w:tcPr>
            <w:tcW w:w="0" w:type="auto"/>
            <w:vMerge w:val="restart"/>
            <w:shd w:val="clear" w:color="auto" w:fill="FFFFFF" w:themeFill="background1"/>
          </w:tcPr>
          <w:p>
            <w:pPr>
              <w:spacing w:before="60" w:after="60"/>
              <w:rPr>
                <w:rFonts w:ascii="Times New Roman" w:hAnsi="Times New Roman" w:cs="Times New Roman"/>
                <w:b/>
                <w:noProof/>
                <w:sz w:val="18"/>
                <w:szCs w:val="18"/>
              </w:rPr>
            </w:pPr>
            <w:r>
              <w:rPr>
                <w:rFonts w:ascii="Times New Roman" w:hAnsi="Times New Roman" w:cs="Times New Roman"/>
                <w:b/>
                <w:noProof/>
                <w:sz w:val="18"/>
                <w:szCs w:val="18"/>
              </w:rPr>
              <w:t>ERDF</w:t>
            </w: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More developed</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350"/>
        </w:trPr>
        <w:tc>
          <w:tcPr>
            <w:tcW w:w="0" w:type="auto"/>
            <w:vMerge/>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cs="Times New Roman"/>
                <w:noProof/>
                <w:sz w:val="16"/>
                <w:szCs w:val="16"/>
              </w:rPr>
              <w:t>Transition</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286"/>
        </w:trPr>
        <w:tc>
          <w:tcPr>
            <w:tcW w:w="0" w:type="auto"/>
            <w:vMerge/>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noProof/>
                <w:sz w:val="16"/>
                <w:szCs w:val="16"/>
              </w:rPr>
            </w:pPr>
            <w:r>
              <w:rPr>
                <w:rFonts w:ascii="Times New Roman" w:eastAsia="Times New Roman" w:hAnsi="Times New Roman" w:cs="Times New Roman"/>
                <w:noProof/>
                <w:sz w:val="16"/>
                <w:szCs w:val="16"/>
              </w:rPr>
              <w:t>Less developed</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648"/>
        </w:trPr>
        <w:tc>
          <w:tcPr>
            <w:tcW w:w="0" w:type="auto"/>
            <w:vMerge/>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cs="Times New Roman"/>
                <w:noProof/>
                <w:sz w:val="16"/>
                <w:szCs w:val="16"/>
              </w:rPr>
              <w:t>Outermost and northern sparsely populated</w:t>
            </w: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val="restart"/>
            <w:shd w:val="clear" w:color="auto" w:fill="FFFFFF" w:themeFill="background1"/>
          </w:tcPr>
          <w:p>
            <w:pPr>
              <w:spacing w:before="60" w:after="60"/>
              <w:rPr>
                <w:rFonts w:ascii="Times New Roman" w:eastAsia="Times New Roman" w:hAnsi="Times New Roman" w:cs="Times New Roman"/>
                <w:b/>
                <w:i/>
                <w:noProof/>
                <w:sz w:val="18"/>
                <w:szCs w:val="18"/>
              </w:rPr>
            </w:pPr>
            <w:r>
              <w:rPr>
                <w:rFonts w:ascii="Times New Roman" w:eastAsia="Times New Roman" w:hAnsi="Times New Roman" w:cs="Times New Roman"/>
                <w:b/>
                <w:i/>
                <w:noProof/>
                <w:sz w:val="18"/>
                <w:szCs w:val="18"/>
              </w:rPr>
              <w:t>ESF+</w:t>
            </w: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More developed</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shd w:val="clear" w:color="auto" w:fill="FFFFFF" w:themeFill="background1"/>
          </w:tcPr>
          <w:p>
            <w:pPr>
              <w:spacing w:before="60" w:after="60"/>
              <w:rPr>
                <w:rFonts w:ascii="Times New Roman" w:eastAsia="Times New Roman" w:hAnsi="Times New Roman" w:cs="Times New Roman"/>
                <w:b/>
                <w:i/>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 xml:space="preserve">Transition </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shd w:val="clear" w:color="auto" w:fill="FFFFFF" w:themeFill="background1"/>
          </w:tcPr>
          <w:p>
            <w:pPr>
              <w:spacing w:before="60" w:after="60"/>
              <w:rPr>
                <w:rFonts w:ascii="Times New Roman" w:eastAsia="Times New Roman" w:hAnsi="Times New Roman" w:cs="Times New Roman"/>
                <w:b/>
                <w:i/>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Less developed</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vMerge/>
            <w:shd w:val="clear" w:color="auto" w:fill="FFFFFF" w:themeFill="background1"/>
          </w:tcPr>
          <w:p>
            <w:pPr>
              <w:spacing w:before="60" w:after="60"/>
              <w:rPr>
                <w:rFonts w:ascii="Times New Roman" w:eastAsia="Times New Roman" w:hAnsi="Times New Roman" w:cs="Times New Roman"/>
                <w:b/>
                <w:i/>
                <w:noProof/>
                <w:sz w:val="18"/>
                <w:szCs w:val="18"/>
              </w:rPr>
            </w:pPr>
          </w:p>
        </w:tc>
        <w:tc>
          <w:tcPr>
            <w:tcW w:w="0" w:type="auto"/>
            <w:shd w:val="clear" w:color="auto" w:fill="FFFFFF" w:themeFill="background1"/>
          </w:tcPr>
          <w:p>
            <w:pPr>
              <w:spacing w:before="60" w:after="60"/>
              <w:rPr>
                <w:rFonts w:ascii="Times New Roman" w:eastAsia="Times New Roman" w:hAnsi="Times New Roman" w:cs="Times New Roman"/>
                <w:noProof/>
                <w:sz w:val="16"/>
                <w:szCs w:val="16"/>
              </w:rPr>
            </w:pPr>
            <w:r>
              <w:rPr>
                <w:rFonts w:ascii="Times New Roman" w:hAnsi="Times New Roman" w:cs="Times New Roman"/>
                <w:noProof/>
                <w:sz w:val="16"/>
                <w:szCs w:val="16"/>
              </w:rPr>
              <w:t xml:space="preserve">Outermost </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rPr>
          <w:trHeight w:val="372"/>
        </w:trPr>
        <w:tc>
          <w:tcPr>
            <w:tcW w:w="0" w:type="auto"/>
            <w:shd w:val="clear" w:color="auto" w:fill="FFFFFF" w:themeFill="background1"/>
          </w:tcPr>
          <w:p>
            <w:pPr>
              <w:spacing w:before="60" w:after="60"/>
              <w:rPr>
                <w:rFonts w:ascii="Times New Roman" w:eastAsia="Times New Roman" w:hAnsi="Times New Roman" w:cs="Times New Roman"/>
                <w:b/>
                <w:i/>
                <w:noProof/>
                <w:sz w:val="18"/>
                <w:szCs w:val="18"/>
              </w:rPr>
            </w:pPr>
            <w:r>
              <w:rPr>
                <w:rFonts w:ascii="Times New Roman" w:eastAsia="Times New Roman" w:hAnsi="Times New Roman" w:cs="Times New Roman"/>
                <w:b/>
                <w:i/>
                <w:noProof/>
                <w:sz w:val="18"/>
                <w:szCs w:val="18"/>
              </w:rPr>
              <w:t>CF</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shd w:val="clear" w:color="auto" w:fill="FFFFFF" w:themeFill="background1"/>
          </w:tcPr>
          <w:p>
            <w:pPr>
              <w:spacing w:before="60" w:after="60"/>
              <w:rPr>
                <w:rFonts w:ascii="Times New Roman" w:eastAsia="Times New Roman" w:hAnsi="Times New Roman" w:cs="Times New Roman"/>
                <w:b/>
                <w:i/>
                <w:noProof/>
                <w:sz w:val="18"/>
                <w:szCs w:val="18"/>
              </w:rPr>
            </w:pPr>
            <w:r>
              <w:rPr>
                <w:rFonts w:ascii="Times New Roman" w:eastAsia="Times New Roman" w:hAnsi="Times New Roman" w:cs="Times New Roman"/>
                <w:b/>
                <w:i/>
                <w:noProof/>
                <w:sz w:val="18"/>
                <w:szCs w:val="18"/>
              </w:rPr>
              <w:t>EMFF</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7F7F7F" w:themeFill="text1" w:themeFillTint="80"/>
          </w:tcPr>
          <w:p>
            <w:pPr>
              <w:spacing w:before="60" w:after="60"/>
              <w:rPr>
                <w:rFonts w:ascii="Times New Roman" w:hAnsi="Times New Roman" w:cs="Times New Roman"/>
                <w:b/>
                <w:noProof/>
                <w:sz w:val="18"/>
                <w:szCs w:val="18"/>
              </w:rPr>
            </w:pPr>
          </w:p>
        </w:tc>
        <w:tc>
          <w:tcPr>
            <w:tcW w:w="0" w:type="auto"/>
            <w:tcBorders>
              <w:bottom w:val="single" w:sz="4" w:space="0" w:color="auto"/>
            </w:tcBorders>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r>
        <w:tc>
          <w:tcPr>
            <w:tcW w:w="0" w:type="auto"/>
            <w:shd w:val="clear" w:color="auto" w:fill="FFFFFF" w:themeFill="background1"/>
          </w:tcPr>
          <w:p>
            <w:pPr>
              <w:spacing w:before="60" w:after="60"/>
              <w:rPr>
                <w:rFonts w:ascii="Times New Roman" w:hAnsi="Times New Roman" w:cs="Times New Roman"/>
                <w:b/>
                <w:noProof/>
                <w:sz w:val="18"/>
                <w:szCs w:val="18"/>
              </w:rPr>
            </w:pPr>
            <w:r>
              <w:rPr>
                <w:rFonts w:ascii="Times New Roman" w:hAnsi="Times New Roman" w:cs="Times New Roman"/>
                <w:b/>
                <w:noProof/>
                <w:sz w:val="18"/>
                <w:szCs w:val="18"/>
              </w:rPr>
              <w:t>Total</w:t>
            </w: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c>
          <w:tcPr>
            <w:tcW w:w="0" w:type="auto"/>
            <w:shd w:val="clear" w:color="auto" w:fill="auto"/>
          </w:tcPr>
          <w:p>
            <w:pPr>
              <w:spacing w:before="60" w:after="60"/>
              <w:rPr>
                <w:rFonts w:ascii="Times New Roman" w:hAnsi="Times New Roman" w:cs="Times New Roman"/>
                <w:b/>
                <w:noProof/>
                <w:sz w:val="18"/>
                <w:szCs w:val="18"/>
              </w:rPr>
            </w:pPr>
          </w:p>
        </w:tc>
        <w:tc>
          <w:tcPr>
            <w:tcW w:w="0" w:type="auto"/>
            <w:shd w:val="clear" w:color="auto" w:fill="auto"/>
          </w:tcPr>
          <w:p>
            <w:pPr>
              <w:spacing w:before="60" w:after="60"/>
              <w:rPr>
                <w:rFonts w:ascii="Times New Roman" w:hAnsi="Times New Roman" w:cs="Times New Roman"/>
                <w:b/>
                <w:noProof/>
                <w:sz w:val="18"/>
                <w:szCs w:val="18"/>
              </w:rPr>
            </w:pPr>
          </w:p>
        </w:tc>
        <w:tc>
          <w:tcPr>
            <w:tcW w:w="0" w:type="auto"/>
            <w:shd w:val="clear" w:color="auto" w:fill="auto"/>
          </w:tcPr>
          <w:p>
            <w:pPr>
              <w:spacing w:before="60" w:after="60"/>
              <w:rPr>
                <w:rFonts w:ascii="Times New Roman" w:hAnsi="Times New Roman" w:cs="Times New Roman"/>
                <w:b/>
                <w:noProof/>
                <w:sz w:val="18"/>
                <w:szCs w:val="18"/>
              </w:rPr>
            </w:pPr>
          </w:p>
        </w:tc>
        <w:tc>
          <w:tcPr>
            <w:tcW w:w="0" w:type="auto"/>
            <w:shd w:val="clear" w:color="auto" w:fill="FFFFFF" w:themeFill="background1"/>
          </w:tcPr>
          <w:p>
            <w:pPr>
              <w:spacing w:before="60" w:after="60"/>
              <w:rPr>
                <w:rFonts w:ascii="Times New Roman" w:hAnsi="Times New Roman" w:cs="Times New Roman"/>
                <w:b/>
                <w:noProof/>
                <w:sz w:val="18"/>
                <w:szCs w:val="18"/>
              </w:rPr>
            </w:pPr>
          </w:p>
        </w:tc>
      </w:tr>
    </w:tbl>
    <w:p>
      <w:pPr>
        <w:spacing w:after="0"/>
        <w:rPr>
          <w:rFonts w:ascii="Times New Roman" w:hAnsi="Times New Roman" w:cs="Times New Roman"/>
          <w:noProof/>
          <w:sz w:val="24"/>
          <w:szCs w:val="24"/>
        </w:rPr>
      </w:pPr>
      <w:r>
        <w:rPr>
          <w:rFonts w:ascii="Times New Roman" w:eastAsia="Times New Roman" w:hAnsi="Times New Roman" w:cs="Times New Roman"/>
          <w:noProof/>
          <w:sz w:val="16"/>
          <w:szCs w:val="16"/>
        </w:rPr>
        <w:t>*Cumulative amounts for all transfers during programming period - transfer of up to 5% in total of the initial national allocation of each Fund to any other instrument under direct or indirect management,  transfer of up to 5% in total of the initial national allocation of each Fund to another Fund or Funds and an additional transfer of up to 5% in total of the initial national allocation by Fund between the ERDF, the ESF+ or the Cohesion Fund within the Member State’s global resources under the Investment for jobs and growth goal</w:t>
      </w:r>
      <w:r>
        <w:rPr>
          <w:rFonts w:ascii="Times New Roman" w:hAnsi="Times New Roman" w:cs="Times New Roman"/>
          <w:noProof/>
          <w:sz w:val="24"/>
        </w:rPr>
        <w:t xml:space="preserve"> </w:t>
      </w: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noProof/>
                <w:sz w:val="24"/>
                <w:szCs w:val="24"/>
              </w:rPr>
            </w:pPr>
            <w:r>
              <w:rPr>
                <w:rFonts w:ascii="Times New Roman" w:hAnsi="Times New Roman" w:cs="Times New Roman"/>
                <w:noProof/>
                <w:sz w:val="24"/>
                <w:szCs w:val="24"/>
              </w:rPr>
              <w:t>Text field [3000] (justification)</w:t>
            </w:r>
          </w:p>
        </w:tc>
      </w:tr>
    </w:tbl>
    <w:p>
      <w:pPr>
        <w:spacing w:before="120" w:after="120" w:line="240" w:lineRule="auto"/>
        <w:jc w:val="right"/>
        <w:rPr>
          <w:rFonts w:ascii="Times New Roman" w:hAnsi="Times New Roman" w:cs="Times New Roman"/>
          <w:noProof/>
          <w:sz w:val="28"/>
          <w:szCs w:val="24"/>
        </w:rPr>
      </w:pPr>
      <w:r>
        <w:rPr>
          <w:rFonts w:ascii="Times New Roman" w:hAnsi="Times New Roman" w:cs="Times New Roman"/>
          <w:noProof/>
          <w:sz w:val="24"/>
          <w:szCs w:val="24"/>
        </w:rPr>
        <w:t>”</w:t>
      </w:r>
    </w:p>
    <w:p>
      <w:pPr>
        <w:rPr>
          <w:rFonts w:ascii="Times New Roman" w:hAnsi="Times New Roman" w:cs="Times New Roman"/>
          <w:b/>
          <w:noProof/>
          <w:sz w:val="24"/>
          <w:szCs w:val="24"/>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20"/>
          <w:docGrid w:linePitch="360"/>
        </w:sectPr>
      </w:pPr>
    </w:p>
    <w:p>
      <w:pPr>
        <w:ind w:left="360"/>
        <w:rPr>
          <w:rFonts w:ascii="Times New Roman" w:hAnsi="Times New Roman" w:cs="Times New Roman"/>
          <w:noProof/>
          <w:sz w:val="24"/>
          <w:szCs w:val="24"/>
        </w:rPr>
      </w:pPr>
      <w:r>
        <w:rPr>
          <w:rFonts w:ascii="Times New Roman" w:hAnsi="Times New Roman" w:cs="Times New Roman"/>
          <w:noProof/>
          <w:sz w:val="24"/>
          <w:szCs w:val="24"/>
        </w:rPr>
        <w:t>(3) In Annex V, point 3.A. is amended as follows:</w:t>
      </w:r>
    </w:p>
    <w:p>
      <w:pPr>
        <w:ind w:left="360"/>
        <w:rPr>
          <w:rFonts w:ascii="Times New Roman" w:hAnsi="Times New Roman" w:cs="Times New Roman"/>
          <w:noProof/>
          <w:sz w:val="16"/>
          <w:szCs w:val="16"/>
        </w:rPr>
      </w:pPr>
      <w:r>
        <w:rPr>
          <w:rFonts w:ascii="Times New Roman" w:hAnsi="Times New Roman" w:cs="Times New Roman"/>
          <w:noProof/>
          <w:sz w:val="24"/>
          <w:szCs w:val="24"/>
        </w:rPr>
        <w:t>(a)  the second ticking box is replaced by the following:</w:t>
      </w:r>
    </w:p>
    <w:p>
      <w:pPr>
        <w:spacing w:after="0"/>
        <w:ind w:left="357"/>
        <w:rPr>
          <w:rFonts w:ascii="Times New Roman" w:hAnsi="Times New Roman" w:cs="Times New Roman"/>
          <w:noProof/>
          <w:sz w:val="24"/>
          <w:szCs w:val="16"/>
        </w:rPr>
      </w:pPr>
      <w:r>
        <w:rPr>
          <w:rFonts w:ascii="Times New Roman" w:hAnsi="Times New Roman" w:cs="Times New Roman"/>
          <w:noProof/>
          <w:sz w:val="24"/>
          <w:szCs w:val="16"/>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after="0"/>
              <w:ind w:left="0"/>
              <w:rPr>
                <w:noProof/>
                <w:sz w:val="20"/>
                <w:szCs w:val="20"/>
              </w:rPr>
            </w:pPr>
            <w:r>
              <w:rPr>
                <w:noProof/>
                <w:sz w:val="20"/>
                <w:szCs w:val="20"/>
              </w:rPr>
              <w:fldChar w:fldCharType="begin">
                <w:ffData>
                  <w:name w:val="Check2"/>
                  <w:enabled/>
                  <w:calcOnExit w:val="0"/>
                  <w:checkBox>
                    <w:sizeAuto/>
                    <w:default w:val="0"/>
                  </w:checkBox>
                </w:ffData>
              </w:fldChar>
            </w:r>
            <w:r>
              <w:rPr>
                <w:noProof/>
                <w:sz w:val="20"/>
                <w:szCs w:val="20"/>
              </w:rPr>
              <w:instrText xml:space="preserve"> FORMCHECKBOX </w:instrText>
            </w:r>
            <w:r>
              <w:rPr>
                <w:noProof/>
                <w:sz w:val="20"/>
                <w:szCs w:val="20"/>
              </w:rPr>
            </w:r>
            <w:r>
              <w:rPr>
                <w:noProof/>
                <w:sz w:val="20"/>
                <w:szCs w:val="20"/>
              </w:rPr>
              <w:fldChar w:fldCharType="separate"/>
            </w:r>
            <w:r>
              <w:rPr>
                <w:noProof/>
                <w:sz w:val="20"/>
                <w:szCs w:val="20"/>
              </w:rPr>
              <w:fldChar w:fldCharType="end"/>
            </w:r>
            <w:r>
              <w:rPr>
                <w:noProof/>
                <w:sz w:val="20"/>
                <w:szCs w:val="20"/>
              </w:rPr>
              <w:t xml:space="preserve"> Programme amendment related to Article 21, CPR (transfers to instruments under direct or indirect management</w:t>
            </w:r>
            <w:r>
              <w:rPr>
                <w:b/>
                <w:noProof/>
                <w:sz w:val="20"/>
                <w:szCs w:val="20"/>
                <w:u w:val="single"/>
              </w:rPr>
              <w:t>,</w:t>
            </w:r>
            <w:r>
              <w:rPr>
                <w:noProof/>
                <w:sz w:val="20"/>
                <w:szCs w:val="20"/>
              </w:rPr>
              <w:t xml:space="preserve"> between shared management funds, </w:t>
            </w:r>
            <w:r>
              <w:rPr>
                <w:b/>
                <w:noProof/>
                <w:sz w:val="20"/>
                <w:szCs w:val="20"/>
                <w:u w:val="single"/>
              </w:rPr>
              <w:t>including between cohesion policy funds</w:t>
            </w:r>
            <w:r>
              <w:rPr>
                <w:noProof/>
                <w:sz w:val="20"/>
                <w:szCs w:val="20"/>
              </w:rPr>
              <w:t>)</w:t>
            </w:r>
          </w:p>
        </w:tc>
      </w:tr>
    </w:tbl>
    <w:p>
      <w:pPr>
        <w:ind w:left="8640" w:firstLine="720"/>
        <w:rPr>
          <w:rFonts w:ascii="Times New Roman" w:eastAsia="Times New Roman" w:hAnsi="Times New Roman" w:cs="Times New Roman"/>
          <w:noProof/>
          <w:sz w:val="24"/>
          <w:szCs w:val="24"/>
        </w:rPr>
      </w:pPr>
      <w:r>
        <w:rPr>
          <w:rFonts w:ascii="Times New Roman" w:hAnsi="Times New Roman" w:cs="Times New Roman"/>
          <w:noProof/>
          <w:sz w:val="24"/>
          <w:szCs w:val="24"/>
        </w:rPr>
        <w:t>”</w:t>
      </w:r>
    </w:p>
    <w:p>
      <w:pPr>
        <w:pStyle w:val="ListParagraph"/>
        <w:rPr>
          <w:rFonts w:ascii="Times New Roman" w:hAnsi="Times New Roman" w:cs="Times New Roman"/>
          <w:noProof/>
          <w:sz w:val="16"/>
          <w:szCs w:val="16"/>
        </w:rPr>
      </w:pPr>
    </w:p>
    <w:p>
      <w:pPr>
        <w:pStyle w:val="ListParagraph"/>
        <w:rPr>
          <w:rFonts w:ascii="Times New Roman" w:hAnsi="Times New Roman" w:cs="Times New Roman"/>
          <w:noProof/>
          <w:sz w:val="24"/>
          <w:szCs w:val="24"/>
        </w:rPr>
      </w:pPr>
      <w:r>
        <w:rPr>
          <w:rFonts w:ascii="Times New Roman" w:hAnsi="Times New Roman" w:cs="Times New Roman"/>
          <w:noProof/>
          <w:sz w:val="24"/>
          <w:szCs w:val="24"/>
        </w:rPr>
        <w:t>(b) the following box is inserted under Table 16:</w:t>
      </w:r>
    </w:p>
    <w:p>
      <w:pPr>
        <w:pStyle w:val="ListParagraph"/>
        <w:spacing w:after="0"/>
        <w:rPr>
          <w:rFonts w:ascii="Times New Roman" w:eastAsia="Times New Roman" w:hAnsi="Times New Roman" w:cs="Times New Roman"/>
          <w:b/>
          <w:noProof/>
          <w:sz w:val="24"/>
          <w:szCs w:val="24"/>
          <w:u w:val="single"/>
        </w:rPr>
      </w:pPr>
    </w:p>
    <w:p>
      <w:pPr>
        <w:spacing w:after="0"/>
        <w:rPr>
          <w:rFonts w:ascii="Times New Roman" w:eastAsia="Times New Roman" w:hAnsi="Times New Roman" w:cs="Times New Roman"/>
          <w:b/>
          <w:noProof/>
          <w:sz w:val="24"/>
          <w:szCs w:val="24"/>
          <w:u w:val="single"/>
        </w:rPr>
      </w:pPr>
      <w:r>
        <w:rPr>
          <w:rFonts w:ascii="Times New Roman" w:eastAsia="Times New Roman" w:hAnsi="Times New Roman" w:cs="Times New Roman"/>
          <w:noProof/>
          <w:sz w:val="24"/>
          <w:szCs w:val="24"/>
          <w:u w:val="single"/>
        </w:rPr>
        <w:t>“</w:t>
      </w:r>
      <w:r>
        <w:rPr>
          <w:rFonts w:ascii="Times New Roman" w:eastAsia="Times New Roman" w:hAnsi="Times New Roman" w:cs="Times New Roman"/>
          <w:b/>
          <w:noProof/>
          <w:sz w:val="24"/>
          <w:szCs w:val="24"/>
          <w:u w:val="single"/>
        </w:rPr>
        <w:t>Justification for the proposed transfer– Article 21(3)</w:t>
      </w:r>
    </w:p>
    <w:tbl>
      <w:tblPr>
        <w:tblStyle w:val="TableGrid"/>
        <w:tblW w:w="0" w:type="auto"/>
        <w:tblLook w:val="04A0" w:firstRow="1" w:lastRow="0" w:firstColumn="1" w:lastColumn="0" w:noHBand="0" w:noVBand="1"/>
      </w:tblPr>
      <w:tblGrid>
        <w:gridCol w:w="9288"/>
      </w:tblGrid>
      <w:tr>
        <w:tc>
          <w:tcPr>
            <w:tcW w:w="9288" w:type="dxa"/>
          </w:tcPr>
          <w:p>
            <w:pPr>
              <w:rPr>
                <w:rFonts w:ascii="Times New Roman" w:eastAsia="Times New Roman" w:hAnsi="Times New Roman" w:cs="Times New Roman"/>
                <w:b/>
                <w:iCs/>
                <w:noProof/>
                <w:sz w:val="24"/>
                <w:szCs w:val="24"/>
                <w:u w:val="single"/>
              </w:rPr>
            </w:pPr>
            <w:r>
              <w:rPr>
                <w:rFonts w:ascii="Times New Roman" w:eastAsia="Times New Roman" w:hAnsi="Times New Roman" w:cs="Times New Roman"/>
                <w:b/>
                <w:iCs/>
                <w:noProof/>
                <w:sz w:val="24"/>
                <w:szCs w:val="24"/>
                <w:u w:val="single"/>
              </w:rPr>
              <w:t xml:space="preserve">Text field [3 000] </w:t>
            </w:r>
          </w:p>
          <w:p>
            <w:pPr>
              <w:rPr>
                <w:rFonts w:ascii="Times New Roman" w:eastAsia="Times New Roman" w:hAnsi="Times New Roman" w:cs="Times New Roman"/>
                <w:b/>
                <w:iCs/>
                <w:noProof/>
                <w:sz w:val="24"/>
                <w:szCs w:val="24"/>
                <w:u w:val="single"/>
              </w:rPr>
            </w:pPr>
          </w:p>
        </w:tc>
      </w:tr>
    </w:tbl>
    <w:p>
      <w:pPr>
        <w:ind w:left="8640" w:firstLine="720"/>
        <w:rPr>
          <w:rFonts w:ascii="Times New Roman" w:hAnsi="Times New Roman" w:cs="Times New Roman"/>
          <w:noProof/>
          <w:sz w:val="24"/>
          <w:szCs w:val="24"/>
        </w:rPr>
      </w:pPr>
      <w:r>
        <w:rPr>
          <w:rFonts w:ascii="Times New Roman" w:hAnsi="Times New Roman" w:cs="Times New Roman"/>
          <w:noProof/>
          <w:szCs w:val="24"/>
        </w:rPr>
        <w:t>”</w:t>
      </w:r>
    </w:p>
    <w:p>
      <w:pPr>
        <w:ind w:firstLine="720"/>
        <w:rPr>
          <w:rFonts w:ascii="Times New Roman" w:hAnsi="Times New Roman" w:cs="Times New Roman"/>
          <w:noProof/>
          <w:sz w:val="24"/>
          <w:szCs w:val="24"/>
        </w:rPr>
      </w:pPr>
      <w:r>
        <w:rPr>
          <w:rFonts w:ascii="Times New Roman" w:hAnsi="Times New Roman" w:cs="Times New Roman"/>
          <w:noProof/>
          <w:sz w:val="24"/>
          <w:szCs w:val="24"/>
        </w:rPr>
        <w:t>(c)  the title of Table 17 and the corresponding footnote are replaced by the following:</w:t>
      </w:r>
    </w:p>
    <w:p>
      <w:pPr>
        <w:rPr>
          <w:rFonts w:ascii="Times New Roman" w:hAnsi="Times New Roman" w:cs="Times New Roman"/>
          <w:b/>
          <w:noProof/>
          <w:sz w:val="24"/>
          <w:szCs w:val="24"/>
          <w:u w:val="single"/>
        </w:rPr>
      </w:pPr>
      <w:r>
        <w:rPr>
          <w:rFonts w:ascii="Times New Roman" w:hAnsi="Times New Roman" w:cs="Times New Roman"/>
          <w:noProof/>
          <w:sz w:val="24"/>
          <w:szCs w:val="24"/>
        </w:rPr>
        <w:t>“Table 17: Transfers between shared management funds, including between cohesion policy funds*</w:t>
      </w:r>
    </w:p>
    <w:p>
      <w:pPr>
        <w:spacing w:after="0"/>
        <w:ind w:left="360"/>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*Cumulative amounts for all transfers during programming period - transfer of up to 5% in total of the initial national allocation of each Fund to another Fund or Funds and an additional transfer of up to 5% in total of the initial national allocation by Fund between the ERDF, the ESF+ or the Cohesion Fund within the Member State’s global resources under the Investment for jobs and growth goal.”</w:t>
      </w:r>
    </w:p>
    <w:p>
      <w:pPr>
        <w:pStyle w:val="ListParagraph"/>
        <w:rPr>
          <w:rFonts w:ascii="Times New Roman" w:hAnsi="Times New Roman" w:cs="Times New Roman"/>
          <w:noProof/>
          <w:sz w:val="24"/>
          <w:szCs w:val="24"/>
        </w:rPr>
      </w:pPr>
    </w:p>
    <w:p>
      <w:pPr>
        <w:pStyle w:val="ListParagraph"/>
        <w:rPr>
          <w:rFonts w:ascii="Times New Roman" w:hAnsi="Times New Roman" w:cs="Times New Roman"/>
          <w:noProof/>
          <w:sz w:val="24"/>
          <w:szCs w:val="24"/>
        </w:rPr>
      </w:pPr>
      <w:r>
        <w:rPr>
          <w:rFonts w:ascii="Times New Roman" w:hAnsi="Times New Roman" w:cs="Times New Roman"/>
          <w:noProof/>
          <w:sz w:val="24"/>
          <w:szCs w:val="24"/>
        </w:rPr>
        <w:t>(d) the following box is inserted under Table 17:</w:t>
      </w:r>
    </w:p>
    <w:p>
      <w:pPr>
        <w:spacing w:after="0"/>
        <w:rPr>
          <w:rFonts w:ascii="Times New Roman" w:eastAsia="Times New Roman" w:hAnsi="Times New Roman" w:cs="Times New Roman"/>
          <w:b/>
          <w:noProof/>
          <w:sz w:val="24"/>
          <w:szCs w:val="24"/>
          <w:u w:val="single"/>
        </w:rPr>
      </w:pPr>
      <w:r>
        <w:rPr>
          <w:rFonts w:ascii="Times New Roman" w:hAnsi="Times New Roman" w:cs="Times New Roman"/>
          <w:noProof/>
          <w:sz w:val="24"/>
          <w:szCs w:val="24"/>
        </w:rPr>
        <w:t>“</w:t>
      </w:r>
      <w:r>
        <w:rPr>
          <w:rFonts w:ascii="Times New Roman" w:eastAsia="Times New Roman" w:hAnsi="Times New Roman" w:cs="Times New Roman"/>
          <w:b/>
          <w:noProof/>
          <w:sz w:val="24"/>
          <w:szCs w:val="24"/>
          <w:u w:val="single"/>
        </w:rPr>
        <w:t>Justification for the proposed transfer– Article 21(3)</w:t>
      </w:r>
    </w:p>
    <w:tbl>
      <w:tblPr>
        <w:tblStyle w:val="TableGrid"/>
        <w:tblW w:w="0" w:type="auto"/>
        <w:tblLook w:val="04A0" w:firstRow="1" w:lastRow="0" w:firstColumn="1" w:lastColumn="0" w:noHBand="0" w:noVBand="1"/>
      </w:tblPr>
      <w:tblGrid>
        <w:gridCol w:w="9288"/>
      </w:tblGrid>
      <w:tr>
        <w:tc>
          <w:tcPr>
            <w:tcW w:w="9288" w:type="dxa"/>
          </w:tcPr>
          <w:p>
            <w:pPr>
              <w:rPr>
                <w:rFonts w:ascii="Times New Roman" w:eastAsia="Times New Roman" w:hAnsi="Times New Roman" w:cs="Times New Roman"/>
                <w:b/>
                <w:iCs/>
                <w:noProof/>
                <w:sz w:val="24"/>
                <w:szCs w:val="24"/>
                <w:u w:val="single"/>
              </w:rPr>
            </w:pPr>
            <w:r>
              <w:rPr>
                <w:rFonts w:ascii="Times New Roman" w:eastAsia="Times New Roman" w:hAnsi="Times New Roman" w:cs="Times New Roman"/>
                <w:b/>
                <w:iCs/>
                <w:noProof/>
                <w:sz w:val="24"/>
                <w:szCs w:val="24"/>
                <w:u w:val="single"/>
              </w:rPr>
              <w:t xml:space="preserve">Text field [3 000] </w:t>
            </w:r>
          </w:p>
          <w:p>
            <w:pPr>
              <w:rPr>
                <w:rFonts w:ascii="Times New Roman" w:eastAsia="Times New Roman" w:hAnsi="Times New Roman" w:cs="Times New Roman"/>
                <w:b/>
                <w:iCs/>
                <w:noProof/>
                <w:sz w:val="24"/>
                <w:szCs w:val="24"/>
                <w:u w:val="single"/>
              </w:rPr>
            </w:pPr>
          </w:p>
        </w:tc>
      </w:tr>
    </w:tbl>
    <w:p>
      <w:pPr>
        <w:ind w:left="8640" w:firstLine="720"/>
        <w:rPr>
          <w:rFonts w:ascii="Times New Roman" w:hAnsi="Times New Roman" w:cs="Times New Roman"/>
          <w:noProof/>
          <w:sz w:val="24"/>
          <w:szCs w:val="24"/>
        </w:rPr>
      </w:pPr>
      <w:r>
        <w:rPr>
          <w:rFonts w:ascii="Times New Roman" w:hAnsi="Times New Roman" w:cs="Times New Roman"/>
          <w:noProof/>
          <w:szCs w:val="24"/>
        </w:rPr>
        <w:t>”</w:t>
      </w:r>
    </w:p>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021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CoverPage"/>
      <w:ind w:left="0"/>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123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CoverPage"/>
      <w:ind w:left="0"/>
      <w:rPr>
        <w:rFonts w:ascii="Arial" w:hAnsi="Arial" w:cs="Arial"/>
        <w:b/>
        <w:sz w:val="4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32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Bdr>
        <w:top w:val="single" w:sz="4" w:space="1" w:color="808080"/>
      </w:pBdr>
      <w:jc w:val="right"/>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932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786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Bdr>
        <w:top w:val="single" w:sz="4" w:space="1" w:color="808080"/>
      </w:pBdr>
      <w:jc w:val="right"/>
      <w:rPr>
        <w:rStyle w:val="PageNumbe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705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8FB"/>
    <w:multiLevelType w:val="hybridMultilevel"/>
    <w:tmpl w:val="15F81032"/>
    <w:lvl w:ilvl="0" w:tplc="544A0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33D2B"/>
    <w:multiLevelType w:val="hybridMultilevel"/>
    <w:tmpl w:val="879C0604"/>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A432C6"/>
    <w:multiLevelType w:val="hybridMultilevel"/>
    <w:tmpl w:val="B74A1426"/>
    <w:lvl w:ilvl="0" w:tplc="DC14909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D21879"/>
    <w:multiLevelType w:val="hybridMultilevel"/>
    <w:tmpl w:val="2BDE3528"/>
    <w:lvl w:ilvl="0" w:tplc="6678694E">
      <w:start w:val="10"/>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CB1664"/>
    <w:multiLevelType w:val="hybridMultilevel"/>
    <w:tmpl w:val="D0E6B49C"/>
    <w:lvl w:ilvl="0" w:tplc="1C1CCA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18426D8"/>
    <w:multiLevelType w:val="hybridMultilevel"/>
    <w:tmpl w:val="56BA7598"/>
    <w:lvl w:ilvl="0" w:tplc="B956B1E0">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C200C08"/>
    <w:multiLevelType w:val="hybridMultilevel"/>
    <w:tmpl w:val="2C6A2324"/>
    <w:lvl w:ilvl="0" w:tplc="724403CE">
      <w:start w:val="18"/>
      <w:numFmt w:val="decimal"/>
      <w:lvlText w:val="(%1)"/>
      <w:lvlJc w:val="left"/>
      <w:pPr>
        <w:ind w:left="760" w:hanging="40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5AB16BD"/>
    <w:multiLevelType w:val="hybridMultilevel"/>
    <w:tmpl w:val="CAD0110A"/>
    <w:lvl w:ilvl="0" w:tplc="59E2AF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66A5024C"/>
    <w:multiLevelType w:val="hybridMultilevel"/>
    <w:tmpl w:val="18B43780"/>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2D43D4"/>
    <w:multiLevelType w:val="hybridMultilevel"/>
    <w:tmpl w:val="97565540"/>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663E62"/>
    <w:multiLevelType w:val="hybridMultilevel"/>
    <w:tmpl w:val="60B8DFD2"/>
    <w:lvl w:ilvl="0" w:tplc="52BA1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7"/>
  </w:num>
  <w:num w:numId="5">
    <w:abstractNumId w:val="6"/>
  </w:num>
  <w:num w:numId="6">
    <w:abstractNumId w:val="1"/>
  </w:num>
  <w:num w:numId="7">
    <w:abstractNumId w:val="10"/>
  </w:num>
  <w:num w:numId="8">
    <w:abstractNumId w:val="11"/>
  </w:num>
  <w:num w:numId="9">
    <w:abstractNumId w:val="2"/>
  </w:num>
  <w:num w:numId="10">
    <w:abstractNumId w:val="0"/>
  </w:num>
  <w:num w:numId="11">
    <w:abstractNumId w:val="3"/>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IJER Martine (REGIO)">
    <w15:presenceInfo w15:providerId="None" w15:userId="MEIJER Martine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787088E2-2CEF-4363-A988-A72BB2E060BB"/>
    <w:docVar w:name="LW_COVERPAGE_TYPE" w:val="1"/>
    <w:docVar w:name="LW_CROSSREFERENCE" w:val="&lt;UNUSED&gt;"/>
    <w:docVar w:name="LW_DocType" w:val="NORMAL"/>
    <w:docVar w:name="LW_EMISSION" w:val="28.5.2020"/>
    <w:docVar w:name="LW_EMISSION_ISODATE" w:val="2020-05-2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the Just Transition Fund and the European Maritime and Fisheries Fund and financial rules for those and for the Asylum and Migration Fund, the Internal Security Fund and the Border Management and Visa Instrument"/>
    <w:docVar w:name="LW_PART_NBR" w:val="1"/>
    <w:docVar w:name="LW_PART_NBR_TOTAL" w:val="1"/>
    <w:docVar w:name="LW_REF.INST.NEW" w:val="COM"/>
    <w:docVar w:name="LW_REF.INST.NEW_ADOPTED" w:val="final"/>
    <w:docVar w:name="LW_REF.INST.NEW_TEXT" w:val="(2020) 4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Amended Proposal for a 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2">
    <w:name w:val="Table Grid2"/>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styleId="PageNumber">
    <w:name w:val="page numb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2">
    <w:name w:val="Table Grid2"/>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lang w:eastAsia="en-GB"/>
    </w:rPr>
  </w:style>
  <w:style w:type="character" w:styleId="PageNumber">
    <w:name w:val="page numb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9746">
      <w:bodyDiv w:val="1"/>
      <w:marLeft w:val="0"/>
      <w:marRight w:val="0"/>
      <w:marTop w:val="0"/>
      <w:marBottom w:val="0"/>
      <w:divBdr>
        <w:top w:val="none" w:sz="0" w:space="0" w:color="auto"/>
        <w:left w:val="none" w:sz="0" w:space="0" w:color="auto"/>
        <w:bottom w:val="none" w:sz="0" w:space="0" w:color="auto"/>
        <w:right w:val="none" w:sz="0" w:space="0" w:color="auto"/>
      </w:divBdr>
    </w:div>
    <w:div w:id="388378752">
      <w:bodyDiv w:val="1"/>
      <w:marLeft w:val="0"/>
      <w:marRight w:val="0"/>
      <w:marTop w:val="0"/>
      <w:marBottom w:val="0"/>
      <w:divBdr>
        <w:top w:val="none" w:sz="0" w:space="0" w:color="auto"/>
        <w:left w:val="none" w:sz="0" w:space="0" w:color="auto"/>
        <w:bottom w:val="none" w:sz="0" w:space="0" w:color="auto"/>
        <w:right w:val="none" w:sz="0" w:space="0" w:color="auto"/>
      </w:divBdr>
    </w:div>
    <w:div w:id="420568804">
      <w:bodyDiv w:val="1"/>
      <w:marLeft w:val="0"/>
      <w:marRight w:val="0"/>
      <w:marTop w:val="0"/>
      <w:marBottom w:val="0"/>
      <w:divBdr>
        <w:top w:val="none" w:sz="0" w:space="0" w:color="auto"/>
        <w:left w:val="none" w:sz="0" w:space="0" w:color="auto"/>
        <w:bottom w:val="none" w:sz="0" w:space="0" w:color="auto"/>
        <w:right w:val="none" w:sz="0" w:space="0" w:color="auto"/>
      </w:divBdr>
    </w:div>
    <w:div w:id="509834854">
      <w:bodyDiv w:val="1"/>
      <w:marLeft w:val="0"/>
      <w:marRight w:val="0"/>
      <w:marTop w:val="0"/>
      <w:marBottom w:val="0"/>
      <w:divBdr>
        <w:top w:val="none" w:sz="0" w:space="0" w:color="auto"/>
        <w:left w:val="none" w:sz="0" w:space="0" w:color="auto"/>
        <w:bottom w:val="none" w:sz="0" w:space="0" w:color="auto"/>
        <w:right w:val="none" w:sz="0" w:space="0" w:color="auto"/>
      </w:divBdr>
    </w:div>
    <w:div w:id="1037777206">
      <w:bodyDiv w:val="1"/>
      <w:marLeft w:val="0"/>
      <w:marRight w:val="0"/>
      <w:marTop w:val="0"/>
      <w:marBottom w:val="0"/>
      <w:divBdr>
        <w:top w:val="none" w:sz="0" w:space="0" w:color="auto"/>
        <w:left w:val="none" w:sz="0" w:space="0" w:color="auto"/>
        <w:bottom w:val="none" w:sz="0" w:space="0" w:color="auto"/>
        <w:right w:val="none" w:sz="0" w:space="0" w:color="auto"/>
      </w:divBdr>
    </w:div>
    <w:div w:id="1466239848">
      <w:bodyDiv w:val="1"/>
      <w:marLeft w:val="0"/>
      <w:marRight w:val="0"/>
      <w:marTop w:val="0"/>
      <w:marBottom w:val="0"/>
      <w:divBdr>
        <w:top w:val="none" w:sz="0" w:space="0" w:color="auto"/>
        <w:left w:val="none" w:sz="0" w:space="0" w:color="auto"/>
        <w:bottom w:val="none" w:sz="0" w:space="0" w:color="auto"/>
        <w:right w:val="none" w:sz="0" w:space="0" w:color="auto"/>
      </w:divBdr>
    </w:div>
    <w:div w:id="1765149504">
      <w:bodyDiv w:val="1"/>
      <w:marLeft w:val="0"/>
      <w:marRight w:val="0"/>
      <w:marTop w:val="0"/>
      <w:marBottom w:val="0"/>
      <w:divBdr>
        <w:top w:val="none" w:sz="0" w:space="0" w:color="auto"/>
        <w:left w:val="none" w:sz="0" w:space="0" w:color="auto"/>
        <w:bottom w:val="none" w:sz="0" w:space="0" w:color="auto"/>
        <w:right w:val="none" w:sz="0" w:space="0" w:color="auto"/>
      </w:divBdr>
    </w:div>
    <w:div w:id="2036694227">
      <w:bodyDiv w:val="1"/>
      <w:marLeft w:val="0"/>
      <w:marRight w:val="0"/>
      <w:marTop w:val="0"/>
      <w:marBottom w:val="0"/>
      <w:divBdr>
        <w:top w:val="none" w:sz="0" w:space="0" w:color="auto"/>
        <w:left w:val="none" w:sz="0" w:space="0" w:color="auto"/>
        <w:bottom w:val="none" w:sz="0" w:space="0" w:color="auto"/>
        <w:right w:val="none" w:sz="0" w:space="0" w:color="auto"/>
      </w:divBdr>
    </w:div>
    <w:div w:id="21386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08D77F-8ED6-4DF6-91B7-F56237D0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592</Words>
  <Characters>3175</Characters>
  <Application>Microsoft Office Word</Application>
  <DocSecurity>0</DocSecurity>
  <Lines>453</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MINCHEVA Yordanka (REGIO)</dc:creator>
  <cp:keywords/>
  <dc:description/>
  <cp:lastModifiedBy>WES PDFC Administrator</cp:lastModifiedBy>
  <cp:revision>16</cp:revision>
  <cp:lastPrinted>2019-12-03T09:14:00Z</cp:lastPrinted>
  <dcterms:created xsi:type="dcterms:W3CDTF">2020-05-23T10:12:00Z</dcterms:created>
  <dcterms:modified xsi:type="dcterms:W3CDTF">2020-05-27T19:29:00Z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 Build 20190717</vt:lpwstr>
  </property>
</Properties>
</file>