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Style w:val="Marker1"/>
          <w:rFonts w:eastAsia="Arial Unicode MS"/>
          <w:noProof/>
        </w:rPr>
      </w:pPr>
      <w:bookmarkStart w:id="0" w:name="LW_BM_COVERPAGE"/>
      <w:r>
        <w:rPr>
          <w:rStyle w:val="Marker1"/>
          <w:rFonts w:eastAsia="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80B0A20-6934-47E9-84DC-6D30268117A5" style="width:450.75pt;height:406.75pt">
            <v:imagedata r:id="rId12" o:title=""/>
          </v:shape>
        </w:pict>
      </w:r>
    </w:p>
    <w:bookmarkEnd w:id="0"/>
    <w:p>
      <w:pPr>
        <w:rPr>
          <w:rStyle w:val="Marker1"/>
          <w:rFonts w:eastAsia="Arial Unicode MS"/>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0" w:after="200" w:line="276" w:lineRule="auto"/>
        <w:jc w:val="center"/>
        <w:rPr>
          <w:rStyle w:val="Marker1"/>
          <w:rFonts w:eastAsia="Arial Unicode MS"/>
          <w:b/>
          <w:noProof/>
          <w:color w:val="auto"/>
        </w:rPr>
      </w:pPr>
      <w:bookmarkStart w:id="1" w:name="_GoBack"/>
      <w:bookmarkEnd w:id="1"/>
      <w:r>
        <w:rPr>
          <w:rStyle w:val="Marker1"/>
          <w:rFonts w:eastAsia="Arial Unicode MS"/>
          <w:b/>
          <w:noProof/>
          <w:color w:val="auto"/>
        </w:rPr>
        <w:lastRenderedPageBreak/>
        <w:t>ANNEX I</w:t>
      </w:r>
    </w:p>
    <w:p>
      <w:pPr>
        <w:jc w:val="center"/>
        <w:rPr>
          <w:b/>
          <w:noProof/>
        </w:rPr>
      </w:pPr>
      <w:r>
        <w:rPr>
          <w:b/>
          <w:noProof/>
        </w:rPr>
        <w:t>Financial</w:t>
      </w:r>
      <w:r>
        <w:rPr>
          <w:b/>
          <w:noProof/>
          <w:lang w:eastAsia="en-GB"/>
        </w:rPr>
        <w:t xml:space="preserve"> instruments from which repayments may be used for the Facility</w:t>
      </w:r>
    </w:p>
    <w:p>
      <w:pPr>
        <w:shd w:val="clear" w:color="auto" w:fill="FFFFFF" w:themeFill="background1"/>
        <w:spacing w:before="0" w:after="200" w:line="276" w:lineRule="auto"/>
        <w:rPr>
          <w:noProof/>
          <w:szCs w:val="24"/>
        </w:rPr>
      </w:pPr>
      <w:r>
        <w:rPr>
          <w:noProof/>
          <w:szCs w:val="24"/>
        </w:rPr>
        <w:t>A. Equity Instruments: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lang w:val="en"/>
        </w:rPr>
        <w:t>European Technology Facility (ETF98): Council Decision No 98/347/EC of 19 May 1998 on measures of financial assistance for innovative and job-creating small and medium-sized enterprises (SMEs) - the growth and employment initiative (</w:t>
      </w:r>
      <w:r>
        <w:rPr>
          <w:iCs/>
          <w:noProof/>
          <w:lang w:val="en"/>
        </w:rPr>
        <w:t>OJ L 155, 29.5.1998, p. 43).</w:t>
      </w:r>
    </w:p>
    <w:p>
      <w:pPr>
        <w:pStyle w:val="Bullet0"/>
        <w:numPr>
          <w:ilvl w:val="0"/>
          <w:numId w:val="0"/>
        </w:numPr>
        <w:shd w:val="clear" w:color="auto" w:fill="FFFFFF" w:themeFill="background1"/>
        <w:tabs>
          <w:tab w:val="left" w:pos="850"/>
        </w:tabs>
        <w:ind w:left="850" w:hanging="850"/>
        <w:rPr>
          <w:i/>
          <w:noProof/>
        </w:rPr>
      </w:pPr>
      <w:r>
        <w:rPr>
          <w:rFonts w:ascii="Symbol" w:hAnsi="Symbol"/>
          <w:noProof/>
        </w:rPr>
        <w:t></w:t>
      </w:r>
      <w:r>
        <w:rPr>
          <w:rFonts w:ascii="Symbol" w:hAnsi="Symbol"/>
          <w:noProof/>
        </w:rPr>
        <w:tab/>
      </w:r>
      <w:r>
        <w:rPr>
          <w:noProof/>
        </w:rPr>
        <w:t>TTP: Commission decision adopting a complementary financing decision concerning the financing of actions of the activity “Internal market of goods and sectoral policies” of the Directorate-General Enterprises &amp; Industry for 2007 and adopting the framework decision concerning the financing of the preparatory action “The EU assuming its role in a globalised world” and of four pilot projects “Erasmus young entrepreneurs”, “Measures to promote cooperation and partnerships between micro and SMEs”, “Technological Transfer” and “European Destinations of excellence” of the Directorate-General Enterprises &amp; Industry for 2007 (C(2007) 531).</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lang w:val="en"/>
        </w:rPr>
        <w:t>European Technology Facility (</w:t>
      </w:r>
      <w:r>
        <w:rPr>
          <w:noProof/>
        </w:rPr>
        <w:t>ETF01)</w:t>
      </w:r>
      <w:r>
        <w:rPr>
          <w:noProof/>
          <w:lang w:val="en"/>
        </w:rPr>
        <w:t>: Council Decision No 2000/819/EC of 20 December 2000 on a multiannual programme for enterprise and entrepreneurship, and in particular for small and medium-sized enterprises (SMEs) (2001-2005) (</w:t>
      </w:r>
      <w:r>
        <w:rPr>
          <w:iCs/>
          <w:noProof/>
          <w:lang w:val="en"/>
        </w:rPr>
        <w:t>OJ L 333, 29.12.2000, p. 84).</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GIF: </w:t>
      </w:r>
      <w:r>
        <w:rPr>
          <w:noProof/>
          <w:lang w:val="en"/>
        </w:rPr>
        <w:t>Decision No 1639/2006/EC of the European Parliament and of the Council of 24 October 2006 establishing a Competitiveness and Innovation Framework Programme (2007 to 2013) (</w:t>
      </w:r>
      <w:r>
        <w:rPr>
          <w:iCs/>
          <w:noProof/>
          <w:lang w:val="en"/>
        </w:rPr>
        <w:t>OJ L 310, 9.11.2006, p. 15).</w:t>
      </w:r>
    </w:p>
    <w:p>
      <w:pPr>
        <w:pStyle w:val="Bullet0"/>
        <w:numPr>
          <w:ilvl w:val="0"/>
          <w:numId w:val="0"/>
        </w:numPr>
        <w:shd w:val="clear" w:color="auto" w:fill="FFFFFF" w:themeFill="background1"/>
        <w:tabs>
          <w:tab w:val="left" w:pos="850"/>
        </w:tabs>
        <w:ind w:left="850" w:hanging="850"/>
        <w:rPr>
          <w:noProof/>
          <w:lang w:val="en"/>
        </w:rPr>
      </w:pPr>
      <w:r>
        <w:rPr>
          <w:rFonts w:ascii="Symbol" w:hAnsi="Symbol"/>
          <w:noProof/>
          <w:lang w:val="en"/>
        </w:rPr>
        <w:t></w:t>
      </w:r>
      <w:r>
        <w:rPr>
          <w:rFonts w:ascii="Symbol" w:hAnsi="Symbol"/>
          <w:noProof/>
          <w:lang w:val="en"/>
        </w:rPr>
        <w:tab/>
      </w:r>
      <w:r>
        <w:rPr>
          <w:noProof/>
          <w:lang w:val="en"/>
        </w:rPr>
        <w:t>Connecting Europe Facility (CEF): Regulation (EU) No 1316/2013 of the European Parliament and of the Council of 11 December 2013 establishing the Connecting Europe Facility, amending Regulation (EU) No 913/2010 and repealing Regulations (EC) No 680/2007 and (EC) No 67/2010 (OJ L 348, 20.12.2013, p. 129) as modified by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p>
      <w:pPr>
        <w:pStyle w:val="Bullet0"/>
        <w:numPr>
          <w:ilvl w:val="0"/>
          <w:numId w:val="0"/>
        </w:numPr>
        <w:shd w:val="clear" w:color="auto" w:fill="FFFFFF" w:themeFill="background1"/>
        <w:tabs>
          <w:tab w:val="left" w:pos="850"/>
        </w:tabs>
        <w:ind w:left="850" w:hanging="850"/>
        <w:rPr>
          <w:noProof/>
          <w:szCs w:val="24"/>
        </w:rPr>
      </w:pPr>
      <w:r>
        <w:rPr>
          <w:rFonts w:ascii="Symbol" w:hAnsi="Symbol"/>
          <w:noProof/>
          <w:szCs w:val="24"/>
        </w:rPr>
        <w:t></w:t>
      </w:r>
      <w:r>
        <w:rPr>
          <w:rFonts w:ascii="Symbol" w:hAnsi="Symbol"/>
          <w:noProof/>
          <w:szCs w:val="24"/>
        </w:rPr>
        <w:tab/>
      </w:r>
      <w:r>
        <w:rPr>
          <w:bCs/>
          <w:noProof/>
          <w:szCs w:val="24"/>
          <w:lang w:val="en"/>
        </w:rPr>
        <w:t>COSME EFG: Regulation (EU) No 1287/2013 of the European Parliament and of the Council of 11 December 2013 establishing a Programme for the Competitiveness of Enterprises and small and medium-sized enterprises (COSME) (2014 - 2020) and repealing Decision No 1639/2006/EC (</w:t>
      </w:r>
      <w:r>
        <w:rPr>
          <w:iCs/>
          <w:noProof/>
          <w:szCs w:val="24"/>
          <w:lang w:val="en"/>
        </w:rPr>
        <w:t xml:space="preserve">OJ L 347, 20.12.2013, p. 33). </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InnovFin Equity:</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Council Decision No 2013/743/EU of 3 December 2013 establishing the specific programme implementing Horizon 2020 - the Framework Programme for Research and Innovation (2014-2020) and repealing Decisions 2006/971/EC, 2006/972/EC, 2006/973/EC, 2006/974/EC and 2006/975/EC (</w:t>
      </w:r>
      <w:r>
        <w:rPr>
          <w:iCs/>
          <w:noProof/>
          <w:lang w:val="en"/>
        </w:rPr>
        <w:t>OJ L 347, 20.12.2013, p. 965).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EaSI Capacity Building Investments Window: </w:t>
      </w:r>
      <w:r>
        <w:rPr>
          <w:noProof/>
          <w:lang w:val="en"/>
        </w:rPr>
        <w:t xml:space="preserve">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noProof/>
        </w:rPr>
        <w:t>(</w:t>
      </w:r>
      <w:r>
        <w:rPr>
          <w:iCs/>
          <w:noProof/>
          <w:lang w:val="en"/>
        </w:rPr>
        <w:t>OJ L 347, 20.12.2013, p. 238).</w:t>
      </w:r>
    </w:p>
    <w:p>
      <w:pPr>
        <w:shd w:val="clear" w:color="auto" w:fill="FFFFFF" w:themeFill="background1"/>
        <w:spacing w:before="0" w:after="200" w:line="276" w:lineRule="auto"/>
        <w:rPr>
          <w:noProof/>
          <w:szCs w:val="24"/>
        </w:rPr>
      </w:pPr>
      <w:r>
        <w:rPr>
          <w:noProof/>
          <w:szCs w:val="24"/>
        </w:rPr>
        <w:t>B. Guarantee Instruments: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SME Guarantee Facility '98 (SMEG98)</w:t>
      </w:r>
      <w:r>
        <w:rPr>
          <w:noProof/>
          <w:lang w:val="en"/>
        </w:rPr>
        <w:t>: Council Decision No 98/347/EC of 19 May 1998 on measures of financial assistance for innovative and job-creating small and medium-sized enterprises (SMEs) - the growth and employment initiative (</w:t>
      </w:r>
      <w:r>
        <w:rPr>
          <w:iCs/>
          <w:noProof/>
          <w:lang w:val="en"/>
        </w:rPr>
        <w:t>OJ L 155, 29.5.1998, p. 43).</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SME Guarantee Facility '01 (SMEG01):</w:t>
      </w:r>
      <w:r>
        <w:rPr>
          <w:noProof/>
          <w:lang w:val="en"/>
        </w:rPr>
        <w:t xml:space="preserve"> Council Decision No 2000/819/EC of 20 December 2000 on a multiannual programme for enterprise and entrepreneurship, and in particular for small and medium-sized enterprises (SMEs) (2001-2005)</w:t>
      </w:r>
      <w:r>
        <w:rPr>
          <w:noProof/>
        </w:rPr>
        <w:t xml:space="preserve"> (</w:t>
      </w:r>
      <w:r>
        <w:rPr>
          <w:iCs/>
          <w:noProof/>
          <w:lang w:val="en"/>
        </w:rPr>
        <w:t>OJ L 333, 29.12.2000, p. 84).</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SME Guarantee Facility '07 (SMEG07</w:t>
      </w:r>
      <w:r>
        <w:rPr>
          <w:b/>
          <w:noProof/>
        </w:rPr>
        <w:t>)</w:t>
      </w:r>
      <w:r>
        <w:rPr>
          <w:noProof/>
        </w:rPr>
        <w:t xml:space="preserve">: </w:t>
      </w:r>
      <w:r>
        <w:rPr>
          <w:noProof/>
          <w:lang w:val="en"/>
        </w:rPr>
        <w:t>Decision No 1639/2006/EC of the European Parliament and of the Council of 24 October 2006 establishing a Competitiveness and Innovation Framework Programme (2007 to 2013) (</w:t>
      </w:r>
      <w:r>
        <w:rPr>
          <w:iCs/>
          <w:noProof/>
          <w:lang w:val="en"/>
        </w:rPr>
        <w:t>OJ L 310, 9.11.2006, p. 15).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European Progress Microfinance Facility – Guarantee (EPMF-G): </w:t>
      </w:r>
      <w:r>
        <w:rPr>
          <w:noProof/>
          <w:lang w:val="en"/>
        </w:rPr>
        <w:t>Decision No 283/2010/EU of the European Parliament and of the Council of 25 March 2010 establishing a European Progress Microfinance Facility for employment and social inclusion (</w:t>
      </w:r>
      <w:r>
        <w:rPr>
          <w:iCs/>
          <w:noProof/>
          <w:lang w:val="en"/>
        </w:rPr>
        <w:t>OJ L 87, 7.4.2010, p. 1)</w:t>
      </w:r>
      <w:r>
        <w:rPr>
          <w:noProof/>
        </w:rPr>
        <w:t>.</w:t>
      </w:r>
    </w:p>
    <w:p>
      <w:pPr>
        <w:pStyle w:val="Bullet0"/>
        <w:numPr>
          <w:ilvl w:val="0"/>
          <w:numId w:val="0"/>
        </w:numPr>
        <w:shd w:val="clear" w:color="auto" w:fill="FFFFFF" w:themeFill="background1"/>
        <w:tabs>
          <w:tab w:val="left" w:pos="850"/>
        </w:tabs>
        <w:ind w:left="850" w:hanging="850"/>
        <w:rPr>
          <w:b/>
          <w:bCs/>
          <w:noProof/>
          <w:lang w:val="en"/>
        </w:rPr>
      </w:pPr>
      <w:r>
        <w:rPr>
          <w:rFonts w:ascii="Symbol" w:hAnsi="Symbol"/>
          <w:bCs/>
          <w:noProof/>
          <w:lang w:val="en"/>
        </w:rPr>
        <w:t></w:t>
      </w:r>
      <w:r>
        <w:rPr>
          <w:rFonts w:ascii="Symbol" w:hAnsi="Symbol"/>
          <w:bCs/>
          <w:noProof/>
          <w:lang w:val="en"/>
        </w:rPr>
        <w:tab/>
      </w:r>
      <w:r>
        <w:rPr>
          <w:noProof/>
        </w:rPr>
        <w:t>RSI:</w:t>
      </w:r>
    </w:p>
    <w:p>
      <w:pPr>
        <w:pStyle w:val="Tiret1"/>
        <w:numPr>
          <w:ilvl w:val="0"/>
          <w:numId w:val="0"/>
        </w:numPr>
        <w:shd w:val="clear" w:color="auto" w:fill="FFFFFF" w:themeFill="background1"/>
        <w:tabs>
          <w:tab w:val="left" w:pos="1417"/>
        </w:tabs>
        <w:ind w:left="1417" w:hanging="567"/>
        <w:rPr>
          <w:noProof/>
          <w:lang w:val="en"/>
        </w:rPr>
      </w:pPr>
      <w:r>
        <w:rPr>
          <w:noProof/>
          <w:lang w:val="en"/>
        </w:rPr>
        <w:t>–</w:t>
      </w:r>
      <w:r>
        <w:rPr>
          <w:noProof/>
          <w:lang w:val="en"/>
        </w:rPr>
        <w:tab/>
        <w:t>Decision No 1982/2006/EC of the European Parliament and of the Council of 18 December 2006 concerning the Seventh Framework Programme of the European Community for research, technological development and demonstration activities (2007-2013) Statements by the Commission (</w:t>
      </w:r>
      <w:r>
        <w:rPr>
          <w:iCs/>
          <w:noProof/>
          <w:lang w:val="en"/>
        </w:rPr>
        <w:t xml:space="preserve">OJ L 412, 30.12.2006, p. 1); </w:t>
      </w:r>
    </w:p>
    <w:p>
      <w:pPr>
        <w:pStyle w:val="Tiret1"/>
        <w:numPr>
          <w:ilvl w:val="0"/>
          <w:numId w:val="0"/>
        </w:numPr>
        <w:shd w:val="clear" w:color="auto" w:fill="FFFFFF" w:themeFill="background1"/>
        <w:tabs>
          <w:tab w:val="left" w:pos="1417"/>
        </w:tabs>
        <w:ind w:left="1417" w:hanging="567"/>
        <w:rPr>
          <w:iCs/>
          <w:noProof/>
          <w:lang w:val="en"/>
        </w:rPr>
      </w:pPr>
      <w:r>
        <w:rPr>
          <w:iCs/>
          <w:noProof/>
          <w:lang w:val="en"/>
        </w:rPr>
        <w:t>–</w:t>
      </w:r>
      <w:r>
        <w:rPr>
          <w:iCs/>
          <w:noProof/>
          <w:lang w:val="en"/>
        </w:rPr>
        <w:tab/>
      </w:r>
      <w:r>
        <w:rPr>
          <w:noProof/>
          <w:lang w:val="en"/>
        </w:rPr>
        <w:t>Council Decision No 2006/971/EC of 19 December 2006 concerning the Specific Programme Cooperation implementing the Seventh Framework Programme of the European Community for research, technological development and demonstration activities (2007 to 2013) (</w:t>
      </w:r>
      <w:r>
        <w:rPr>
          <w:iCs/>
          <w:noProof/>
          <w:lang w:val="en"/>
        </w:rPr>
        <w:t xml:space="preserve">OJ L 400, 30.12.2006, p. 86); </w:t>
      </w:r>
    </w:p>
    <w:p>
      <w:pPr>
        <w:pStyle w:val="Tiret1"/>
        <w:numPr>
          <w:ilvl w:val="0"/>
          <w:numId w:val="0"/>
        </w:numPr>
        <w:shd w:val="clear" w:color="auto" w:fill="FFFFFF" w:themeFill="background1"/>
        <w:tabs>
          <w:tab w:val="left" w:pos="1417"/>
        </w:tabs>
        <w:ind w:left="1417" w:hanging="567"/>
        <w:rPr>
          <w:iCs/>
          <w:noProof/>
          <w:lang w:val="en"/>
        </w:rPr>
      </w:pPr>
      <w:r>
        <w:rPr>
          <w:iCs/>
          <w:noProof/>
          <w:lang w:val="en"/>
        </w:rPr>
        <w:t>–</w:t>
      </w:r>
      <w:r>
        <w:rPr>
          <w:iCs/>
          <w:noProof/>
          <w:lang w:val="en"/>
        </w:rPr>
        <w:tab/>
      </w:r>
      <w:r>
        <w:rPr>
          <w:noProof/>
          <w:lang w:val="en"/>
        </w:rPr>
        <w:t>Council Decision No 2006/974/EC of 19 December 2006 on the Specific Programme: Capacities implementing the Seventh Framework Programme of the European Community for research, technological development and demonstration activities (2007 to 2013) (</w:t>
      </w:r>
      <w:r>
        <w:rPr>
          <w:iCs/>
          <w:noProof/>
          <w:lang w:val="en"/>
        </w:rPr>
        <w:t xml:space="preserve">OJ L 400, 30.12.2006, p. 299). </w:t>
      </w:r>
    </w:p>
    <w:p>
      <w:pPr>
        <w:pStyle w:val="Bullet0"/>
        <w:numPr>
          <w:ilvl w:val="0"/>
          <w:numId w:val="0"/>
        </w:numPr>
        <w:shd w:val="clear" w:color="auto" w:fill="FFFFFF" w:themeFill="background1"/>
        <w:tabs>
          <w:tab w:val="left" w:pos="850"/>
        </w:tabs>
        <w:ind w:left="850" w:hanging="850"/>
        <w:rPr>
          <w:b/>
          <w:noProof/>
        </w:rPr>
      </w:pPr>
      <w:r>
        <w:rPr>
          <w:rFonts w:ascii="Symbol" w:hAnsi="Symbol"/>
          <w:noProof/>
        </w:rPr>
        <w:t></w:t>
      </w:r>
      <w:r>
        <w:rPr>
          <w:rFonts w:ascii="Symbol" w:hAnsi="Symbol"/>
          <w:noProof/>
        </w:rPr>
        <w:tab/>
      </w:r>
      <w:r>
        <w:rPr>
          <w:noProof/>
        </w:rPr>
        <w:t>EaSI-Guarantee</w:t>
      </w:r>
      <w:r>
        <w:rPr>
          <w:b/>
          <w:noProof/>
        </w:rPr>
        <w:t>:</w:t>
      </w:r>
      <w:r>
        <w:rPr>
          <w:noProof/>
        </w:rPr>
        <w:t xml:space="preserve"> </w:t>
      </w:r>
      <w:r>
        <w:rPr>
          <w:noProof/>
          <w:lang w:val="en"/>
        </w:rPr>
        <w:t>Regulation (EU) No 1296/2013 of the European Parliament and of the Council of 11 December 2013 on a European Union Programme for Employment and Social Innovation (“EaSI”) and amending Decision No 283/2010/EU establishing a European Progress Microfinance Facility for employment and social inclusion (</w:t>
      </w:r>
      <w:r>
        <w:rPr>
          <w:iCs/>
          <w:noProof/>
          <w:lang w:val="en"/>
        </w:rPr>
        <w:t>OJ L 347, 20.12.2013, p. 238).</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COSME Loan Guarantee Facility (COSME LGF)</w:t>
      </w:r>
      <w:r>
        <w:rPr>
          <w:b/>
          <w:noProof/>
        </w:rPr>
        <w:t>:</w:t>
      </w:r>
      <w:r>
        <w:rPr>
          <w:noProof/>
        </w:rPr>
        <w:t xml:space="preserve"> </w:t>
      </w:r>
      <w:r>
        <w:rPr>
          <w:noProof/>
          <w:lang w:val="en"/>
        </w:rPr>
        <w:t>Regulation (EU) No 1287/2013 of the European Parliament and of the Council of 11 December 2013 establishing a Programme for the Competitiveness of Enterprises and small and medium-sized enterprises (COSME) (2014 - 2020) and repealing Decision No 1639/2006/EC (</w:t>
      </w:r>
      <w:r>
        <w:rPr>
          <w:iCs/>
          <w:noProof/>
          <w:lang w:val="en"/>
        </w:rPr>
        <w:t>OJ L 347, 20.12.2013, p. 33).</w:t>
      </w:r>
    </w:p>
    <w:p>
      <w:pPr>
        <w:pStyle w:val="Bullet0"/>
        <w:numPr>
          <w:ilvl w:val="0"/>
          <w:numId w:val="0"/>
        </w:numPr>
        <w:shd w:val="clear" w:color="auto" w:fill="FFFFFF" w:themeFill="background1"/>
        <w:tabs>
          <w:tab w:val="left" w:pos="850"/>
        </w:tabs>
        <w:ind w:left="850" w:hanging="850"/>
        <w:rPr>
          <w:iCs/>
          <w:noProof/>
          <w:lang w:val="en"/>
        </w:rPr>
      </w:pPr>
      <w:r>
        <w:rPr>
          <w:rFonts w:ascii="Symbol" w:hAnsi="Symbol"/>
          <w:iCs/>
          <w:noProof/>
          <w:lang w:val="en"/>
        </w:rPr>
        <w:t></w:t>
      </w:r>
      <w:r>
        <w:rPr>
          <w:rFonts w:ascii="Symbol" w:hAnsi="Symbol"/>
          <w:iCs/>
          <w:noProof/>
          <w:lang w:val="en"/>
        </w:rPr>
        <w:tab/>
      </w:r>
      <w:r>
        <w:rPr>
          <w:noProof/>
        </w:rPr>
        <w:t>InnovFin Debt:</w:t>
      </w:r>
    </w:p>
    <w:p>
      <w:pPr>
        <w:pStyle w:val="Tiret1"/>
        <w:numPr>
          <w:ilvl w:val="0"/>
          <w:numId w:val="0"/>
        </w:numPr>
        <w:shd w:val="clear" w:color="auto" w:fill="FFFFFF" w:themeFill="background1"/>
        <w:tabs>
          <w:tab w:val="left" w:pos="1417"/>
        </w:tabs>
        <w:ind w:left="1417" w:hanging="567"/>
        <w:rPr>
          <w:iCs/>
          <w:noProof/>
          <w:lang w:val="en"/>
        </w:rPr>
      </w:pPr>
      <w:r>
        <w:rPr>
          <w:iCs/>
          <w:noProof/>
          <w:lang w:val="en"/>
        </w:rPr>
        <w:t>–</w:t>
      </w:r>
      <w:r>
        <w:rPr>
          <w:iCs/>
          <w:noProof/>
          <w:lang w:val="en"/>
        </w:rPr>
        <w:tab/>
      </w: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numPr>
          <w:ilvl w:val="0"/>
          <w:numId w:val="0"/>
        </w:numPr>
        <w:shd w:val="clear" w:color="auto" w:fill="FFFFFF" w:themeFill="background1"/>
        <w:tabs>
          <w:tab w:val="left" w:pos="1417"/>
        </w:tabs>
        <w:ind w:left="1417" w:hanging="567"/>
        <w:rPr>
          <w:iCs/>
          <w:noProof/>
          <w:lang w:val="en"/>
        </w:rPr>
      </w:pPr>
      <w:r>
        <w:rPr>
          <w:iCs/>
          <w:noProof/>
          <w:lang w:val="en"/>
        </w:rPr>
        <w:t>–</w:t>
      </w:r>
      <w:r>
        <w:rPr>
          <w:iCs/>
          <w:noProof/>
          <w:lang w:val="en"/>
        </w:rPr>
        <w:tab/>
      </w: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p>
    <w:p>
      <w:pPr>
        <w:pStyle w:val="Tiret1"/>
        <w:numPr>
          <w:ilvl w:val="0"/>
          <w:numId w:val="0"/>
        </w:numPr>
        <w:shd w:val="clear" w:color="auto" w:fill="FFFFFF" w:themeFill="background1"/>
        <w:tabs>
          <w:tab w:val="left" w:pos="1417"/>
        </w:tabs>
        <w:ind w:left="1417" w:hanging="567"/>
        <w:rPr>
          <w:noProof/>
          <w:lang w:val="en"/>
        </w:rPr>
      </w:pPr>
      <w:r>
        <w:rPr>
          <w:noProof/>
          <w:lang w:val="en"/>
        </w:rPr>
        <w:t>–</w:t>
      </w:r>
      <w:r>
        <w:rPr>
          <w:noProof/>
          <w:lang w:val="en"/>
        </w:rPr>
        <w:tab/>
        <w:t>Council Decision No 2013/743/EU of 3 December 2013 establishing the specific programme implementing Horizon 2020 - the Framework Programme for Research and Innovation (2014-2020) and repealing Decisions 2006/971/EC, 2006/972/EC, 2006/973/EC, 2006/974/EC and 2006/975/EC (</w:t>
      </w:r>
      <w:r>
        <w:rPr>
          <w:iCs/>
          <w:noProof/>
          <w:lang w:val="en"/>
        </w:rPr>
        <w:t>OJ L 347, 20.12.2013, p. 965).</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Cultural and Creative Sectors Guarantee Facility (CCS GF): </w:t>
      </w:r>
      <w:r>
        <w:rPr>
          <w:noProof/>
          <w:lang w:val="en"/>
        </w:rPr>
        <w:t>Regulation (EU) No 1295/2013 of the European Parliament and of the Council of 11 December 2013 establishing the Creative Europe Programme (2014 to 2020) and repealing Decisions No 1718/2006/EC, No 1855/2006/EC and No 1041/2009/EC (</w:t>
      </w:r>
      <w:r>
        <w:rPr>
          <w:iCs/>
          <w:noProof/>
          <w:lang w:val="en"/>
        </w:rPr>
        <w:t>OJ L 347, 20.12.2013, p. 221).</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Student Loan Guarantee Facility (SLGF): </w:t>
      </w:r>
      <w:r>
        <w:rPr>
          <w:noProof/>
          <w:lang w:val="en"/>
        </w:rPr>
        <w:t>Regulation (EU) No 1288/2013 of the European Parliament and of the Council of 11 December 2013 establishing 'Erasmus+': the Union programme for education, training, youth and sport and repealing Decisions No 1719/2006/EC, No 1720/2006/EC and No 1298/2008/EC (</w:t>
      </w:r>
      <w:r>
        <w:rPr>
          <w:iCs/>
          <w:noProof/>
          <w:lang w:val="en"/>
        </w:rPr>
        <w:t>OJ L 347, 20.12.2013, p. 50).</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Private Finance for Energy Efficiency (PF4EE): </w:t>
      </w:r>
      <w:r>
        <w:rPr>
          <w:noProof/>
          <w:lang w:val="en"/>
        </w:rPr>
        <w:t>Regulation (EU) No 1293/2013 of the European Parliament and of the Council of 11 December 2013 on the establishment of a Programme for the Environment and Climate Action (LIFE) and repealing Regulation (EC) No 614/2007 (</w:t>
      </w:r>
      <w:r>
        <w:rPr>
          <w:iCs/>
          <w:noProof/>
          <w:lang w:val="en"/>
        </w:rPr>
        <w:t>OJ L 347, 20.12.2013, p. 185)</w:t>
      </w:r>
      <w:r>
        <w:rPr>
          <w:noProof/>
        </w:rPr>
        <w:t>.</w:t>
      </w:r>
    </w:p>
    <w:p>
      <w:pPr>
        <w:shd w:val="clear" w:color="auto" w:fill="FFFFFF" w:themeFill="background1"/>
        <w:spacing w:before="0" w:after="200" w:line="276" w:lineRule="auto"/>
        <w:rPr>
          <w:noProof/>
          <w:szCs w:val="24"/>
        </w:rPr>
      </w:pPr>
      <w:r>
        <w:rPr>
          <w:noProof/>
          <w:szCs w:val="24"/>
        </w:rPr>
        <w:t>C. Risk-Sharing Instruments: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InnovFin:</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Regulation (EU) No 1290/2013 of the European Parliament and of the Council of 11 December 2013 laying down the rules for participation and dissemination in “Horizon 2020 - the Framework Programme for Research and Innovation (2014-2020)” and repealing Regulation (EC) No 1906/2006 (</w:t>
      </w:r>
      <w:r>
        <w:rPr>
          <w:iCs/>
          <w:noProof/>
          <w:lang w:val="en"/>
        </w:rPr>
        <w:t>OJ L 347, 20.12.2013, p. 81);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Regulation (EU) No 1291/2013 of the European Parliament and of the Council of 11 December 2013 establishing Horizon 2020 - the Framework Programme for Research and Innovation (2014-2020) and repealing Decision No 1982/2006/EC (</w:t>
      </w:r>
      <w:r>
        <w:rPr>
          <w:iCs/>
          <w:noProof/>
          <w:lang w:val="en"/>
        </w:rPr>
        <w:t>OJ L 347, 20.12.2013, p. 104)</w:t>
      </w:r>
      <w:r>
        <w:rPr>
          <w:noProof/>
        </w:rPr>
        <w:t>.</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Connecting Europe Facility Debt Instrument (CEF DI): </w:t>
      </w:r>
      <w:r>
        <w:rPr>
          <w:noProof/>
          <w:lang w:val="en"/>
        </w:rPr>
        <w:t>Regulation (EU) No 1316/2013 of the European Parliament and of the Council of 11 December 2013 establishing the Connecting Europe Facility, amending Regulation (EU) No 913/2010 and repealing Regulations (EC) No 680/2007 and (EC) No 67/2010</w:t>
      </w:r>
      <w:r>
        <w:rPr>
          <w:b/>
          <w:noProof/>
          <w:lang w:val="en"/>
        </w:rPr>
        <w:t xml:space="preserve"> (</w:t>
      </w:r>
      <w:r>
        <w:rPr>
          <w:iCs/>
          <w:noProof/>
          <w:lang w:val="en"/>
        </w:rPr>
        <w:t>OJ L 348, 20.12.2013, p. 129).</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 xml:space="preserve">Natural Capital Financing Facility (NCFF): </w:t>
      </w:r>
      <w:r>
        <w:rPr>
          <w:noProof/>
          <w:lang w:val="en"/>
        </w:rPr>
        <w:t>Regulation (EU) No 1293/2013 of the European Parliament and of the Council of 11 December 2013 on the establishment of a Programme for the Environment and Climate Action (LIFE) and repealing Regulation (EC) No 614/2007 (</w:t>
      </w:r>
      <w:r>
        <w:rPr>
          <w:iCs/>
          <w:noProof/>
          <w:lang w:val="en"/>
        </w:rPr>
        <w:t>OJ L 347, 20.12.2013, p. 185).</w:t>
      </w:r>
    </w:p>
    <w:p>
      <w:pPr>
        <w:shd w:val="clear" w:color="auto" w:fill="FFFFFF" w:themeFill="background1"/>
        <w:spacing w:before="0" w:after="200" w:line="276" w:lineRule="auto"/>
        <w:rPr>
          <w:noProof/>
          <w:szCs w:val="24"/>
        </w:rPr>
      </w:pPr>
      <w:r>
        <w:rPr>
          <w:noProof/>
          <w:szCs w:val="24"/>
        </w:rPr>
        <w:t>D. Dedicated Investment Vehicles:</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European Progress Microfinance Facility – Fonds commun de placements – fonds d'investissements spécialisés (EPMF FCP-FIS):</w:t>
      </w:r>
      <w:r>
        <w:rPr>
          <w:b/>
          <w:noProof/>
        </w:rPr>
        <w:t xml:space="preserve"> </w:t>
      </w:r>
      <w:r>
        <w:rPr>
          <w:noProof/>
          <w:lang w:val="en"/>
        </w:rPr>
        <w:t>Decision No 283/2010/EU of the European Parliament and of the Council of 25 March 2010 establishing a European Progress Microfinance Facility for employment and social inclusion (</w:t>
      </w:r>
      <w:r>
        <w:rPr>
          <w:iCs/>
          <w:noProof/>
          <w:lang w:val="en"/>
        </w:rPr>
        <w:t>OJ L 87, 7.4.2010, p. 1).</w:t>
      </w:r>
      <w:r>
        <w:rPr>
          <w:noProof/>
        </w:rPr>
        <w:t xml:space="preserve"> </w:t>
      </w:r>
    </w:p>
    <w:p>
      <w:pPr>
        <w:pStyle w:val="Bullet0"/>
        <w:numPr>
          <w:ilvl w:val="0"/>
          <w:numId w:val="0"/>
        </w:numPr>
        <w:shd w:val="clear" w:color="auto" w:fill="FFFFFF" w:themeFill="background1"/>
        <w:tabs>
          <w:tab w:val="left" w:pos="850"/>
        </w:tabs>
        <w:ind w:left="850" w:hanging="850"/>
        <w:rPr>
          <w:noProof/>
        </w:rPr>
      </w:pPr>
      <w:r>
        <w:rPr>
          <w:rFonts w:ascii="Symbol" w:hAnsi="Symbol"/>
          <w:noProof/>
        </w:rPr>
        <w:t></w:t>
      </w:r>
      <w:r>
        <w:rPr>
          <w:rFonts w:ascii="Symbol" w:hAnsi="Symbol"/>
          <w:noProof/>
        </w:rPr>
        <w:tab/>
      </w:r>
      <w:r>
        <w:rPr>
          <w:noProof/>
        </w:rPr>
        <w:t>Marguerite:</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lang w:val="en"/>
        </w:rPr>
        <w:t>Regulation (EC) No 680/2007 of the European Parliament and of the Council of 20 June 2007 laying down general rules for the granting of Community financial aid in the field of the trans-European transport and energy networks (</w:t>
      </w:r>
      <w:r>
        <w:rPr>
          <w:iCs/>
          <w:noProof/>
          <w:lang w:val="en"/>
        </w:rPr>
        <w:t>OJ L 162, 22.6.2007, p. 1);</w:t>
      </w:r>
    </w:p>
    <w:p>
      <w:pPr>
        <w:pStyle w:val="Tiret1"/>
        <w:numPr>
          <w:ilvl w:val="0"/>
          <w:numId w:val="0"/>
        </w:numPr>
        <w:shd w:val="clear" w:color="auto" w:fill="FFFFFF" w:themeFill="background1"/>
        <w:tabs>
          <w:tab w:val="left" w:pos="1417"/>
        </w:tabs>
        <w:ind w:left="1417" w:hanging="567"/>
        <w:rPr>
          <w:noProof/>
        </w:rPr>
      </w:pPr>
      <w:r>
        <w:rPr>
          <w:noProof/>
        </w:rPr>
        <w:t>–</w:t>
      </w:r>
      <w:r>
        <w:rPr>
          <w:noProof/>
        </w:rPr>
        <w:tab/>
      </w:r>
      <w:r>
        <w:rPr>
          <w:noProof/>
          <w:bdr w:val="none" w:sz="0" w:space="0" w:color="auto" w:frame="1"/>
        </w:rPr>
        <w:t>Commission Decision of 25.2.2010 on European Union participation in the 2020 European Fund for Energy, Climate Change and Infrastructure (the Marguerite Fund) (C(2010) 941).</w:t>
      </w:r>
    </w:p>
    <w:p>
      <w:pPr>
        <w:pStyle w:val="Bullet0"/>
        <w:numPr>
          <w:ilvl w:val="0"/>
          <w:numId w:val="0"/>
        </w:numPr>
        <w:shd w:val="clear" w:color="auto" w:fill="FFFFFF" w:themeFill="background1"/>
        <w:tabs>
          <w:tab w:val="left" w:pos="850"/>
        </w:tabs>
        <w:ind w:left="850" w:hanging="850"/>
        <w:rPr>
          <w:iCs/>
          <w:noProof/>
          <w:lang w:val="en"/>
        </w:rPr>
      </w:pPr>
      <w:r>
        <w:rPr>
          <w:rFonts w:ascii="Symbol" w:hAnsi="Symbol"/>
          <w:noProof/>
        </w:rPr>
        <w:t></w:t>
      </w:r>
      <w:r>
        <w:rPr>
          <w:rFonts w:ascii="Symbol" w:hAnsi="Symbol"/>
          <w:noProof/>
        </w:rPr>
        <w:tab/>
      </w:r>
      <w:r>
        <w:rPr>
          <w:rStyle w:val="st"/>
          <w:noProof/>
        </w:rPr>
        <w:t xml:space="preserve">European </w:t>
      </w:r>
      <w:r>
        <w:rPr>
          <w:rStyle w:val="Emphasis"/>
          <w:i w:val="0"/>
          <w:noProof/>
        </w:rPr>
        <w:t>Energy</w:t>
      </w:r>
      <w:r>
        <w:rPr>
          <w:rStyle w:val="st"/>
          <w:noProof/>
        </w:rPr>
        <w:t xml:space="preserve"> Efficiency Fund (</w:t>
      </w:r>
      <w:r>
        <w:rPr>
          <w:noProof/>
        </w:rPr>
        <w:t xml:space="preserve">EEEF): </w:t>
      </w:r>
      <w:r>
        <w:rPr>
          <w:noProof/>
          <w:lang w:val="en"/>
        </w:rPr>
        <w:t>Regulation (EU) No 1233/2010 of the European Parliament and of the Council of 15 December 2010 amending Regulation (EC) No 663/2009 establishing a programme to aid economic recovery by granting Community financial assistance to projects in the field of energy (</w:t>
      </w:r>
      <w:r>
        <w:rPr>
          <w:iCs/>
          <w:noProof/>
          <w:lang w:val="en"/>
        </w:rPr>
        <w:t>OJ L 346, 30.12.2010, p. 5).</w:t>
      </w:r>
    </w:p>
    <w:p>
      <w:pPr>
        <w:spacing w:before="0" w:after="160" w:line="259" w:lineRule="auto"/>
        <w:jc w:val="left"/>
        <w:rPr>
          <w:rStyle w:val="Marker1"/>
          <w:rFonts w:eastAsia="Arial Unicode MS"/>
          <w:noProof/>
          <w:color w:val="auto"/>
        </w:rPr>
      </w:pPr>
      <w:r>
        <w:rPr>
          <w:rStyle w:val="Marker1"/>
          <w:rFonts w:eastAsia="Arial Unicode MS"/>
          <w:noProof/>
          <w:color w:val="auto"/>
        </w:rPr>
        <w:br w:type="page"/>
      </w:r>
    </w:p>
    <w:p>
      <w:pPr>
        <w:spacing w:before="0" w:after="200" w:line="276" w:lineRule="auto"/>
        <w:jc w:val="center"/>
        <w:rPr>
          <w:rStyle w:val="Marker1"/>
          <w:rFonts w:eastAsia="Arial Unicode MS"/>
          <w:b/>
          <w:noProof/>
          <w:color w:val="auto"/>
        </w:rPr>
      </w:pPr>
      <w:r>
        <w:rPr>
          <w:rStyle w:val="Marker1"/>
          <w:rFonts w:eastAsia="Arial Unicode MS"/>
          <w:b/>
          <w:noProof/>
          <w:color w:val="auto"/>
        </w:rPr>
        <w:t xml:space="preserve">ANNEX II </w:t>
      </w:r>
    </w:p>
    <w:p>
      <w:pPr>
        <w:spacing w:before="0" w:after="200" w:line="276" w:lineRule="auto"/>
        <w:jc w:val="center"/>
        <w:rPr>
          <w:rStyle w:val="Marker1"/>
          <w:rFonts w:eastAsia="Arial Unicode MS"/>
          <w:b/>
          <w:noProof/>
          <w:color w:val="auto"/>
        </w:rPr>
      </w:pPr>
      <w:r>
        <w:rPr>
          <w:rStyle w:val="Marker1"/>
          <w:rFonts w:eastAsia="Arial Unicode MS"/>
          <w:b/>
          <w:noProof/>
          <w:color w:val="auto"/>
        </w:rPr>
        <w:t>Key performance indicators</w:t>
      </w:r>
    </w:p>
    <w:p>
      <w:pPr>
        <w:pStyle w:val="ListParagraph"/>
        <w:numPr>
          <w:ilvl w:val="0"/>
          <w:numId w:val="8"/>
        </w:numPr>
        <w:contextualSpacing w:val="0"/>
        <w:rPr>
          <w:noProof/>
        </w:rPr>
      </w:pPr>
      <w:r>
        <w:rPr>
          <w:noProof/>
          <w:lang w:val="mt-MT"/>
        </w:rPr>
        <w:t>V</w:t>
      </w:r>
      <w:r>
        <w:rPr>
          <w:noProof/>
        </w:rPr>
        <w:t>olume of grants awarded</w:t>
      </w:r>
    </w:p>
    <w:p>
      <w:pPr>
        <w:pStyle w:val="ListParagraph"/>
        <w:numPr>
          <w:ilvl w:val="0"/>
          <w:numId w:val="8"/>
        </w:numPr>
        <w:contextualSpacing w:val="0"/>
        <w:rPr>
          <w:noProof/>
        </w:rPr>
      </w:pPr>
      <w:r>
        <w:rPr>
          <w:noProof/>
          <w:lang w:val="mt-MT"/>
        </w:rPr>
        <w:t>V</w:t>
      </w:r>
      <w:r>
        <w:rPr>
          <w:noProof/>
        </w:rPr>
        <w:t xml:space="preserve">olume of loans signed  </w:t>
      </w:r>
    </w:p>
    <w:p>
      <w:pPr>
        <w:pStyle w:val="ListParagraph"/>
        <w:numPr>
          <w:ilvl w:val="1"/>
          <w:numId w:val="8"/>
        </w:numPr>
        <w:ind w:left="1276" w:hanging="556"/>
        <w:contextualSpacing w:val="0"/>
        <w:rPr>
          <w:noProof/>
        </w:rPr>
      </w:pPr>
      <w:r>
        <w:rPr>
          <w:noProof/>
        </w:rPr>
        <w:t>Individual loans</w:t>
      </w:r>
    </w:p>
    <w:p>
      <w:pPr>
        <w:pStyle w:val="ListParagraph"/>
        <w:numPr>
          <w:ilvl w:val="1"/>
          <w:numId w:val="8"/>
        </w:numPr>
        <w:ind w:left="1276" w:hanging="556"/>
        <w:contextualSpacing w:val="0"/>
        <w:rPr>
          <w:noProof/>
        </w:rPr>
      </w:pPr>
      <w:r>
        <w:rPr>
          <w:noProof/>
        </w:rPr>
        <w:t>Loan schemes</w:t>
      </w:r>
    </w:p>
    <w:p>
      <w:pPr>
        <w:pStyle w:val="ListParagraph"/>
        <w:numPr>
          <w:ilvl w:val="0"/>
          <w:numId w:val="8"/>
        </w:numPr>
        <w:contextualSpacing w:val="0"/>
        <w:rPr>
          <w:noProof/>
        </w:rPr>
      </w:pPr>
      <w:r>
        <w:rPr>
          <w:noProof/>
          <w:lang w:val="mt-MT"/>
        </w:rPr>
        <w:t>O</w:t>
      </w:r>
      <w:r>
        <w:rPr>
          <w:noProof/>
        </w:rPr>
        <w:t>verall investment mobilised</w:t>
      </w:r>
      <w:r>
        <w:rPr>
          <w:noProof/>
          <w:lang w:val="mt-MT"/>
        </w:rPr>
        <w:t>, divided as follows</w:t>
      </w:r>
    </w:p>
    <w:p>
      <w:pPr>
        <w:pStyle w:val="ListParagraph"/>
        <w:numPr>
          <w:ilvl w:val="1"/>
          <w:numId w:val="8"/>
        </w:numPr>
        <w:ind w:left="1276" w:hanging="556"/>
        <w:contextualSpacing w:val="0"/>
        <w:rPr>
          <w:noProof/>
        </w:rPr>
      </w:pPr>
      <w:r>
        <w:rPr>
          <w:noProof/>
          <w:lang w:val="mt-MT"/>
        </w:rPr>
        <w:t>A</w:t>
      </w:r>
      <w:r>
        <w:rPr>
          <w:noProof/>
        </w:rPr>
        <w:t>mount of private financing mobilised</w:t>
      </w:r>
    </w:p>
    <w:p>
      <w:pPr>
        <w:pStyle w:val="ListParagraph"/>
        <w:numPr>
          <w:ilvl w:val="1"/>
          <w:numId w:val="8"/>
        </w:numPr>
        <w:ind w:left="1276" w:hanging="556"/>
        <w:contextualSpacing w:val="0"/>
        <w:rPr>
          <w:noProof/>
        </w:rPr>
      </w:pPr>
      <w:r>
        <w:rPr>
          <w:noProof/>
          <w:lang w:val="mt-MT"/>
        </w:rPr>
        <w:t>A</w:t>
      </w:r>
      <w:r>
        <w:rPr>
          <w:noProof/>
        </w:rPr>
        <w:t>mount of public financing mobilised</w:t>
      </w:r>
    </w:p>
    <w:p>
      <w:pPr>
        <w:pStyle w:val="ListParagraph"/>
        <w:numPr>
          <w:ilvl w:val="0"/>
          <w:numId w:val="8"/>
        </w:numPr>
        <w:contextualSpacing w:val="0"/>
        <w:rPr>
          <w:noProof/>
          <w:lang w:val="mt-MT"/>
        </w:rPr>
      </w:pPr>
      <w:r>
        <w:rPr>
          <w:noProof/>
          <w:lang w:val="mt-MT"/>
        </w:rPr>
        <w:t>N</w:t>
      </w:r>
      <w:r>
        <w:rPr>
          <w:noProof/>
        </w:rPr>
        <w:t>umber of projects receiving support, including geographical coverage</w:t>
      </w:r>
    </w:p>
    <w:p>
      <w:pPr>
        <w:pStyle w:val="ListParagraph"/>
        <w:numPr>
          <w:ilvl w:val="1"/>
          <w:numId w:val="8"/>
        </w:numPr>
        <w:ind w:left="1276" w:hanging="556"/>
        <w:contextualSpacing w:val="0"/>
        <w:rPr>
          <w:noProof/>
        </w:rPr>
      </w:pPr>
      <w:r>
        <w:rPr>
          <w:noProof/>
        </w:rPr>
        <w:t xml:space="preserve">Country </w:t>
      </w:r>
    </w:p>
    <w:p>
      <w:pPr>
        <w:pStyle w:val="ListParagraph"/>
        <w:numPr>
          <w:ilvl w:val="1"/>
          <w:numId w:val="8"/>
        </w:numPr>
        <w:ind w:left="1276" w:hanging="556"/>
        <w:contextualSpacing w:val="0"/>
        <w:rPr>
          <w:noProof/>
        </w:rPr>
      </w:pPr>
      <w:r>
        <w:rPr>
          <w:noProof/>
        </w:rPr>
        <w:t xml:space="preserve">NUTS 2 region </w:t>
      </w:r>
    </w:p>
    <w:p>
      <w:pPr>
        <w:pStyle w:val="ListParagraph"/>
        <w:numPr>
          <w:ilvl w:val="1"/>
          <w:numId w:val="8"/>
        </w:numPr>
        <w:ind w:left="1276" w:hanging="556"/>
        <w:contextualSpacing w:val="0"/>
        <w:rPr>
          <w:noProof/>
        </w:rPr>
      </w:pPr>
      <w:r>
        <w:rPr>
          <w:noProof/>
        </w:rPr>
        <w:t>Just transition territory supported  </w:t>
      </w:r>
    </w:p>
    <w:p>
      <w:pPr>
        <w:pStyle w:val="ListParagraph"/>
        <w:numPr>
          <w:ilvl w:val="0"/>
          <w:numId w:val="8"/>
        </w:numPr>
        <w:contextualSpacing w:val="0"/>
        <w:rPr>
          <w:noProof/>
        </w:rPr>
      </w:pPr>
      <w:r>
        <w:rPr>
          <w:noProof/>
        </w:rPr>
        <w:t>Number of projects receiving financing under the Facility</w:t>
      </w:r>
    </w:p>
    <w:p>
      <w:pPr>
        <w:pStyle w:val="ListParagraph"/>
        <w:numPr>
          <w:ilvl w:val="0"/>
          <w:numId w:val="8"/>
        </w:numPr>
        <w:contextualSpacing w:val="0"/>
        <w:rPr>
          <w:noProof/>
        </w:rPr>
      </w:pPr>
      <w:r>
        <w:rPr>
          <w:noProof/>
        </w:rPr>
        <w:t>Number of projects by sector</w:t>
      </w:r>
    </w:p>
    <w:p>
      <w:pPr>
        <w:pStyle w:val="ListParagraph"/>
        <w:numPr>
          <w:ilvl w:val="1"/>
          <w:numId w:val="8"/>
        </w:numPr>
        <w:ind w:left="1276" w:hanging="556"/>
        <w:contextualSpacing w:val="0"/>
        <w:rPr>
          <w:noProof/>
        </w:rPr>
      </w:pPr>
      <w:r>
        <w:rPr>
          <w:noProof/>
        </w:rPr>
        <w:t>Transport</w:t>
      </w:r>
    </w:p>
    <w:p>
      <w:pPr>
        <w:pStyle w:val="ListParagraph"/>
        <w:numPr>
          <w:ilvl w:val="1"/>
          <w:numId w:val="8"/>
        </w:numPr>
        <w:ind w:left="1276" w:hanging="556"/>
        <w:contextualSpacing w:val="0"/>
        <w:rPr>
          <w:noProof/>
        </w:rPr>
      </w:pPr>
      <w:r>
        <w:rPr>
          <w:noProof/>
        </w:rPr>
        <w:t>Social infrastructure</w:t>
      </w:r>
    </w:p>
    <w:p>
      <w:pPr>
        <w:pStyle w:val="ListParagraph"/>
        <w:numPr>
          <w:ilvl w:val="1"/>
          <w:numId w:val="8"/>
        </w:numPr>
        <w:ind w:left="1276" w:hanging="556"/>
        <w:contextualSpacing w:val="0"/>
        <w:rPr>
          <w:noProof/>
        </w:rPr>
      </w:pPr>
      <w:r>
        <w:rPr>
          <w:noProof/>
        </w:rPr>
        <w:t>Public utilities (water, wastewater, district heating, energy, waste management)</w:t>
      </w:r>
    </w:p>
    <w:p>
      <w:pPr>
        <w:pStyle w:val="ListParagraph"/>
        <w:numPr>
          <w:ilvl w:val="1"/>
          <w:numId w:val="8"/>
        </w:numPr>
        <w:ind w:left="1276" w:hanging="556"/>
        <w:contextualSpacing w:val="0"/>
        <w:rPr>
          <w:noProof/>
        </w:rPr>
      </w:pPr>
      <w:r>
        <w:rPr>
          <w:noProof/>
        </w:rPr>
        <w:t>Direct support to transition (renewable energy, energy efficiency)</w:t>
      </w:r>
    </w:p>
    <w:p>
      <w:pPr>
        <w:pStyle w:val="ListParagraph"/>
        <w:numPr>
          <w:ilvl w:val="1"/>
          <w:numId w:val="8"/>
        </w:numPr>
        <w:ind w:left="1276" w:hanging="556"/>
        <w:contextualSpacing w:val="0"/>
        <w:rPr>
          <w:noProof/>
        </w:rPr>
      </w:pPr>
      <w:r>
        <w:rPr>
          <w:noProof/>
        </w:rPr>
        <w:t>Environmental protection</w:t>
      </w:r>
    </w:p>
    <w:p>
      <w:pPr>
        <w:pStyle w:val="ListParagraph"/>
        <w:numPr>
          <w:ilvl w:val="1"/>
          <w:numId w:val="8"/>
        </w:numPr>
        <w:ind w:left="1276" w:hanging="556"/>
        <w:contextualSpacing w:val="0"/>
        <w:rPr>
          <w:noProof/>
        </w:rPr>
      </w:pPr>
      <w:r>
        <w:rPr>
          <w:noProof/>
        </w:rPr>
        <w:t>Urban infrastructure (including housing)</w:t>
      </w:r>
    </w:p>
    <w:p>
      <w:pPr>
        <w:pStyle w:val="ListParagraph"/>
        <w:numPr>
          <w:ilvl w:val="1"/>
          <w:numId w:val="8"/>
        </w:numPr>
        <w:ind w:left="1276" w:hanging="556"/>
        <w:contextualSpacing w:val="0"/>
        <w:rPr>
          <w:noProof/>
        </w:rPr>
      </w:pPr>
      <w:r>
        <w:rPr>
          <w:noProof/>
        </w:rPr>
        <w:t>Others</w:t>
      </w:r>
    </w:p>
    <w:p>
      <w:pPr>
        <w:pStyle w:val="ListParagraph"/>
        <w:numPr>
          <w:ilvl w:val="0"/>
          <w:numId w:val="8"/>
        </w:numPr>
        <w:contextualSpacing w:val="0"/>
        <w:rPr>
          <w:noProof/>
        </w:rPr>
      </w:pPr>
      <w:r>
        <w:rPr>
          <w:noProof/>
        </w:rPr>
        <w:t>Greenhouse gas emission reduced</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590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10C"/>
    <w:multiLevelType w:val="hybridMultilevel"/>
    <w:tmpl w:val="4BF6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965F97"/>
    <w:multiLevelType w:val="hybridMultilevel"/>
    <w:tmpl w:val="FC1EA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9220E5"/>
    <w:multiLevelType w:val="multilevel"/>
    <w:tmpl w:val="EB0003A4"/>
    <w:lvl w:ilvl="0">
      <w:start w:val="2"/>
      <w:numFmt w:val="decimal"/>
      <w:lvlText w:val="%1"/>
      <w:lvlJc w:val="left"/>
      <w:pPr>
        <w:ind w:left="360" w:hanging="360"/>
      </w:pPr>
      <w:rPr>
        <w:color w:val="404040"/>
      </w:rPr>
    </w:lvl>
    <w:lvl w:ilvl="1">
      <w:start w:val="1"/>
      <w:numFmt w:val="decimal"/>
      <w:lvlText w:val="%1.%2"/>
      <w:lvlJc w:val="left"/>
      <w:pPr>
        <w:ind w:left="720" w:hanging="360"/>
      </w:pPr>
      <w:rPr>
        <w:color w:val="404040"/>
      </w:rPr>
    </w:lvl>
    <w:lvl w:ilvl="2">
      <w:start w:val="1"/>
      <w:numFmt w:val="decimal"/>
      <w:lvlText w:val="%1.%2.%3"/>
      <w:lvlJc w:val="left"/>
      <w:pPr>
        <w:ind w:left="1440" w:hanging="720"/>
      </w:pPr>
      <w:rPr>
        <w:color w:val="404040"/>
      </w:rPr>
    </w:lvl>
    <w:lvl w:ilvl="3">
      <w:start w:val="1"/>
      <w:numFmt w:val="decimal"/>
      <w:lvlText w:val="%1.%2.%3.%4"/>
      <w:lvlJc w:val="left"/>
      <w:pPr>
        <w:ind w:left="1800" w:hanging="720"/>
      </w:pPr>
      <w:rPr>
        <w:color w:val="404040"/>
      </w:rPr>
    </w:lvl>
    <w:lvl w:ilvl="4">
      <w:start w:val="1"/>
      <w:numFmt w:val="decimal"/>
      <w:lvlText w:val="%1.%2.%3.%4.%5"/>
      <w:lvlJc w:val="left"/>
      <w:pPr>
        <w:ind w:left="2520" w:hanging="1080"/>
      </w:pPr>
      <w:rPr>
        <w:color w:val="404040"/>
      </w:rPr>
    </w:lvl>
    <w:lvl w:ilvl="5">
      <w:start w:val="1"/>
      <w:numFmt w:val="decimal"/>
      <w:lvlText w:val="%1.%2.%3.%4.%5.%6"/>
      <w:lvlJc w:val="left"/>
      <w:pPr>
        <w:ind w:left="2880" w:hanging="1080"/>
      </w:pPr>
      <w:rPr>
        <w:color w:val="404040"/>
      </w:rPr>
    </w:lvl>
    <w:lvl w:ilvl="6">
      <w:start w:val="1"/>
      <w:numFmt w:val="decimal"/>
      <w:lvlText w:val="%1.%2.%3.%4.%5.%6.%7"/>
      <w:lvlJc w:val="left"/>
      <w:pPr>
        <w:ind w:left="3240" w:hanging="1080"/>
      </w:pPr>
      <w:rPr>
        <w:color w:val="404040"/>
      </w:rPr>
    </w:lvl>
    <w:lvl w:ilvl="7">
      <w:start w:val="1"/>
      <w:numFmt w:val="decimal"/>
      <w:lvlText w:val="%1.%2.%3.%4.%5.%6.%7.%8"/>
      <w:lvlJc w:val="left"/>
      <w:pPr>
        <w:ind w:left="3960" w:hanging="1440"/>
      </w:pPr>
      <w:rPr>
        <w:color w:val="404040"/>
      </w:rPr>
    </w:lvl>
    <w:lvl w:ilvl="8">
      <w:start w:val="1"/>
      <w:numFmt w:val="decimal"/>
      <w:lvlText w:val="%1.%2.%3.%4.%5.%6.%7.%8.%9"/>
      <w:lvlJc w:val="left"/>
      <w:pPr>
        <w:ind w:left="4320" w:hanging="1440"/>
      </w:pPr>
      <w:rPr>
        <w:color w:val="404040"/>
      </w:r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53AA5558"/>
    <w:multiLevelType w:val="multilevel"/>
    <w:tmpl w:val="BB4C01F0"/>
    <w:lvl w:ilvl="0">
      <w:start w:val="1"/>
      <w:numFmt w:val="decimal"/>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3685BBA"/>
    <w:multiLevelType w:val="hybridMultilevel"/>
    <w:tmpl w:val="35C42B00"/>
    <w:lvl w:ilvl="0" w:tplc="0F069C4A">
      <w:start w:val="1"/>
      <w:numFmt w:val="lowerRoman"/>
      <w:pStyle w:val="Po"/>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F30D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C80B0A20-6934-47E9-84DC-6D30268117A5"/>
    <w:docVar w:name="LW_COVERPAGE_TYPE" w:val="1"/>
    <w:docVar w:name="LW_CROSSREFERENCE" w:val="{SWD(2020) 92 final}"/>
    <w:docVar w:name="LW_DocType" w:val="NORMAL"/>
    <w:docVar w:name="LW_EMISSION" w:val="28.5.2020"/>
    <w:docVar w:name="LW_EMISSION_ISODATE" w:val="2020-05-28"/>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_x000d__x000d__x000d__x000d__x000d__x000b_on the public sector loan facility under the Just Transition Mechanism_x000d__x000d__x000d__x000d__x000d__x000b_"/>
    <w:docVar w:name="LW_PART_NBR" w:val="&lt;UNUSED&gt;"/>
    <w:docVar w:name="LW_PART_NBR_TOTAL" w:val="&lt;UNUSED&gt;"/>
    <w:docVar w:name="LW_REF.INST.NEW" w:val="COM"/>
    <w:docVar w:name="LW_REF.INST.NEW_ADOPTED" w:val="final"/>
    <w:docVar w:name="LW_REF.INST.NEW_TEXT" w:val="(2020)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pPr>
  </w:style>
  <w:style w:type="character" w:customStyle="1" w:styleId="Marker1">
    <w:name w:val="Marker1"/>
    <w:basedOn w:val="DefaultParagraphFont"/>
    <w:rPr>
      <w:color w:val="008000"/>
      <w:shd w:val="clear" w:color="auto" w:fill="auto"/>
    </w:rPr>
  </w:style>
  <w:style w:type="paragraph" w:customStyle="1" w:styleId="Bullet0">
    <w:name w:val="Bullet 0"/>
    <w:basedOn w:val="Normal"/>
    <w:pPr>
      <w:numPr>
        <w:numId w:val="2"/>
      </w:numPr>
    </w:pPr>
  </w:style>
  <w:style w:type="paragraph" w:customStyle="1" w:styleId="Annexetitre">
    <w:name w:val="Annexe titre"/>
    <w:basedOn w:val="Normal"/>
    <w:next w:val="Normal"/>
    <w:pPr>
      <w:jc w:val="center"/>
    </w:pPr>
    <w:rPr>
      <w:b/>
      <w:u w:val="single"/>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Po">
    <w:name w:val="Po"/>
    <w:basedOn w:val="ListParagraph"/>
    <w:pPr>
      <w:numPr>
        <w:numId w:val="4"/>
      </w:numPr>
      <w:spacing w:before="0" w:after="200" w:line="276" w:lineRule="auto"/>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pPr>
  </w:style>
  <w:style w:type="character" w:customStyle="1" w:styleId="Marker1">
    <w:name w:val="Marker1"/>
    <w:basedOn w:val="DefaultParagraphFont"/>
    <w:rPr>
      <w:color w:val="008000"/>
      <w:shd w:val="clear" w:color="auto" w:fill="auto"/>
    </w:rPr>
  </w:style>
  <w:style w:type="paragraph" w:customStyle="1" w:styleId="Bullet0">
    <w:name w:val="Bullet 0"/>
    <w:basedOn w:val="Normal"/>
    <w:pPr>
      <w:numPr>
        <w:numId w:val="2"/>
      </w:numPr>
    </w:pPr>
  </w:style>
  <w:style w:type="paragraph" w:customStyle="1" w:styleId="Annexetitre">
    <w:name w:val="Annexe titre"/>
    <w:basedOn w:val="Normal"/>
    <w:next w:val="Normal"/>
    <w:pPr>
      <w:jc w:val="center"/>
    </w:pPr>
    <w:rPr>
      <w:b/>
      <w:u w:val="single"/>
    </w:r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before="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customStyle="1" w:styleId="Po">
    <w:name w:val="Po"/>
    <w:basedOn w:val="ListParagraph"/>
    <w:pPr>
      <w:numPr>
        <w:numId w:val="4"/>
      </w:numPr>
      <w:spacing w:before="0" w:after="200" w:line="276" w:lineRule="auto"/>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95FEF8C80940E449C7E6FC1B80BB470" ma:contentTypeVersion="4" ma:contentTypeDescription="Create a new document in this library." ma:contentTypeScope="" ma:versionID="0be8abeb09d6eed108df9ae0bd2adef3">
  <xsd:schema xmlns:xsd="http://www.w3.org/2001/XMLSchema" xmlns:xs="http://www.w3.org/2001/XMLSchema" xmlns:p="http://schemas.microsoft.com/office/2006/metadata/properties" xmlns:ns3="4c86685e-d507-4856-8b8c-f67011314117" targetNamespace="http://schemas.microsoft.com/office/2006/metadata/properties" ma:root="true" ma:fieldsID="d7c2fc0273016d1c87969e18c16706e6" ns3:_="">
    <xsd:import namespace="4c86685e-d507-4856-8b8c-f6701131411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6685e-d507-4856-8b8c-f6701131411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4c86685e-d507-4856-8b8c-f67011314117" xsi:nil="true"/>
    <EC_Collab_DocumentLanguage xmlns="4c86685e-d507-4856-8b8c-f67011314117">EN</EC_Collab_DocumentLanguage>
    <EC_ARES_TRANSFERRED_BY xmlns="4c86685e-d507-4856-8b8c-f67011314117" xsi:nil="true"/>
    <EC_Collab_Status xmlns="4c86685e-d507-4856-8b8c-f67011314117">Not Started</EC_Collab_Status>
    <EC_ARES_NUMBER xmlns="4c86685e-d507-4856-8b8c-f67011314117">
      <Url xsi:nil="true"/>
      <Description xsi:nil="true"/>
    </EC_ARES_NUMBER>
    <EC_ARES_DATE_TRANSFERRED xmlns="4c86685e-d507-4856-8b8c-f67011314117"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F4B6BD-93EB-4F85-A18F-2974747406CA}">
  <ds:schemaRefs>
    <ds:schemaRef ds:uri="http://schemas.microsoft.com/sharepoint/v3/contenttype/forms"/>
  </ds:schemaRefs>
</ds:datastoreItem>
</file>

<file path=customXml/itemProps2.xml><?xml version="1.0" encoding="utf-8"?>
<ds:datastoreItem xmlns:ds="http://schemas.openxmlformats.org/officeDocument/2006/customXml" ds:itemID="{64DF439D-D17E-412D-9F55-6D407B0E2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6685e-d507-4856-8b8c-f67011314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B0A0C-67DA-41E8-9B26-44BA5246A3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86685e-d507-4856-8b8c-f67011314117"/>
    <ds:schemaRef ds:uri="http://www.w3.org/XML/1998/namespace"/>
    <ds:schemaRef ds:uri="http://purl.org/dc/dcmitype/"/>
  </ds:schemaRefs>
</ds:datastoreItem>
</file>

<file path=customXml/itemProps4.xml><?xml version="1.0" encoding="utf-8"?>
<ds:datastoreItem xmlns:ds="http://schemas.openxmlformats.org/officeDocument/2006/customXml" ds:itemID="{A89B813D-95D7-4FCF-99A0-2902AFEC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9683</Characters>
  <Application>Microsoft Office Word</Application>
  <DocSecurity>0</DocSecurity>
  <Lines>193</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(REGIO)</dc:creator>
  <cp:keywords/>
  <dc:description/>
  <cp:lastModifiedBy>DIGIT/C6</cp:lastModifiedBy>
  <cp:revision>17</cp:revision>
  <dcterms:created xsi:type="dcterms:W3CDTF">2020-05-23T08:02:00Z</dcterms:created>
  <dcterms:modified xsi:type="dcterms:W3CDTF">2020-05-27T20:00:00Z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y fmtid="{D5CDD505-2E9C-101B-9397-08002B2CF9AE}" pid="12" name="_LW_INVALIDATED__LW_INVALIDATED__LW_INVALIDATED__LW_INVALIDATED__LW_INVALIDATED_ContentTypeId">
    <vt:lpwstr>0x010100258AA79CEB83498886A3A0868112325000D95FEF8C80940E449C7E6FC1B80BB470</vt:lpwstr>
  </property>
</Properties>
</file>