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2A" w:rsidRDefault="00C81326" w:rsidP="00C8132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B2EE483-4260-4A23-9F21-DB7C164E1656" style="width:451pt;height:443.85pt">
            <v:imagedata r:id="rId11" o:title=""/>
          </v:shape>
        </w:pict>
      </w:r>
    </w:p>
    <w:bookmarkEnd w:id="0"/>
    <w:p w:rsidR="0082322A" w:rsidRDefault="0082322A">
      <w:pPr>
        <w:rPr>
          <w:noProof/>
        </w:rPr>
        <w:sectPr w:rsidR="0082322A" w:rsidSect="00C8132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7" w:bottom="1134" w:left="1417" w:header="709" w:footer="709" w:gutter="0"/>
          <w:pgNumType w:start="0"/>
          <w:cols w:space="720"/>
          <w:docGrid w:linePitch="326"/>
        </w:sectPr>
      </w:pPr>
    </w:p>
    <w:p w:rsidR="0082322A" w:rsidRDefault="00E13152">
      <w:pPr>
        <w:pStyle w:val="Heading1"/>
        <w:spacing w:after="0"/>
      </w:pPr>
      <w:r>
        <w:lastRenderedPageBreak/>
        <w:t>БЮДЖЕТЪТ НА ЕС ОСИГУРЯВА РЕСУРС ЗА ПЛАНА ЗА ВЪЗСТАНОВЯВАНЕТО НА ЕВРОПА</w:t>
      </w:r>
    </w:p>
    <w:p w:rsidR="0082322A" w:rsidRDefault="00E13152">
      <w:pPr>
        <w:pStyle w:val="Heading2"/>
      </w:pPr>
      <w:r>
        <w:t>Амбициозен и новаторски бюджет на ЕС за възстановяването на Европа</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Комисията представи смел и всеобхватен план за възстановяването на Европа</w:t>
      </w:r>
      <w:r>
        <w:rPr>
          <w:rStyle w:val="FootnoteReference"/>
          <w:rFonts w:eastAsia="Arial Unicode MS" w:cs="Arial Unicode MS"/>
          <w:noProof/>
          <w:color w:val="000000"/>
          <w:szCs w:val="24"/>
          <w:u w:color="000000"/>
          <w:bdr w:val="nil"/>
          <w:lang w:eastAsia="fr-BE"/>
        </w:rPr>
        <w:footnoteReference w:id="2"/>
      </w:r>
      <w:r>
        <w:rPr>
          <w:noProof/>
          <w:color w:val="000000"/>
          <w:szCs w:val="24"/>
          <w:u w:color="000000"/>
          <w:bdr w:val="nil"/>
        </w:rPr>
        <w:t xml:space="preserve"> Планът се основава на солидарността и справедливостта, а в основата му са залегнали споделените ценности и принципи на Съюза. В плана се предвижда как да се даде пръв силен тласък н</w:t>
      </w:r>
      <w:r>
        <w:rPr>
          <w:noProof/>
          <w:color w:val="000000"/>
          <w:szCs w:val="24"/>
          <w:u w:color="000000"/>
          <w:bdr w:val="nil"/>
        </w:rPr>
        <w:t>а икономиката на Европа, да се насърчи екологичният и цифровият преход и тя да стане по-справедлива, по-издръжлива и по-устойчива за идните поколения.</w:t>
      </w:r>
    </w:p>
    <w:p w:rsidR="0082322A" w:rsidRDefault="00E13152">
      <w:pPr>
        <w:pBdr>
          <w:top w:val="nil"/>
          <w:left w:val="nil"/>
          <w:bottom w:val="nil"/>
          <w:right w:val="nil"/>
          <w:between w:val="nil"/>
          <w:bar w:val="nil"/>
        </w:pBdr>
        <w:tabs>
          <w:tab w:val="left" w:pos="1843"/>
        </w:tabs>
        <w:spacing w:before="120" w:after="120"/>
        <w:rPr>
          <w:rFonts w:eastAsia="Arial Unicode MS" w:cs="Arial Unicode MS"/>
          <w:noProof/>
          <w:color w:val="000000"/>
          <w:szCs w:val="24"/>
          <w:u w:color="000000"/>
          <w:bdr w:val="nil"/>
        </w:rPr>
      </w:pPr>
      <w:r>
        <w:rPr>
          <w:noProof/>
          <w:color w:val="000000"/>
          <w:szCs w:val="24"/>
          <w:u w:color="000000"/>
          <w:bdr w:val="nil"/>
        </w:rPr>
        <w:t xml:space="preserve">Пандемията от COVID-19 засегна всяко кътче от Съюза и света. Между отделните държавите членки обаче има </w:t>
      </w:r>
      <w:r>
        <w:rPr>
          <w:noProof/>
          <w:color w:val="000000"/>
          <w:szCs w:val="24"/>
          <w:u w:color="000000"/>
          <w:bdr w:val="nil"/>
        </w:rPr>
        <w:t>значителни разлики, що се касае до понесените от тях икономически и социални последици от пандемията</w:t>
      </w:r>
      <w:r>
        <w:rPr>
          <w:noProof/>
        </w:rPr>
        <w:t>, както и по отношение на способността им да поемат сътресения и да реагират спрямо тях. Това поражда заплаха да се създадат нанасящи щети различия между ик</w:t>
      </w:r>
      <w:r>
        <w:rPr>
          <w:noProof/>
        </w:rPr>
        <w:t xml:space="preserve">ономиките на държавите членки и поставя под силен натиск единния пазар. </w:t>
      </w:r>
      <w:r>
        <w:rPr>
          <w:noProof/>
          <w:color w:val="000000"/>
          <w:szCs w:val="24"/>
          <w:u w:color="000000"/>
          <w:bdr w:val="nil"/>
        </w:rPr>
        <w:t xml:space="preserve">Европа се нуждае от координиран отговор, който да бъде бърз, амбициозен и насочен там, където нуждата от него е най-силна. </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Изпълнението на плана за възстановяване ще изисква огромни п</w:t>
      </w:r>
      <w:r>
        <w:rPr>
          <w:noProof/>
          <w:color w:val="000000"/>
          <w:szCs w:val="24"/>
          <w:u w:color="000000"/>
          <w:bdr w:val="nil"/>
        </w:rPr>
        <w:t xml:space="preserve">ублични и частни инвестиции. </w:t>
      </w:r>
      <w:r>
        <w:rPr>
          <w:noProof/>
        </w:rPr>
        <w:t xml:space="preserve">Необходими са решителни действия за посрещане на тези потребности, необходимо е да се запълни цялостният недостиг в публичните и частните инвестиции, възлизащ общо на най-малко 1,5 трилиона евро, да </w:t>
      </w:r>
      <w:r>
        <w:rPr>
          <w:noProof/>
          <w:color w:val="000000"/>
          <w:szCs w:val="24"/>
          <w:u w:color="000000"/>
          <w:bdr w:val="nil"/>
        </w:rPr>
        <w:t>се поправят преките икономич</w:t>
      </w:r>
      <w:r>
        <w:rPr>
          <w:noProof/>
          <w:color w:val="000000"/>
          <w:szCs w:val="24"/>
          <w:u w:color="000000"/>
          <w:bdr w:val="nil"/>
        </w:rPr>
        <w:t>ески и социални щети, причинени от пандемията, и да се върне Съюзът твърдо на пътя на устойчивото възстановяване.</w:t>
      </w:r>
      <w:r>
        <w:rPr>
          <w:rStyle w:val="FootnoteReference"/>
          <w:rFonts w:eastAsia="Arial Unicode MS" w:cs="Arial Unicode MS"/>
          <w:noProof/>
          <w:color w:val="000000"/>
          <w:szCs w:val="24"/>
          <w:u w:color="000000"/>
          <w:bdr w:val="nil"/>
          <w:lang w:eastAsia="fr-BE"/>
        </w:rPr>
        <w:footnoteReference w:id="3"/>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rPr>
        <w:t xml:space="preserve">Комисията </w:t>
      </w:r>
      <w:r>
        <w:rPr>
          <w:noProof/>
          <w:color w:val="000000"/>
          <w:szCs w:val="24"/>
          <w:u w:color="000000"/>
          <w:bdr w:val="nil"/>
        </w:rPr>
        <w:t xml:space="preserve">предлага </w:t>
      </w:r>
      <w:r>
        <w:rPr>
          <w:b/>
          <w:noProof/>
          <w:color w:val="000000"/>
          <w:szCs w:val="24"/>
          <w:u w:color="000000"/>
          <w:bdr w:val="nil"/>
        </w:rPr>
        <w:t xml:space="preserve">да се задейства целият потенциал на бюджета на ЕС за мобилизиране на инвестиции и да се концентрира в началото на периода </w:t>
      </w:r>
      <w:r>
        <w:rPr>
          <w:b/>
          <w:noProof/>
          <w:color w:val="000000"/>
          <w:szCs w:val="24"/>
          <w:u w:color="000000"/>
          <w:bdr w:val="nil"/>
        </w:rPr>
        <w:t>финансовата подкрепа за първите години на възстановяването, които имат ключово значение.</w:t>
      </w:r>
      <w:r>
        <w:rPr>
          <w:noProof/>
          <w:color w:val="000000"/>
          <w:szCs w:val="24"/>
          <w:u w:color="000000"/>
          <w:bdr w:val="nil"/>
        </w:rPr>
        <w:t>. Предложенията на Комисията се основават на:</w:t>
      </w:r>
    </w:p>
    <w:p w:rsidR="0082322A" w:rsidRDefault="00E13152">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rFonts w:eastAsia="Arial Unicode MS"/>
          <w:noProof/>
          <w:color w:val="000000"/>
          <w:szCs w:val="24"/>
          <w:u w:color="000000"/>
          <w:bdr w:val="nil"/>
        </w:rPr>
      </w:pPr>
      <w:r>
        <w:rPr>
          <w:rFonts w:ascii="Times New Roman" w:hAnsi="Times New Roman"/>
          <w:noProof/>
          <w:color w:val="000000"/>
          <w:sz w:val="24"/>
          <w:szCs w:val="24"/>
          <w:u w:color="000000"/>
          <w:bdr w:val="nil"/>
        </w:rPr>
        <w:t xml:space="preserve">спешния </w:t>
      </w:r>
      <w:r>
        <w:rPr>
          <w:rFonts w:ascii="Times New Roman" w:hAnsi="Times New Roman"/>
          <w:b/>
          <w:noProof/>
          <w:color w:val="000000"/>
          <w:sz w:val="24"/>
          <w:szCs w:val="24"/>
          <w:u w:color="000000"/>
          <w:bdr w:val="nil"/>
        </w:rPr>
        <w:t>Европейски</w:t>
      </w:r>
      <w:r>
        <w:rPr>
          <w:rFonts w:ascii="Times New Roman" w:hAnsi="Times New Roman"/>
          <w:noProof/>
          <w:color w:val="000000"/>
          <w:sz w:val="24"/>
          <w:szCs w:val="24"/>
          <w:u w:color="000000"/>
          <w:bdr w:val="nil"/>
        </w:rPr>
        <w:t xml:space="preserve"> </w:t>
      </w:r>
      <w:r>
        <w:rPr>
          <w:rFonts w:ascii="Times New Roman" w:hAnsi="Times New Roman"/>
          <w:b/>
          <w:noProof/>
          <w:color w:val="000000"/>
          <w:sz w:val="24"/>
          <w:szCs w:val="24"/>
          <w:u w:color="000000"/>
          <w:bdr w:val="nil"/>
        </w:rPr>
        <w:t>инструмент за възстановяване (Next Generation EU),</w:t>
      </w:r>
      <w:r>
        <w:rPr>
          <w:rFonts w:ascii="Times New Roman" w:hAnsi="Times New Roman"/>
          <w:noProof/>
          <w:color w:val="000000"/>
          <w:sz w:val="24"/>
          <w:szCs w:val="24"/>
          <w:u w:color="000000"/>
          <w:bdr w:val="nil"/>
        </w:rPr>
        <w:t xml:space="preserve"> който възлиза на </w:t>
      </w:r>
      <w:r>
        <w:rPr>
          <w:rFonts w:ascii="Times New Roman" w:hAnsi="Times New Roman"/>
          <w:b/>
          <w:noProof/>
          <w:color w:val="000000"/>
          <w:sz w:val="24"/>
          <w:szCs w:val="24"/>
          <w:u w:color="000000"/>
          <w:bdr w:val="nil"/>
        </w:rPr>
        <w:t>750</w:t>
      </w:r>
      <w:r>
        <w:rPr>
          <w:rFonts w:ascii="Times New Roman" w:hAnsi="Times New Roman"/>
          <w:noProof/>
          <w:color w:val="000000"/>
          <w:sz w:val="24"/>
          <w:szCs w:val="24"/>
          <w:u w:color="000000"/>
          <w:bdr w:val="nil"/>
        </w:rPr>
        <w:t xml:space="preserve"> милиарда EUR</w:t>
      </w:r>
      <w:r>
        <w:rPr>
          <w:rStyle w:val="FootnoteReference"/>
          <w:rFonts w:ascii="Times New Roman" w:eastAsia="Arial Unicode MS" w:hAnsi="Times New Roman" w:cs="Times New Roman"/>
          <w:noProof/>
          <w:color w:val="000000"/>
          <w:sz w:val="24"/>
          <w:szCs w:val="24"/>
          <w:u w:color="000000"/>
          <w:bdr w:val="nil"/>
          <w:lang w:eastAsia="fr-BE"/>
        </w:rPr>
        <w:footnoteReference w:id="4"/>
      </w:r>
      <w:r>
        <w:rPr>
          <w:rFonts w:ascii="Times New Roman" w:hAnsi="Times New Roman"/>
          <w:noProof/>
          <w:color w:val="000000"/>
          <w:sz w:val="24"/>
          <w:szCs w:val="24"/>
          <w:u w:color="000000"/>
          <w:bdr w:val="nil"/>
        </w:rPr>
        <w:t xml:space="preserve">. Този инструмент </w:t>
      </w:r>
      <w:r>
        <w:rPr>
          <w:rFonts w:ascii="Times New Roman" w:hAnsi="Times New Roman"/>
          <w:noProof/>
          <w:color w:val="000000"/>
          <w:sz w:val="24"/>
          <w:szCs w:val="24"/>
          <w:u w:color="000000"/>
          <w:bdr w:val="nil"/>
        </w:rPr>
        <w:t>ще стимулира временно бюджета на ЕС с помощта на финансиране, привлечено от финансовите пазари. Привлечените средства ще бъдат предоставяни чрез програмите на ЕС, за да се подкрепят неотложните мерки, необходими за защита на препитанието на хората, за изпр</w:t>
      </w:r>
      <w:r>
        <w:rPr>
          <w:rFonts w:ascii="Times New Roman" w:hAnsi="Times New Roman"/>
          <w:noProof/>
          <w:color w:val="000000"/>
          <w:sz w:val="24"/>
          <w:szCs w:val="24"/>
          <w:u w:color="000000"/>
          <w:bdr w:val="nil"/>
        </w:rPr>
        <w:t>авянето на икономиката отново на крака и за стимулирането на устойчивия растеж.</w:t>
      </w:r>
    </w:p>
    <w:p w:rsidR="0082322A" w:rsidRDefault="00E13152">
      <w:pPr>
        <w:pStyle w:val="ListParagraph"/>
        <w:numPr>
          <w:ilvl w:val="0"/>
          <w:numId w:val="30"/>
        </w:numPr>
        <w:pBdr>
          <w:top w:val="nil"/>
          <w:left w:val="nil"/>
          <w:bottom w:val="nil"/>
          <w:right w:val="nil"/>
          <w:between w:val="nil"/>
          <w:bar w:val="nil"/>
        </w:pBdr>
        <w:spacing w:before="120" w:after="120" w:line="240" w:lineRule="auto"/>
        <w:ind w:left="357" w:hanging="357"/>
        <w:contextualSpacing w:val="0"/>
        <w:rPr>
          <w:b/>
          <w:noProof/>
          <w:szCs w:val="24"/>
        </w:rPr>
      </w:pPr>
      <w:r>
        <w:rPr>
          <w:rFonts w:ascii="Times New Roman" w:hAnsi="Times New Roman"/>
          <w:noProof/>
          <w:color w:val="000000"/>
          <w:sz w:val="24"/>
          <w:szCs w:val="24"/>
          <w:u w:color="000000"/>
          <w:bdr w:val="nil"/>
        </w:rPr>
        <w:t xml:space="preserve">подсилена </w:t>
      </w:r>
      <w:r>
        <w:rPr>
          <w:rFonts w:ascii="Times New Roman" w:hAnsi="Times New Roman"/>
          <w:b/>
          <w:noProof/>
          <w:color w:val="000000"/>
          <w:sz w:val="24"/>
          <w:szCs w:val="24"/>
          <w:u w:color="000000"/>
          <w:bdr w:val="nil"/>
        </w:rPr>
        <w:t>многогодишна финансова рамка за периода 2021—2027 г.</w:t>
      </w:r>
      <w:r>
        <w:rPr>
          <w:rFonts w:ascii="Times New Roman" w:hAnsi="Times New Roman"/>
          <w:noProof/>
          <w:color w:val="000000"/>
          <w:sz w:val="24"/>
          <w:szCs w:val="24"/>
          <w:u w:color="000000"/>
          <w:bdr w:val="nil"/>
        </w:rPr>
        <w:t>. Комисията предлага да се създадат нови инструменти и да се подсилят ключовите програми, като се използва инструм</w:t>
      </w:r>
      <w:r>
        <w:rPr>
          <w:rFonts w:ascii="Times New Roman" w:hAnsi="Times New Roman"/>
          <w:noProof/>
          <w:color w:val="000000"/>
          <w:sz w:val="24"/>
          <w:szCs w:val="24"/>
          <w:u w:color="000000"/>
          <w:bdr w:val="nil"/>
        </w:rPr>
        <w:t>ентът Next Generation EU, за да се насочват инвестициите там, където има най-голяма нужда от тях, да се заздрави единният пазар, да се даде тласък на сътрудничеството в области като здравеопазването и управлението на кризи, и да се предостави на Съюза дълг</w:t>
      </w:r>
      <w:r>
        <w:rPr>
          <w:rFonts w:ascii="Times New Roman" w:hAnsi="Times New Roman"/>
          <w:noProof/>
          <w:color w:val="000000"/>
          <w:sz w:val="24"/>
          <w:szCs w:val="24"/>
          <w:u w:color="000000"/>
          <w:bdr w:val="nil"/>
        </w:rPr>
        <w:t xml:space="preserve">осрочен бюджет, с който да се стимулира </w:t>
      </w:r>
      <w:r>
        <w:rPr>
          <w:rFonts w:ascii="Times New Roman" w:hAnsi="Times New Roman"/>
          <w:noProof/>
          <w:color w:val="000000"/>
          <w:sz w:val="24"/>
          <w:szCs w:val="24"/>
          <w:u w:color="000000"/>
          <w:bdr w:val="nil"/>
        </w:rPr>
        <w:lastRenderedPageBreak/>
        <w:t xml:space="preserve">осъществяването на екологичния и цифровия преход и да се изгради по-справедлива и по-жизнеспособна икономика. </w:t>
      </w:r>
    </w:p>
    <w:p w:rsidR="0082322A" w:rsidRDefault="00E13152">
      <w:pPr>
        <w:spacing w:before="100" w:beforeAutospacing="1" w:after="100" w:afterAutospacing="1"/>
        <w:rPr>
          <w:b/>
          <w:noProof/>
        </w:rPr>
      </w:pPr>
      <w:r>
        <w:rPr>
          <w:b/>
          <w:noProof/>
        </w:rPr>
        <w:t xml:space="preserve">Заедно с подкрепените от Европейския съвет на 23 април три предпазни мрежи за работниците, предприятията </w:t>
      </w:r>
      <w:r>
        <w:rPr>
          <w:b/>
          <w:noProof/>
        </w:rPr>
        <w:t>и държавите, чието финансово изражение възлиза на 540 млрд. евро, тези извънредни мерки, предприети на равнището на ЕС, ще надминат 1290 млрд. евро целева и авансова подкрепа за възстановяването на Европа.</w:t>
      </w:r>
      <w:r>
        <w:rPr>
          <w:rStyle w:val="FootnoteReference"/>
          <w:noProof/>
          <w:lang w:val="en-IE"/>
        </w:rPr>
        <w:footnoteReference w:id="5"/>
      </w:r>
      <w:r>
        <w:rPr>
          <w:noProof/>
        </w:rPr>
        <w:t>. Като се прилагат консервативни оценки за лостови</w:t>
      </w:r>
      <w:r>
        <w:rPr>
          <w:noProof/>
        </w:rPr>
        <w:t>я ефект на тези суми, общите инвестиции, които може да се генерират с помощта на този пакет от мерки, възлизат на 3,1 трилиона евро.</w:t>
      </w:r>
    </w:p>
    <w:p w:rsidR="0082322A" w:rsidRDefault="00E13152">
      <w:pPr>
        <w:spacing w:before="100" w:beforeAutospacing="1" w:after="100" w:afterAutospacing="1"/>
        <w:rPr>
          <w:noProof/>
        </w:rPr>
      </w:pPr>
      <w:r>
        <w:rPr>
          <w:noProof/>
        </w:rPr>
        <w:t xml:space="preserve">Посочените мерки решително отговарят на призивите от страна на Европейския парламент за </w:t>
      </w:r>
      <w:r>
        <w:rPr>
          <w:i/>
          <w:noProof/>
        </w:rPr>
        <w:t xml:space="preserve">„мащабен пакет от инвестиции за </w:t>
      </w:r>
      <w:r>
        <w:rPr>
          <w:i/>
          <w:noProof/>
        </w:rPr>
        <w:t>възстановяване и реконструкция, за да подкрепя европейската икономика след кризата […] който да бъде част от новата многогодишна финансова рамка“</w:t>
      </w:r>
      <w:r>
        <w:rPr>
          <w:rStyle w:val="FootnoteReference"/>
          <w:noProof/>
        </w:rPr>
        <w:footnoteReference w:id="6"/>
      </w:r>
      <w:r>
        <w:rPr>
          <w:noProof/>
        </w:rPr>
        <w:t xml:space="preserve"> и на тези на държавните ръководители за създаването на фонд, който да бъде </w:t>
      </w:r>
      <w:r>
        <w:rPr>
          <w:i/>
          <w:noProof/>
        </w:rPr>
        <w:t>„достатъчен по своя мащаб, [да] бъ</w:t>
      </w:r>
      <w:r>
        <w:rPr>
          <w:i/>
          <w:noProof/>
        </w:rPr>
        <w:t>де насочен към най-засегнатите сектори и географски части на Европа и [да] е предназначен за справяне с тази безпрецедентна криза</w:t>
      </w:r>
      <w:r>
        <w:rPr>
          <w:noProof/>
        </w:rPr>
        <w:t>“</w:t>
      </w:r>
      <w:r>
        <w:rPr>
          <w:rStyle w:val="FootnoteReference"/>
          <w:noProof/>
        </w:rPr>
        <w:footnoteReference w:id="7"/>
      </w:r>
      <w:r>
        <w:rPr>
          <w:noProof/>
        </w:rPr>
        <w:t xml:space="preserve">. </w:t>
      </w:r>
    </w:p>
    <w:p w:rsidR="0082322A" w:rsidRDefault="00E13152">
      <w:pPr>
        <w:spacing w:before="100" w:beforeAutospacing="1" w:after="100" w:afterAutospacing="1"/>
        <w:rPr>
          <w:rFonts w:eastAsia="Arial Unicode MS"/>
          <w:noProof/>
          <w:szCs w:val="24"/>
          <w:u w:color="000000"/>
          <w:bdr w:val="nil"/>
        </w:rPr>
      </w:pPr>
      <w:r>
        <w:rPr>
          <w:noProof/>
        </w:rPr>
        <w:t>Това споделено разбиране предоставя основата за бързо и всеобхватно споразумение между институциите. Комисията призовава за много тясно сътрудничество между Европейския парламент и Съвета по всички точки от плана за възстановяване и ги приканва да преразгл</w:t>
      </w:r>
      <w:r>
        <w:rPr>
          <w:noProof/>
        </w:rPr>
        <w:t xml:space="preserve">еждат всяка година разходите, финансирани с външни целеви приходи в рамките на инструмента Next Generation EU. Принципът на това преразглеждане би могъл да бъде установен с междуинституционална декларация. </w:t>
      </w:r>
      <w:r>
        <w:rPr>
          <w:noProof/>
          <w:szCs w:val="24"/>
          <w:bdr w:val="none" w:sz="0" w:space="0" w:color="auto" w:frame="1"/>
        </w:rPr>
        <w:t xml:space="preserve">Бързото постигане на споразумение относно </w:t>
      </w:r>
      <w:r>
        <w:rPr>
          <w:noProof/>
          <w:szCs w:val="24"/>
          <w:u w:color="000000"/>
          <w:bdr w:val="nil"/>
        </w:rPr>
        <w:t xml:space="preserve"> Next Ge</w:t>
      </w:r>
      <w:r>
        <w:rPr>
          <w:noProof/>
          <w:szCs w:val="24"/>
          <w:u w:color="000000"/>
          <w:bdr w:val="nil"/>
        </w:rPr>
        <w:t xml:space="preserve">neration EU и амбициозен дългосрочен бюджет ще бъде силно послание за европейска солидарност и решителност в момент, в който залогът едва ли би могъл да бъде по-висок. </w:t>
      </w:r>
    </w:p>
    <w:p w:rsidR="0082322A" w:rsidRDefault="00E13152">
      <w:pPr>
        <w:spacing w:before="100" w:beforeAutospacing="1" w:after="100" w:afterAutospacing="1"/>
        <w:rPr>
          <w:noProof/>
        </w:rPr>
      </w:pPr>
      <w:r>
        <w:rPr>
          <w:noProof/>
          <w:lang w:val="fr-BE" w:eastAsia="fr-BE"/>
        </w:rPr>
        <w:lastRenderedPageBreak/>
        <w:drawing>
          <wp:inline distT="0" distB="0" distL="0" distR="0">
            <wp:extent cx="4298867" cy="3006837"/>
            <wp:effectExtent l="0" t="0" r="698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32099" cy="3030081"/>
                    </a:xfrm>
                    <a:prstGeom prst="rect">
                      <a:avLst/>
                    </a:prstGeom>
                  </pic:spPr>
                </pic:pic>
              </a:graphicData>
            </a:graphic>
          </wp:inline>
        </w:drawing>
      </w:r>
    </w:p>
    <w:p w:rsidR="0082322A" w:rsidRDefault="0082322A">
      <w:pPr>
        <w:pBdr>
          <w:top w:val="nil"/>
          <w:left w:val="nil"/>
          <w:bottom w:val="nil"/>
          <w:right w:val="nil"/>
          <w:between w:val="nil"/>
          <w:bar w:val="nil"/>
        </w:pBdr>
        <w:spacing w:before="120" w:after="120"/>
        <w:jc w:val="left"/>
        <w:rPr>
          <w:rFonts w:eastAsia="Arial Unicode MS"/>
          <w:noProof/>
          <w:color w:val="000000"/>
          <w:szCs w:val="24"/>
          <w:u w:color="000000"/>
          <w:bdr w:val="nil"/>
          <w:lang w:eastAsia="fr-BE"/>
        </w:rPr>
      </w:pP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Дългосрочният бюджет на ЕС, чието въздействие е допълнително усилено от Next Generat</w:t>
      </w:r>
      <w:r>
        <w:rPr>
          <w:noProof/>
          <w:color w:val="000000"/>
          <w:szCs w:val="24"/>
          <w:u w:color="000000"/>
          <w:bdr w:val="nil"/>
        </w:rPr>
        <w:t>ion EU, има уникалната възможност да бъде движещата сила на европейското възстановяване. Бюджетът на ЕС осигурява прозрачна и надеждна рамка за бъдещата мащабна инвестиционна програма, която се основава на общностния метод на управление и вземане на решени</w:t>
      </w:r>
      <w:r>
        <w:rPr>
          <w:noProof/>
          <w:color w:val="000000"/>
          <w:szCs w:val="24"/>
          <w:u w:color="000000"/>
          <w:bdr w:val="nil"/>
        </w:rPr>
        <w:t>я. Бюджетът на ЕС е доказал се двигател на инвестициите, сближаването и солидарността, който укрепва единния европейски пазар.</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През последните седмици Комисията използва целия останал ресурс на мерките за гъвкавост в настоящия бюджет на ЕС, за да насочи вс</w:t>
      </w:r>
      <w:r>
        <w:rPr>
          <w:noProof/>
          <w:color w:val="000000"/>
          <w:szCs w:val="24"/>
          <w:u w:color="000000"/>
          <w:bdr w:val="nil"/>
        </w:rPr>
        <w:t>яко налично евро към спасяване на живота на гражданите и опазване на поминъка им. Тези мерки доказаха силата на бюджета на ЕС да предоставя навременна и съществена подкрепа на държавите членки в криза. Мерките също така изчерпаха целия останал ресурс за гъ</w:t>
      </w:r>
      <w:r>
        <w:rPr>
          <w:noProof/>
          <w:color w:val="000000"/>
          <w:szCs w:val="24"/>
          <w:u w:color="000000"/>
          <w:bdr w:val="nil"/>
        </w:rPr>
        <w:t>вкавост в настоящия бюджет на ЕС, и подчертаха спешната необходимост от въвеждане на нови мерки за изпълнение на следващите решаващи етапи на възстановяването.</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Основните елементи на предложенията на Комисията за модерен и гъвкав дългосрочен бюджет, здраво </w:t>
      </w:r>
      <w:r>
        <w:rPr>
          <w:noProof/>
          <w:color w:val="000000"/>
          <w:szCs w:val="24"/>
          <w:u w:color="000000"/>
          <w:bdr w:val="nil"/>
        </w:rPr>
        <w:t xml:space="preserve">свързан с приоритетите на Съюза, остават в сила и днес. Сега Комисията предлага тези предложения да бъдат адаптирани и засилени с цел да се даде енергия на възстановяването. Въз основа на постигнатия значителен напредък в Европейския парламент и Съвета ще </w:t>
      </w:r>
      <w:r>
        <w:rPr>
          <w:noProof/>
          <w:color w:val="000000"/>
          <w:szCs w:val="24"/>
          <w:u w:color="000000"/>
          <w:bdr w:val="nil"/>
        </w:rPr>
        <w:t>бъдат създадени възможно най-добрите условия за своевременно постигане на споразумение.</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color w:val="000000"/>
          <w:szCs w:val="24"/>
          <w:u w:color="000000"/>
          <w:bdr w:val="nil"/>
        </w:rPr>
        <w:t xml:space="preserve">Преходът </w:t>
      </w:r>
      <w:r>
        <w:rPr>
          <w:b/>
          <w:noProof/>
          <w:color w:val="000000"/>
          <w:szCs w:val="24"/>
          <w:u w:color="000000"/>
          <w:bdr w:val="nil"/>
        </w:rPr>
        <w:t>едновременно към зелена, но и цифрова Европа</w:t>
      </w:r>
      <w:r>
        <w:rPr>
          <w:noProof/>
          <w:color w:val="000000"/>
          <w:szCs w:val="24"/>
          <w:u w:color="000000"/>
          <w:bdr w:val="nil"/>
        </w:rPr>
        <w:t xml:space="preserve"> продължава да бъде предизвикателството, което определя настоящото поколение. Това е отразено в предложенията на Ко</w:t>
      </w:r>
      <w:r>
        <w:rPr>
          <w:noProof/>
          <w:color w:val="000000"/>
          <w:szCs w:val="24"/>
          <w:u w:color="000000"/>
          <w:bdr w:val="nil"/>
        </w:rPr>
        <w:t xml:space="preserve">мисията. Инвестициите в мащабно реновиране на сгради, в енергия от възобновяеми източници, чисти водородни решения, чист транспорт, устойчиво производство на храни и интелигентна кръгова икономика имат огромен потенциал да доведат до растеж на икономиката </w:t>
      </w:r>
      <w:r>
        <w:rPr>
          <w:noProof/>
          <w:color w:val="000000"/>
          <w:szCs w:val="24"/>
          <w:u w:color="000000"/>
          <w:bdr w:val="nil"/>
        </w:rPr>
        <w:t>на Европа. Подкрепата следва да бъде съгласувана с целите на Съюза по отношение на околната среда. Инвестициите в цифрова инфраструктура и цифрови умения ще помогнат да се стимулират конкурентоспособността и технологичният суверенитет. Инвестициите в устой</w:t>
      </w:r>
      <w:r>
        <w:rPr>
          <w:noProof/>
          <w:color w:val="000000"/>
          <w:szCs w:val="24"/>
          <w:u w:color="000000"/>
          <w:bdr w:val="nil"/>
        </w:rPr>
        <w:t xml:space="preserve">чивост към бъдещи здравни предизвикателства и стратегическа автономност ще направят Съюза по-добре подготвен за бъдещи кризи.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 xml:space="preserve">Инструментът </w:t>
      </w:r>
      <w:r>
        <w:rPr>
          <w:b/>
          <w:noProof/>
          <w:color w:val="000000"/>
          <w:szCs w:val="24"/>
          <w:u w:color="000000"/>
          <w:bdr w:val="nil"/>
        </w:rPr>
        <w:t>Next Generation EU</w:t>
      </w:r>
      <w:r>
        <w:rPr>
          <w:noProof/>
          <w:color w:val="000000"/>
          <w:szCs w:val="24"/>
          <w:u w:color="000000"/>
          <w:bdr w:val="nil"/>
        </w:rPr>
        <w:t xml:space="preserve"> ще даде на бюджета на ЕС допълнителните ресурси, които са му необходими, за да даде решителен отг</w:t>
      </w:r>
      <w:r>
        <w:rPr>
          <w:noProof/>
          <w:color w:val="000000"/>
          <w:szCs w:val="24"/>
          <w:u w:color="000000"/>
          <w:bdr w:val="nil"/>
        </w:rPr>
        <w:t>овор на най-неотложните предизвикателства. Next Generation EU ще бъде еднократен инструмент за извънредни обстоятелства, създаден за ограничен период, и ще се използва единствено за мерки за реакция спрямо кризи и възстановяване след тях. Средствата ще бъд</w:t>
      </w:r>
      <w:r>
        <w:rPr>
          <w:noProof/>
          <w:color w:val="000000"/>
          <w:szCs w:val="24"/>
          <w:u w:color="000000"/>
          <w:bdr w:val="nil"/>
        </w:rPr>
        <w:t xml:space="preserve">ат предоставяни чрез бюджета на ЕС на държавите членки, за да се подпомагат приоритетите в областта на инвестициите и реформите, и ще бъдат използвани за подсилването на ключови финансови програми </w:t>
      </w:r>
      <w:r>
        <w:rPr>
          <w:noProof/>
        </w:rPr>
        <w:t xml:space="preserve"> до 31 декември 2024 г.</w:t>
      </w:r>
      <w:r>
        <w:rPr>
          <w:noProof/>
          <w:color w:val="000000"/>
          <w:szCs w:val="24"/>
          <w:u w:color="000000"/>
          <w:bdr w:val="nil"/>
        </w:rPr>
        <w:t>. Набирането на средства от финансов</w:t>
      </w:r>
      <w:r>
        <w:rPr>
          <w:noProof/>
          <w:color w:val="000000"/>
          <w:szCs w:val="24"/>
          <w:u w:color="000000"/>
          <w:bdr w:val="nil"/>
        </w:rPr>
        <w:t xml:space="preserve">ите пазари ще спомогне за разпределяне на финансовите разходи във времето, така че да не се налага държавите членки да правят допълнителни вноски в бюджета на ЕС за периода 2021—2027 г. </w:t>
      </w:r>
      <w:r>
        <w:rPr>
          <w:noProof/>
        </w:rPr>
        <w:t>Комисията ще предложи и нови собствени ресурси, които биха помогнали з</w:t>
      </w:r>
      <w:r>
        <w:rPr>
          <w:noProof/>
        </w:rPr>
        <w:t>а възстановяването на средствата, набрани на финансовите пазари, в рамките на инструмента Next Generation EU.</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Бързото стартиране на Next Generation EU ще бъде от жизненоважно значение тенденцията към икономическа криза да бъде преобърната. Освен това, за д</w:t>
      </w:r>
      <w:r>
        <w:rPr>
          <w:noProof/>
          <w:color w:val="000000"/>
          <w:szCs w:val="24"/>
          <w:u w:color="000000"/>
          <w:bdr w:val="nil"/>
        </w:rPr>
        <w:t>а осигури достъп до средствата възможно най-бързо с цел да се посрещнат най-неотложните нужди, Комисията предлага да се промени настоящата финансова рамка за 2014—2020 г., за да се предоставят допълнителни средства в размер на 11,5 млрд. евро още през 2020</w:t>
      </w:r>
      <w:r>
        <w:rPr>
          <w:noProof/>
          <w:color w:val="000000"/>
          <w:szCs w:val="24"/>
          <w:u w:color="000000"/>
          <w:bdr w:val="nil"/>
        </w:rPr>
        <w:t xml:space="preserve"> г. Допълнителното финансиране ще бъде предоставено на REACT-EU, инструмента за подкрепа на платежоспособността, Европейския фонд за устойчиво развитие, като се отчита спешността на тези потребности.</w:t>
      </w:r>
    </w:p>
    <w:p w:rsidR="0082322A" w:rsidRDefault="00E13152">
      <w:pPr>
        <w:spacing w:before="120" w:after="120"/>
        <w:rPr>
          <w:rFonts w:eastAsia="Arial Unicode MS" w:cs="Arial Unicode MS"/>
          <w:noProof/>
          <w:color w:val="000000"/>
          <w:szCs w:val="24"/>
          <w:u w:color="000000"/>
          <w:bdr w:val="nil"/>
        </w:rPr>
      </w:pPr>
      <w:r>
        <w:rPr>
          <w:noProof/>
          <w:lang w:val="fr-BE" w:eastAsia="fr-BE"/>
        </w:rPr>
        <w:drawing>
          <wp:inline distT="0" distB="0" distL="0" distR="0">
            <wp:extent cx="5759450" cy="32772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3277235"/>
                    </a:xfrm>
                    <a:prstGeom prst="rect">
                      <a:avLst/>
                    </a:prstGeom>
                  </pic:spPr>
                </pic:pic>
              </a:graphicData>
            </a:graphic>
          </wp:inline>
        </w:drawing>
      </w:r>
    </w:p>
    <w:p w:rsidR="0082322A" w:rsidRDefault="00E13152">
      <w:pPr>
        <w:pStyle w:val="Heading2"/>
      </w:pPr>
      <w:r>
        <w:t>Как ще се използва Next Generation EU?</w:t>
      </w:r>
    </w:p>
    <w:p w:rsidR="0082322A" w:rsidRDefault="00E13152">
      <w:pPr>
        <w:keepLines/>
        <w:spacing w:before="120" w:after="120"/>
        <w:rPr>
          <w:rFonts w:eastAsia="Arial Unicode MS" w:cs="Arial Unicode MS"/>
          <w:noProof/>
          <w:color w:val="000000"/>
          <w:szCs w:val="24"/>
          <w:u w:color="000000"/>
          <w:bdr w:val="nil"/>
        </w:rPr>
      </w:pPr>
      <w:r>
        <w:rPr>
          <w:noProof/>
          <w:color w:val="000000"/>
          <w:szCs w:val="24"/>
          <w:u w:color="000000"/>
          <w:bdr w:val="nil"/>
        </w:rPr>
        <w:t xml:space="preserve">Всяка програма </w:t>
      </w:r>
      <w:r>
        <w:rPr>
          <w:noProof/>
          <w:color w:val="000000"/>
          <w:szCs w:val="24"/>
          <w:u w:color="000000"/>
          <w:bdr w:val="nil"/>
        </w:rPr>
        <w:t xml:space="preserve">и всяко евро в този пакет ще се използват за удовлетворяване на най-важните потребности на възстановяването, определени в оценката на нуждите, изготвена от Комисията. Предложенията са съсредоточени върху това къде бюджетът на ЕС може да постигне най-голям </w:t>
      </w:r>
      <w:r>
        <w:rPr>
          <w:noProof/>
          <w:color w:val="000000"/>
          <w:szCs w:val="24"/>
          <w:u w:color="000000"/>
          <w:bdr w:val="nil"/>
        </w:rPr>
        <w:t xml:space="preserve">резултат, като допълва и засилва основната дейност, която се извършва в държавите членки.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Пакетът се основава на три стълба: инструменти за подкрепа на усилията на държавите членки да се възстановят, да поправят щетите и да излязат по-силни от кризата; мерки за насърчаване на частните инвестиции и подкрепа за дружествата в затруднено положение;</w:t>
      </w:r>
      <w:r>
        <w:rPr>
          <w:noProof/>
          <w:color w:val="000000"/>
          <w:szCs w:val="24"/>
          <w:u w:color="000000"/>
          <w:bdr w:val="nil"/>
        </w:rPr>
        <w:t xml:space="preserve"> както и подкрепа за ключовите програми на ЕС, за да се извлекат поуки от кризата и единният пазар да стане по-силен и устойчив. </w:t>
      </w:r>
    </w:p>
    <w:p w:rsidR="0082322A" w:rsidRDefault="00E13152">
      <w:pPr>
        <w:pStyle w:val="ListParagraph"/>
        <w:keepNext/>
        <w:numPr>
          <w:ilvl w:val="0"/>
          <w:numId w:val="40"/>
        </w:numPr>
        <w:spacing w:before="120" w:after="120"/>
        <w:ind w:left="357" w:hanging="357"/>
        <w:rPr>
          <w:rFonts w:ascii="Times New Roman Bold" w:eastAsia="Arial Unicode MS" w:hAnsi="Times New Roman Bold" w:cs="Times New Roman"/>
          <w:b/>
          <w:noProof/>
          <w:color w:val="000000"/>
          <w:sz w:val="24"/>
          <w:szCs w:val="24"/>
          <w:u w:val="single"/>
          <w:bdr w:val="nil"/>
        </w:rPr>
      </w:pPr>
      <w:r>
        <w:rPr>
          <w:rFonts w:ascii="Times New Roman Bold" w:hAnsi="Times New Roman Bold"/>
          <w:b/>
          <w:noProof/>
          <w:color w:val="000000"/>
          <w:sz w:val="24"/>
          <w:szCs w:val="24"/>
          <w:u w:val="single"/>
          <w:bdr w:val="nil"/>
        </w:rPr>
        <w:t>Подкрепа за държавите членки да се възстановят, да поправят щетите и да излязат по-силни от кризата;</w:t>
      </w:r>
    </w:p>
    <w:p w:rsidR="0082322A" w:rsidRDefault="00E13152">
      <w:pPr>
        <w:pBdr>
          <w:top w:val="single" w:sz="18" w:space="1" w:color="93C5B9" w:themeColor="accent4"/>
          <w:left w:val="single" w:sz="18" w:space="4" w:color="93C5B9" w:themeColor="accent4"/>
          <w:bottom w:val="single" w:sz="18" w:space="1" w:color="93C5B9" w:themeColor="accent4"/>
          <w:right w:val="single" w:sz="18" w:space="4" w:color="93C5B9" w:themeColor="accent4"/>
        </w:pBdr>
        <w:spacing w:before="120" w:after="120"/>
        <w:rPr>
          <w:rFonts w:eastAsia="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58240" behindDoc="0" locked="0" layoutInCell="1" allowOverlap="1">
            <wp:simplePos x="0" y="0"/>
            <wp:positionH relativeFrom="column">
              <wp:posOffset>5112971</wp:posOffset>
            </wp:positionH>
            <wp:positionV relativeFrom="paragraph">
              <wp:posOffset>119380</wp:posOffset>
            </wp:positionV>
            <wp:extent cx="723265" cy="723265"/>
            <wp:effectExtent l="0" t="0" r="0" b="0"/>
            <wp:wrapSquare wrapText="bothSides"/>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Pr>
          <w:i/>
          <w:noProof/>
        </w:rPr>
        <w:t>Публичните инвестиции им</w:t>
      </w:r>
      <w:r>
        <w:rPr>
          <w:i/>
          <w:noProof/>
        </w:rPr>
        <w:t xml:space="preserve">ат жизненоважна роля за балансираното и устойчиво възстановяване. </w:t>
      </w:r>
      <w:r>
        <w:rPr>
          <w:i/>
          <w:noProof/>
          <w:color w:val="000000"/>
          <w:szCs w:val="24"/>
          <w:u w:color="000000"/>
          <w:bdr w:val="nil"/>
        </w:rPr>
        <w:t>Поради това, основната част от финансирането от Next Generation EU (повече от 80 %) ще бъде използвана за подкрепа на инвестициите и реформите в държавите членки, като тя ще се съсредоточи в</w:t>
      </w:r>
      <w:r>
        <w:rPr>
          <w:i/>
          <w:noProof/>
          <w:color w:val="000000"/>
          <w:szCs w:val="24"/>
          <w:u w:color="000000"/>
          <w:bdr w:val="nil"/>
        </w:rPr>
        <w:t xml:space="preserve"> областите, в които въздействието на кризата и нуждите от устойчивост са най-големи. Основният инструмент за възстановяване ще бъде </w:t>
      </w:r>
      <w:r>
        <w:rPr>
          <w:b/>
          <w:i/>
          <w:noProof/>
          <w:color w:val="000000"/>
          <w:szCs w:val="24"/>
          <w:u w:color="000000"/>
          <w:bdr w:val="nil"/>
        </w:rPr>
        <w:t xml:space="preserve"> новият Механизъм за възстановяване и устойчивост</w:t>
      </w:r>
      <w:r>
        <w:rPr>
          <w:i/>
          <w:noProof/>
          <w:color w:val="000000"/>
          <w:szCs w:val="24"/>
          <w:u w:color="000000"/>
          <w:bdr w:val="nil"/>
        </w:rPr>
        <w:t xml:space="preserve">, който е специално разработен, за да се финансират инвестиции и реформи в </w:t>
      </w:r>
      <w:r>
        <w:rPr>
          <w:i/>
          <w:noProof/>
          <w:color w:val="000000"/>
          <w:szCs w:val="24"/>
          <w:u w:color="000000"/>
          <w:bdr w:val="nil"/>
        </w:rPr>
        <w:t xml:space="preserve">съответствие с европейските приоритети. Политиката на сближаване ще изпълнява основната роля в процеса на балансирано и устойчиво възстановяване с помощта на </w:t>
      </w:r>
      <w:r>
        <w:rPr>
          <w:b/>
          <w:i/>
          <w:noProof/>
          <w:color w:val="000000"/>
          <w:szCs w:val="24"/>
          <w:u w:color="000000"/>
          <w:bdr w:val="nil"/>
        </w:rPr>
        <w:t>новата инициатива REACT-EU</w:t>
      </w:r>
      <w:r>
        <w:rPr>
          <w:i/>
          <w:noProof/>
          <w:color w:val="000000"/>
          <w:szCs w:val="24"/>
          <w:u w:color="000000"/>
          <w:bdr w:val="nil"/>
        </w:rPr>
        <w:t>, предназначена да удовлетвори най-неотложните икономически и социални н</w:t>
      </w:r>
      <w:r>
        <w:rPr>
          <w:i/>
          <w:noProof/>
          <w:color w:val="000000"/>
          <w:szCs w:val="24"/>
          <w:u w:color="000000"/>
          <w:bdr w:val="nil"/>
        </w:rPr>
        <w:t xml:space="preserve">ужди и корекциите на </w:t>
      </w:r>
      <w:r>
        <w:rPr>
          <w:b/>
          <w:i/>
          <w:noProof/>
          <w:color w:val="000000"/>
          <w:szCs w:val="24"/>
          <w:u w:color="000000"/>
          <w:bdr w:val="nil"/>
        </w:rPr>
        <w:t>бъдещите програми за сближаване</w:t>
      </w:r>
      <w:r>
        <w:rPr>
          <w:i/>
          <w:noProof/>
          <w:color w:val="000000"/>
          <w:szCs w:val="24"/>
          <w:u w:color="000000"/>
          <w:bdr w:val="nil"/>
        </w:rPr>
        <w:t xml:space="preserve"> с цел да им придаде по-голяма гъвкавост и изцяло да ги приведе в съответствие с приоритетите на възстановяването. </w:t>
      </w:r>
      <w:r>
        <w:rPr>
          <w:b/>
          <w:noProof/>
        </w:rPr>
        <w:t>Европейският земеделски фонд за развитие на селските райони</w:t>
      </w:r>
      <w:r>
        <w:rPr>
          <w:noProof/>
        </w:rPr>
        <w:t xml:space="preserve"> ще помогне на земеделските стопани и селските райони да осъществят екологичния преход и ще подкрепи инвестициите и реформите  за постигане на амбициозните цели на Европа в областта на околната среда.</w:t>
      </w:r>
      <w:r>
        <w:rPr>
          <w:i/>
          <w:noProof/>
          <w:color w:val="000000"/>
          <w:szCs w:val="24"/>
          <w:u w:color="000000"/>
          <w:bdr w:val="nil"/>
        </w:rPr>
        <w:t xml:space="preserve"> Накрая, значително укрепеният </w:t>
      </w:r>
      <w:r>
        <w:rPr>
          <w:b/>
          <w:i/>
          <w:noProof/>
          <w:color w:val="000000"/>
          <w:szCs w:val="24"/>
          <w:u w:color="000000"/>
          <w:bdr w:val="nil"/>
        </w:rPr>
        <w:t>Механизъм за справедлив п</w:t>
      </w:r>
      <w:r>
        <w:rPr>
          <w:b/>
          <w:i/>
          <w:noProof/>
          <w:color w:val="000000"/>
          <w:szCs w:val="24"/>
          <w:u w:color="000000"/>
          <w:bdr w:val="nil"/>
        </w:rPr>
        <w:t>реход</w:t>
      </w:r>
      <w:r>
        <w:rPr>
          <w:i/>
          <w:noProof/>
          <w:color w:val="000000"/>
          <w:szCs w:val="24"/>
          <w:u w:color="000000"/>
          <w:bdr w:val="nil"/>
        </w:rPr>
        <w:t xml:space="preserve"> ще помогне на държавите членки да ускорят прехода към зелена икономика и същевременно да стимулират своите икономики. </w:t>
      </w:r>
    </w:p>
    <w:p w:rsidR="0082322A" w:rsidRDefault="00E13152">
      <w:pPr>
        <w:pStyle w:val="ListParagraph"/>
        <w:keepNext/>
        <w:numPr>
          <w:ilvl w:val="0"/>
          <w:numId w:val="31"/>
        </w:numP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Нов Механизъм за възстановяване и устойчивост</w:t>
      </w:r>
    </w:p>
    <w:p w:rsidR="0082322A" w:rsidRDefault="00E13152">
      <w:pPr>
        <w:spacing w:before="120" w:after="120"/>
        <w:rPr>
          <w:noProof/>
        </w:rPr>
      </w:pPr>
      <w:r>
        <w:rPr>
          <w:noProof/>
        </w:rPr>
        <w:t>Бюджетът на ЕС може да осигури мощна подкрепа на приоритетите в областта на инвестици</w:t>
      </w:r>
      <w:r>
        <w:rPr>
          <w:noProof/>
        </w:rPr>
        <w:t xml:space="preserve">ите и реформите, определени чрез европейския семестър, които са от решаващо значение в момент, когато националните бюджети са подложени на натиск. </w:t>
      </w:r>
    </w:p>
    <w:p w:rsidR="0082322A" w:rsidRDefault="00E13152">
      <w:pPr>
        <w:spacing w:before="120" w:after="120"/>
        <w:rPr>
          <w:rFonts w:eastAsia="DengXian"/>
          <w:noProof/>
          <w:szCs w:val="24"/>
        </w:rPr>
      </w:pPr>
      <w:r>
        <w:rPr>
          <w:noProof/>
        </w:rPr>
        <w:t xml:space="preserve">Основният елемент на плана за възстановяване ще бъде новият </w:t>
      </w:r>
      <w:r>
        <w:rPr>
          <w:b/>
          <w:noProof/>
        </w:rPr>
        <w:t>Механизъм за възстановяване и устойчивост</w:t>
      </w:r>
      <w:r>
        <w:rPr>
          <w:noProof/>
        </w:rPr>
        <w:t>. Целта</w:t>
      </w:r>
      <w:r>
        <w:rPr>
          <w:noProof/>
        </w:rPr>
        <w:t xml:space="preserve"> на механизма ще бъде да подкрепя инвестициите и реформите от основно значение за трайното възстановяване, да подобрява икономическата и социалната устойчивост на държавите членки и да подпомага екологичния и цифровия преход. Той ще бъде на разположение на</w:t>
      </w:r>
      <w:r>
        <w:rPr>
          <w:noProof/>
        </w:rPr>
        <w:t xml:space="preserve"> всички държави членки, но подкрепата ще бъде съсредоточена в най-засегнатите части на Съюза и там, където потребността от устойчивост е най-голяма. Това ще помогне да се противодейства на задълбочаващите се различия между държавите членки и да се подготвя</w:t>
      </w:r>
      <w:r>
        <w:rPr>
          <w:noProof/>
        </w:rPr>
        <w:t>т икономиките ни за бъдещето.</w:t>
      </w:r>
    </w:p>
    <w:p w:rsidR="0082322A" w:rsidRDefault="00E13152">
      <w:pPr>
        <w:spacing w:before="120" w:after="120"/>
        <w:rPr>
          <w:rFonts w:ascii="EC Square Sans Pro" w:eastAsia="Arial Unicode MS" w:hAnsi="EC Square Sans Pro"/>
          <w:noProof/>
          <w:color w:val="000000"/>
          <w:szCs w:val="24"/>
          <w:bdr w:val="none" w:sz="0" w:space="0" w:color="auto" w:frame="1"/>
        </w:rPr>
      </w:pPr>
      <w:r>
        <w:rPr>
          <w:noProof/>
        </w:rPr>
        <w:t>Механизмът ще предлага мащабна финансова подкрепа за инвестициите и реформите, които ще помогнат на икономиките на държавите членки да станат по-устойчиви. Най-важното, той ще гарантира, че тези инвестиции и реформи са насочен</w:t>
      </w:r>
      <w:r>
        <w:rPr>
          <w:noProof/>
        </w:rPr>
        <w:t>и към предизвикателствата и нуждите от инвестиции, свързани с прехода към зелени и цифрови технологии. Той ще помогне на държавите членки да се справят с икономическите и социалните предизвикателства, които след кризата са дори още по-опасни и засягат разл</w:t>
      </w:r>
      <w:r>
        <w:rPr>
          <w:noProof/>
        </w:rPr>
        <w:t>ични области — социалната сфера, заетостта, уменията, образованието, научните изследвания и иновациите, здравеопазването, но и области, свързани с бизнес средата, а също и публичната администрация и финансовия сектор. Комисията ще предложи техническа подкр</w:t>
      </w:r>
      <w:r>
        <w:rPr>
          <w:noProof/>
        </w:rPr>
        <w:t xml:space="preserve">епа на широка основа, за да се гарантира, че средствата се употребяват по възможно най-добрия начин. </w:t>
      </w:r>
    </w:p>
    <w:p w:rsidR="0082322A" w:rsidRDefault="00E13152">
      <w:pPr>
        <w:spacing w:before="120" w:after="120"/>
        <w:rPr>
          <w:noProof/>
        </w:rPr>
      </w:pPr>
      <w:r>
        <w:rPr>
          <w:noProof/>
        </w:rPr>
        <w:t>Механизмът идва с предложен бюджет в размер на 560 млрд. евро, предназначен да помогне за финансирането на плановете за възстановяване и устойчивост на дъ</w:t>
      </w:r>
      <w:r>
        <w:rPr>
          <w:noProof/>
        </w:rPr>
        <w:t>ржавите членки. Той ще бъде снабден с механизъм за отпускане на безвъзмездни средства в размер до 310 млрд. евро и ще бъде способен да отпуска до 250 млрд. евро като заеми.</w:t>
      </w:r>
      <w:r>
        <w:rPr>
          <w:i/>
          <w:noProof/>
        </w:rPr>
        <w:t xml:space="preserve"> </w:t>
      </w:r>
    </w:p>
    <w:p w:rsidR="0082322A" w:rsidRDefault="00E13152">
      <w:pPr>
        <w:rPr>
          <w:noProof/>
          <w:szCs w:val="24"/>
        </w:rPr>
      </w:pPr>
      <w:r>
        <w:rPr>
          <w:noProof/>
          <w:color w:val="000000"/>
          <w:szCs w:val="24"/>
          <w:u w:color="000000"/>
          <w:bdr w:val="nil"/>
        </w:rPr>
        <w:t>Механизмът за възстановяване и устойчивост ще стане неотделима част от европейския</w:t>
      </w:r>
      <w:r>
        <w:rPr>
          <w:noProof/>
          <w:color w:val="000000"/>
          <w:szCs w:val="24"/>
          <w:u w:color="000000"/>
          <w:bdr w:val="nil"/>
        </w:rPr>
        <w:t xml:space="preserve"> семестър. Държавите членки ще съставят </w:t>
      </w:r>
      <w:r>
        <w:rPr>
          <w:noProof/>
        </w:rPr>
        <w:t xml:space="preserve"> планове за възстановяване и устойчивост като част от своите национални програми за реформи. С помощта на плановете ще се определят приоритетите за реформи и инвестиции и съответните инвестиционни пакети, които ще бъ</w:t>
      </w:r>
      <w:r>
        <w:rPr>
          <w:noProof/>
        </w:rPr>
        <w:t xml:space="preserve">дат финансирани по линия на механизма, като подкрепата ще бъде отпускана на траншове в зависимост от постигнатия напредък и въз основа на предварително определени критерии. </w:t>
      </w:r>
    </w:p>
    <w:p w:rsidR="0082322A" w:rsidRDefault="00E13152">
      <w:pPr>
        <w:pStyle w:val="ListParagraph"/>
        <w:keepNext/>
        <w:numPr>
          <w:ilvl w:val="0"/>
          <w:numId w:val="31"/>
        </w:numPr>
        <w:pBdr>
          <w:top w:val="nil"/>
          <w:left w:val="nil"/>
          <w:bottom w:val="nil"/>
          <w:right w:val="nil"/>
          <w:between w:val="nil"/>
          <w:bar w:val="nil"/>
        </w:pBdr>
        <w:spacing w:before="120" w:after="120"/>
        <w:ind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REACT-EU – по-голяма подкрепа за сближаването на държавите членки</w:t>
      </w:r>
    </w:p>
    <w:p w:rsidR="0082322A" w:rsidRDefault="00E13152">
      <w:pPr>
        <w:spacing w:before="120" w:after="120"/>
        <w:rPr>
          <w:noProof/>
        </w:rPr>
      </w:pPr>
      <w:r>
        <w:rPr>
          <w:noProof/>
          <w:color w:val="000000"/>
          <w:szCs w:val="24"/>
          <w:u w:color="000000"/>
          <w:bdr w:val="nil"/>
        </w:rPr>
        <w:t xml:space="preserve">Комисията предлага </w:t>
      </w:r>
      <w:r>
        <w:rPr>
          <w:noProof/>
          <w:color w:val="000000"/>
          <w:szCs w:val="24"/>
          <w:bdr w:val="none" w:sz="0" w:space="0" w:color="auto" w:frame="1"/>
        </w:rPr>
        <w:t>нова</w:t>
      </w:r>
      <w:r>
        <w:rPr>
          <w:b/>
          <w:noProof/>
          <w:color w:val="000000"/>
          <w:szCs w:val="24"/>
          <w:bdr w:val="none" w:sz="0" w:space="0" w:color="auto" w:frame="1"/>
        </w:rPr>
        <w:t xml:space="preserve"> инициатива, наречена REACT-EU,</w:t>
      </w:r>
      <w:r>
        <w:rPr>
          <w:noProof/>
          <w:color w:val="000000"/>
          <w:szCs w:val="24"/>
          <w:bdr w:val="none" w:sz="0" w:space="0" w:color="auto" w:frame="1"/>
        </w:rPr>
        <w:t xml:space="preserve"> която има за цел да увеличи подкрепата за сближаването на държавите членки, за да се подобри устойчивостта на техните икономики в етапа на поправяне на щетите от кризата. Това ще помогне да се преодоле</w:t>
      </w:r>
      <w:r>
        <w:rPr>
          <w:noProof/>
          <w:color w:val="000000"/>
          <w:szCs w:val="24"/>
          <w:bdr w:val="none" w:sz="0" w:space="0" w:color="auto" w:frame="1"/>
        </w:rPr>
        <w:t>е празнината между мерките за първа реакция и дългосрочното възстановяване.</w:t>
      </w:r>
      <w:r>
        <w:rPr>
          <w:noProof/>
        </w:rPr>
        <w:t xml:space="preserve"> </w:t>
      </w:r>
    </w:p>
    <w:p w:rsidR="0082322A" w:rsidRDefault="00E13152">
      <w:pPr>
        <w:spacing w:before="120" w:after="120"/>
        <w:rPr>
          <w:rFonts w:eastAsia="Arial Unicode MS" w:cs="Arial Unicode MS"/>
          <w:noProof/>
          <w:color w:val="000000"/>
          <w:szCs w:val="24"/>
          <w:u w:color="000000"/>
          <w:bdr w:val="nil"/>
        </w:rPr>
      </w:pPr>
      <w:r>
        <w:rPr>
          <w:noProof/>
        </w:rPr>
        <w:t>Комисията предлага с помощта на REACT-EU да се осигурят 55 млрд. евро като допълнително финансиране по линия на политиката на сближаване от настоящия момент до 2022 г., 50 млрд. е</w:t>
      </w:r>
      <w:r>
        <w:rPr>
          <w:noProof/>
        </w:rPr>
        <w:t>вро от Next Generation EU през 2021 г. и 2022 г., както и 5 млрд. евро още през 2020 г. благодарение на адаптирането на настоящата финансова рамка. Това ще се основава на настоящите правила за сближаване, включително извънредните мерки за гъвкавост, въведе</w:t>
      </w:r>
      <w:r>
        <w:rPr>
          <w:noProof/>
        </w:rPr>
        <w:t xml:space="preserve">ни чрез инвестиционните инициативи в отговор на коронавируса. Според тези предложения през 2020—2022 г. ще бъде предоставено допълнително финансиране за </w:t>
      </w:r>
      <w:r>
        <w:rPr>
          <w:noProof/>
          <w:color w:val="000000"/>
          <w:szCs w:val="24"/>
          <w:u w:color="000000"/>
          <w:bdr w:val="nil"/>
        </w:rPr>
        <w:t>изпълняваните понастоящем програми за сближаване, както и на Фонда за европейско подпомагане на най-нуж</w:t>
      </w:r>
      <w:r>
        <w:rPr>
          <w:noProof/>
          <w:color w:val="000000"/>
          <w:szCs w:val="24"/>
          <w:u w:color="000000"/>
          <w:bdr w:val="nil"/>
        </w:rPr>
        <w:t xml:space="preserve">даещите се, ще се даде възможност финансирането на ключови мерки за възстановяване от кризата и на подкрепата за най-нуждаещите се да продължи без прекъсване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 xml:space="preserve">Допълнителното финансиране ще бъде разпределено въз основа на тежестта на икономическите и </w:t>
      </w:r>
      <w:r>
        <w:rPr>
          <w:noProof/>
          <w:color w:val="000000"/>
          <w:szCs w:val="24"/>
          <w:u w:color="000000"/>
          <w:bdr w:val="nil"/>
        </w:rPr>
        <w:t>социалните последици от кризата, включително равнището на младежката безработица</w:t>
      </w:r>
      <w:r>
        <w:rPr>
          <w:noProof/>
        </w:rPr>
        <w:t xml:space="preserve"> и относителния просперитет на държавите членки</w:t>
      </w:r>
      <w:r>
        <w:rPr>
          <w:noProof/>
          <w:color w:val="000000"/>
          <w:szCs w:val="24"/>
          <w:u w:color="000000"/>
          <w:bdr w:val="nil"/>
        </w:rPr>
        <w:t xml:space="preserve">. </w:t>
      </w:r>
      <w:r>
        <w:rPr>
          <w:noProof/>
          <w:color w:val="000000"/>
          <w:szCs w:val="24"/>
          <w:bdr w:val="none" w:sz="0" w:space="0" w:color="auto" w:frame="1"/>
        </w:rPr>
        <w:t>Допълнителните ангажименти ще бъдат изпълнявани с помощта на изменения в програмите или създаване на нови специална програми, п</w:t>
      </w:r>
      <w:r>
        <w:rPr>
          <w:noProof/>
          <w:color w:val="000000"/>
          <w:szCs w:val="24"/>
          <w:bdr w:val="none" w:sz="0" w:space="0" w:color="auto" w:frame="1"/>
        </w:rPr>
        <w:t>редставени от държавите членки и приемани от Комисията. Комисията ще работи в тясно сътрудничество с държавите членки за възможно най-бързото и ефикасно управление на този процес.</w:t>
      </w:r>
    </w:p>
    <w:p w:rsidR="0082322A" w:rsidRDefault="00E13152">
      <w:pPr>
        <w:spacing w:before="120" w:after="120"/>
        <w:rPr>
          <w:rFonts w:eastAsia="DengXian"/>
          <w:noProof/>
          <w:szCs w:val="24"/>
        </w:rPr>
      </w:pPr>
      <w:r>
        <w:rPr>
          <w:noProof/>
        </w:rPr>
        <w:t>С финансирането ще се подкрепят ключови действия за преодоляване на последиц</w:t>
      </w:r>
      <w:r>
        <w:rPr>
          <w:noProof/>
        </w:rPr>
        <w:t xml:space="preserve">ите от кризата в най-важните сектори за постигане на екологично, цифрово и устойчиво възстановяване. Това ще включва инвестиции за възстановяване на пазарите на труда, в това число с помощта на субсидии за наемане на работа, схеми  за краткосрочна заетост </w:t>
      </w:r>
      <w:r>
        <w:rPr>
          <w:noProof/>
        </w:rPr>
        <w:t>и мерки за младежка заетост, подкрепа за здравните системи и осигуряване на работен капитал за малките и средните предприятия. Помощта ще бъде достъпна в различните икономически сектори, включително туризма и културата, а също и за основни инвестиции в еко</w:t>
      </w:r>
      <w:r>
        <w:rPr>
          <w:noProof/>
        </w:rPr>
        <w:t>логичния и цифровия преход, като се увеличат вече планираните инвестиции по бъдещите програми за сближаване. Част от допълнителните ресурси могат да се използват и за подпомагане на граждани, изпитващи недостиг на храна и материални лишения.</w:t>
      </w:r>
    </w:p>
    <w:p w:rsidR="0082322A" w:rsidRDefault="00E13152">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Политика за сб</w:t>
      </w:r>
      <w:r>
        <w:rPr>
          <w:rFonts w:ascii="Times New Roman" w:hAnsi="Times New Roman"/>
          <w:b/>
          <w:i/>
          <w:noProof/>
          <w:color w:val="000000"/>
          <w:sz w:val="24"/>
          <w:szCs w:val="24"/>
          <w:u w:color="000000"/>
          <w:bdr w:val="nil"/>
        </w:rPr>
        <w:t xml:space="preserve">лижаване в услуга на икономическото възстановяване </w:t>
      </w:r>
    </w:p>
    <w:p w:rsidR="0082322A" w:rsidRDefault="00E13152">
      <w:pPr>
        <w:spacing w:before="120" w:after="120"/>
        <w:rPr>
          <w:rFonts w:eastAsia="Arial Unicode MS"/>
          <w:noProof/>
          <w:color w:val="000000"/>
          <w:szCs w:val="24"/>
          <w:bdr w:val="none" w:sz="0" w:space="0" w:color="auto" w:frame="1"/>
        </w:rPr>
      </w:pPr>
      <w:r>
        <w:rPr>
          <w:noProof/>
          <w:color w:val="000000"/>
          <w:szCs w:val="24"/>
          <w:u w:color="000000"/>
          <w:bdr w:val="nil"/>
        </w:rPr>
        <w:t xml:space="preserve">Освен незабавните ответни действия при кризи, </w:t>
      </w:r>
      <w:r>
        <w:rPr>
          <w:b/>
          <w:noProof/>
          <w:color w:val="000000"/>
          <w:szCs w:val="24"/>
          <w:u w:color="000000"/>
          <w:bdr w:val="nil"/>
        </w:rPr>
        <w:t>политиката на сближаване</w:t>
      </w:r>
      <w:r>
        <w:rPr>
          <w:noProof/>
          <w:color w:val="000000"/>
          <w:szCs w:val="24"/>
          <w:u w:color="000000"/>
          <w:bdr w:val="nil"/>
        </w:rPr>
        <w:t xml:space="preserve"> </w:t>
      </w:r>
      <w:r>
        <w:rPr>
          <w:noProof/>
          <w:color w:val="000000"/>
          <w:szCs w:val="24"/>
          <w:bdr w:val="none" w:sz="0" w:space="0" w:color="auto" w:frame="1"/>
        </w:rPr>
        <w:t xml:space="preserve"> ще бъде от решаващо значение за гарантиране на балансирано възстановяване в дългосрочен план, като помага за избягването на асиметрия и различия в растежа между държавите членки. </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Поради това от съществено значение за стратегическите приоритети на Съюза е</w:t>
      </w:r>
      <w:r>
        <w:rPr>
          <w:noProof/>
          <w:color w:val="000000"/>
          <w:szCs w:val="24"/>
          <w:u w:color="000000"/>
          <w:bdr w:val="nil"/>
        </w:rPr>
        <w:t xml:space="preserve"> да се стартират новите програми за политиката на сближаване на 1 януари 2021 г. успоредно с отпускането на допълнителни средства за изпълняваните понастоящем програми до края на 2022 г.   Тези предложения имат за цел да осигурят максимална подкрепа за дне</w:t>
      </w:r>
      <w:r>
        <w:rPr>
          <w:noProof/>
          <w:color w:val="000000"/>
          <w:szCs w:val="24"/>
          <w:u w:color="000000"/>
          <w:bdr w:val="nil"/>
        </w:rPr>
        <w:t xml:space="preserve">шните приоритети. </w:t>
      </w:r>
    </w:p>
    <w:p w:rsidR="0082322A" w:rsidRDefault="00E13152">
      <w:pPr>
        <w:spacing w:before="120" w:after="120"/>
        <w:rPr>
          <w:rFonts w:eastAsia="Arial Unicode MS"/>
          <w:noProof/>
          <w:color w:val="000000"/>
          <w:szCs w:val="24"/>
          <w:u w:color="000000"/>
          <w:bdr w:val="nil"/>
        </w:rPr>
      </w:pPr>
      <w:r>
        <w:rPr>
          <w:noProof/>
          <w:color w:val="000000"/>
          <w:szCs w:val="24"/>
          <w:u w:color="000000"/>
          <w:bdr w:val="nil"/>
        </w:rPr>
        <w:t>В момента Комисията коригира своите предложения относно бъдещите програми в областта на политиката на сближаване, за да увеличи подкрепата за инвестициите за възстановяване, например за мерки в областта на устойчивостта на националните с</w:t>
      </w:r>
      <w:r>
        <w:rPr>
          <w:noProof/>
          <w:color w:val="000000"/>
          <w:szCs w:val="24"/>
          <w:u w:color="000000"/>
          <w:bdr w:val="nil"/>
        </w:rPr>
        <w:t xml:space="preserve">истеми за здравеопазване, в сектори като туризма и културата, за подкрепа на малките и средните предприятия, младежката заетост, </w:t>
      </w:r>
      <w:r>
        <w:rPr>
          <w:noProof/>
        </w:rPr>
        <w:t xml:space="preserve">образованието и уменията </w:t>
      </w:r>
      <w:r>
        <w:rPr>
          <w:noProof/>
          <w:color w:val="000000"/>
          <w:szCs w:val="24"/>
          <w:u w:color="000000"/>
          <w:bdr w:val="nil"/>
        </w:rPr>
        <w:t xml:space="preserve"> и мерките за борба с детската бедност.</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Вероятно е младите хора да бъдат особено силно засегнати от кр</w:t>
      </w:r>
      <w:r>
        <w:rPr>
          <w:noProof/>
          <w:color w:val="000000"/>
          <w:szCs w:val="24"/>
          <w:u w:color="000000"/>
          <w:bdr w:val="nil"/>
        </w:rPr>
        <w:t>изата, поради което държавите членки с равнища на младежка безработица над средното равнище за ЕС следва да програмират най-малко</w:t>
      </w:r>
      <w:r>
        <w:rPr>
          <w:noProof/>
        </w:rPr>
        <w:t>15 % от своите ресурси по Европейския социален фонд +, попадащи в рамките на споделеното управление, за подкрепа на младите хор</w:t>
      </w:r>
      <w:r>
        <w:rPr>
          <w:noProof/>
        </w:rPr>
        <w:t xml:space="preserve">а. </w:t>
      </w:r>
      <w:r>
        <w:rPr>
          <w:noProof/>
          <w:color w:val="000000"/>
          <w:szCs w:val="24"/>
          <w:u w:color="000000"/>
          <w:bdr w:val="nil"/>
        </w:rPr>
        <w:t>С оглед на вероятното въздействие на кризата върху най-уязвимите членове на обществото Комисията предлага също така поне 5 % от общите разходи по Европейския социален фонд + да се използват за подпомагане на извеждането на децата от бедността.</w:t>
      </w:r>
    </w:p>
    <w:p w:rsidR="0082322A" w:rsidRDefault="00E13152">
      <w:pPr>
        <w:spacing w:before="120" w:after="120"/>
        <w:rPr>
          <w:rFonts w:eastAsia="Arial Unicode MS" w:cs="Arial Unicode MS"/>
          <w:noProof/>
          <w:color w:val="000000"/>
          <w:szCs w:val="24"/>
          <w:u w:color="000000"/>
          <w:bdr w:val="nil"/>
        </w:rPr>
      </w:pPr>
      <w:r>
        <w:rPr>
          <w:noProof/>
          <w:color w:val="000000"/>
          <w:szCs w:val="24"/>
          <w:u w:color="000000"/>
          <w:bdr w:val="nil"/>
        </w:rPr>
        <w:t>На държав</w:t>
      </w:r>
      <w:r>
        <w:rPr>
          <w:noProof/>
          <w:color w:val="000000"/>
          <w:szCs w:val="24"/>
          <w:u w:color="000000"/>
          <w:bdr w:val="nil"/>
        </w:rPr>
        <w:t>ите членки ще бъде предоставена техническа помощ, за да се увеличат максимално съчетаните ползи от новите програми на политиката на сближаване и настоящите програми благодарение на програмата REACT-EU.</w:t>
      </w:r>
    </w:p>
    <w:p w:rsidR="0082322A" w:rsidRDefault="00E13152">
      <w:pPr>
        <w:spacing w:before="120" w:after="120"/>
        <w:rPr>
          <w:noProof/>
        </w:rPr>
      </w:pPr>
      <w:r>
        <w:rPr>
          <w:noProof/>
          <w:color w:val="000000"/>
          <w:szCs w:val="24"/>
          <w:u w:color="000000"/>
          <w:bdr w:val="nil"/>
        </w:rPr>
        <w:t>Преразгледаните предложения предоставят и по-голяма гъ</w:t>
      </w:r>
      <w:r>
        <w:rPr>
          <w:noProof/>
          <w:color w:val="000000"/>
          <w:szCs w:val="24"/>
          <w:u w:color="000000"/>
          <w:bdr w:val="nil"/>
        </w:rPr>
        <w:t xml:space="preserve">вкавост при прехвърлянето на средства между фондовете и въвеждането на нови разпоредби, които да бъдат задействани при извънредни ситуации. </w:t>
      </w:r>
      <w:r>
        <w:rPr>
          <w:noProof/>
        </w:rPr>
        <w:t>За да се осигури достатъчна подкрепа за държавите членки и регионите, които са в най-голяма нужда, новите предложени</w:t>
      </w:r>
      <w:r>
        <w:rPr>
          <w:noProof/>
        </w:rPr>
        <w:t>я на Комисията предвиждат също така преразглеждане през 2024 г. на разпределението на отпуснатите средства по политиката на сближаване. Преразглеждането ще доведе само до корекции във възходяща посока в размер до 10 млрд. евро за всички държави членки.</w:t>
      </w:r>
    </w:p>
    <w:p w:rsidR="0082322A" w:rsidRDefault="00E13152">
      <w:pPr>
        <w:pStyle w:val="ListParagraph"/>
        <w:keepNext/>
        <w:numPr>
          <w:ilvl w:val="0"/>
          <w:numId w:val="31"/>
        </w:numPr>
        <w:spacing w:before="120" w:after="120"/>
        <w:ind w:hanging="357"/>
        <w:contextualSpacing w:val="0"/>
        <w:rPr>
          <w:rFonts w:ascii="Times New Roman" w:eastAsia="Arial Unicode MS" w:hAnsi="Times New Roman" w:cs="Times New Roman"/>
          <w:b/>
          <w:i/>
          <w:noProof/>
          <w:color w:val="000000"/>
          <w:sz w:val="24"/>
          <w:szCs w:val="24"/>
          <w:u w:color="000000"/>
          <w:bdr w:val="nil"/>
        </w:rPr>
      </w:pPr>
      <w:r>
        <w:rPr>
          <w:rFonts w:ascii="Times New Roman" w:hAnsi="Times New Roman"/>
          <w:b/>
          <w:i/>
          <w:noProof/>
          <w:color w:val="000000"/>
          <w:sz w:val="24"/>
          <w:szCs w:val="24"/>
          <w:u w:color="000000"/>
          <w:bdr w:val="nil"/>
        </w:rPr>
        <w:t>Под</w:t>
      </w:r>
      <w:r>
        <w:rPr>
          <w:rFonts w:ascii="Times New Roman" w:hAnsi="Times New Roman"/>
          <w:b/>
          <w:i/>
          <w:noProof/>
          <w:color w:val="000000"/>
          <w:sz w:val="24"/>
          <w:szCs w:val="24"/>
          <w:u w:color="000000"/>
          <w:bdr w:val="nil"/>
        </w:rPr>
        <w:t>помагане на справедлив преход</w:t>
      </w:r>
    </w:p>
    <w:p w:rsidR="0082322A" w:rsidRDefault="00E13152">
      <w:pPr>
        <w:spacing w:before="100" w:beforeAutospacing="1" w:after="100" w:afterAutospacing="1"/>
        <w:rPr>
          <w:noProof/>
          <w:color w:val="000000"/>
          <w:szCs w:val="24"/>
        </w:rPr>
      </w:pPr>
      <w:r>
        <w:rPr>
          <w:noProof/>
          <w:color w:val="000000"/>
          <w:szCs w:val="24"/>
        </w:rPr>
        <w:t>Възстановяването на Европа и нейното бъдещо благоденствие зависят от стъпките, които предприемаме понастоящем, за да подготвим прехода към неутрална по отношение на климата, ефикасна по отношение на ресурсите и кръгова икономика. Тези промени ще засегнат в</w:t>
      </w:r>
      <w:r>
        <w:rPr>
          <w:noProof/>
          <w:color w:val="000000"/>
          <w:szCs w:val="24"/>
        </w:rPr>
        <w:t>сички европейци, но тежестта на измененията ще падне в по-голяма степен върху някои сектори и региони. Като част от пакета за икономическо възстановяване Комисията предлага да се използва инициативата Next Generation EU, за да се осигури финансова помощ за</w:t>
      </w:r>
      <w:r>
        <w:rPr>
          <w:noProof/>
          <w:color w:val="000000"/>
          <w:szCs w:val="24"/>
        </w:rPr>
        <w:t xml:space="preserve"> съпровождане на трансформацията на европейската икономика и да се гарантира, че никой няма да бъде изоставен. </w:t>
      </w:r>
    </w:p>
    <w:p w:rsidR="0082322A" w:rsidRDefault="00E13152">
      <w:pPr>
        <w:spacing w:before="100" w:beforeAutospacing="1" w:after="100" w:afterAutospacing="1"/>
        <w:rPr>
          <w:noProof/>
          <w:color w:val="000000"/>
          <w:szCs w:val="24"/>
        </w:rPr>
      </w:pPr>
      <w:r>
        <w:rPr>
          <w:noProof/>
          <w:color w:val="000000"/>
          <w:szCs w:val="24"/>
        </w:rPr>
        <w:t xml:space="preserve">По-специално Комисията предлага да предостави значително допълнително финансиране в размер на 30 млрд. евро на </w:t>
      </w:r>
      <w:r>
        <w:rPr>
          <w:b/>
          <w:noProof/>
          <w:color w:val="000000"/>
          <w:szCs w:val="24"/>
        </w:rPr>
        <w:t>Фонда за справедлив преход</w:t>
      </w:r>
      <w:r>
        <w:rPr>
          <w:noProof/>
          <w:color w:val="000000"/>
          <w:szCs w:val="24"/>
        </w:rPr>
        <w:t xml:space="preserve">, като </w:t>
      </w:r>
      <w:r>
        <w:rPr>
          <w:noProof/>
          <w:color w:val="000000"/>
          <w:szCs w:val="24"/>
        </w:rPr>
        <w:t>така се достигне до сума, възлизаща на 40 млрд. евро. Финансирането ще се използва за облекчаване на социално-икономическите последици от прехода към неутралност по отношение на климата в най-засегнатите региони, като например се подкрепи преквалификацията</w:t>
      </w:r>
      <w:r>
        <w:rPr>
          <w:noProof/>
          <w:color w:val="000000"/>
          <w:szCs w:val="24"/>
        </w:rPr>
        <w:t xml:space="preserve"> на работници, подпомогнат се МСП при създаването на нови икономически възможности, и се инвестира в прехода към чиста енергия и в кръговата икономика.</w:t>
      </w:r>
      <w:r>
        <w:rPr>
          <w:noProof/>
          <w:color w:val="000000"/>
          <w:szCs w:val="24"/>
          <w:u w:color="000000"/>
          <w:bdr w:val="nil"/>
        </w:rPr>
        <w:t xml:space="preserve"> Увеличеното финансирането за InvestEU също така ще означава, че вторият стълб на механизма за справедлив</w:t>
      </w:r>
      <w:r>
        <w:rPr>
          <w:noProof/>
          <w:color w:val="000000"/>
          <w:szCs w:val="24"/>
          <w:u w:color="000000"/>
          <w:bdr w:val="nil"/>
        </w:rPr>
        <w:t xml:space="preserve"> преход ще бъде подсилен. Комисията представя също и предложения за създаване на нов механизъм за отпускане на заеми в публичния сектор, който представлява третият стълб на Механизма за справедлив преход.  Това предложение ще бъде подкрепено с 1,5 млрд. ев</w:t>
      </w:r>
      <w:r>
        <w:rPr>
          <w:noProof/>
          <w:color w:val="000000"/>
          <w:szCs w:val="24"/>
          <w:u w:color="000000"/>
          <w:bdr w:val="nil"/>
        </w:rPr>
        <w:t xml:space="preserve">ро от бюджета на ЕС </w:t>
      </w:r>
      <w:r>
        <w:rPr>
          <w:rStyle w:val="FootnoteReference"/>
          <w:noProof/>
          <w:szCs w:val="24"/>
        </w:rPr>
        <w:footnoteReference w:id="8"/>
      </w:r>
      <w:r>
        <w:rPr>
          <w:noProof/>
          <w:color w:val="000000"/>
          <w:szCs w:val="24"/>
          <w:u w:color="000000"/>
          <w:bdr w:val="nil"/>
        </w:rPr>
        <w:t xml:space="preserve"> и 10 млрд. евро като заеми от Европейската инвестиционна банка. Очаква се трите стълба на Механизма за справедлив преход заедно да мобилизират инвестиции в размер до 150 млрд. евро, за да се гарантира, че никой няма да бъде изоставен </w:t>
      </w:r>
      <w:r>
        <w:rPr>
          <w:noProof/>
          <w:color w:val="000000"/>
          <w:szCs w:val="24"/>
          <w:u w:color="000000"/>
          <w:bdr w:val="nil"/>
        </w:rPr>
        <w:t>по време на екологичния преход.</w:t>
      </w:r>
    </w:p>
    <w:p w:rsidR="0082322A" w:rsidRDefault="00E13152">
      <w:pPr>
        <w:spacing w:before="100" w:beforeAutospacing="1" w:after="100" w:afterAutospacing="1"/>
        <w:rPr>
          <w:noProof/>
          <w:color w:val="000000"/>
        </w:rPr>
      </w:pPr>
      <w:r>
        <w:rPr>
          <w:noProof/>
          <w:color w:val="000000"/>
          <w:szCs w:val="24"/>
        </w:rPr>
        <w:t xml:space="preserve">Селските райони ще имат жизненоважна роля за осъществяване на екологичния преход и постигане на амбициозните цели на Европа в областта на климата и околната среда. Комисията предлага да се увеличи бюджетът на </w:t>
      </w:r>
      <w:r>
        <w:rPr>
          <w:b/>
          <w:noProof/>
          <w:color w:val="000000"/>
          <w:szCs w:val="24"/>
        </w:rPr>
        <w:t>Европейския зем</w:t>
      </w:r>
      <w:r>
        <w:rPr>
          <w:b/>
          <w:noProof/>
          <w:color w:val="000000"/>
          <w:szCs w:val="24"/>
        </w:rPr>
        <w:t>еделски фонд за развитие на селските райони</w:t>
      </w:r>
      <w:r>
        <w:rPr>
          <w:noProof/>
          <w:color w:val="000000"/>
          <w:szCs w:val="24"/>
        </w:rPr>
        <w:t xml:space="preserve"> с  15 млрд. евро, за да се подкрепят земеделските стопани и селските райони в извършването на структурните промени, които са необходими за изпълнението на Европейския зелен пакт, и по-специално за подкрепа на пос</w:t>
      </w:r>
      <w:r>
        <w:rPr>
          <w:noProof/>
          <w:color w:val="000000"/>
          <w:szCs w:val="24"/>
        </w:rPr>
        <w:t xml:space="preserve">тигането на амбициозните цели по отношение на новите стратегии — тази за  биоразнообразието и стратегията „От фермата до трапезата“. </w:t>
      </w:r>
      <w:r>
        <w:rPr>
          <w:noProof/>
          <w:color w:val="000000"/>
        </w:rPr>
        <w:t xml:space="preserve"> </w:t>
      </w:r>
    </w:p>
    <w:p w:rsidR="0082322A" w:rsidRDefault="00E13152">
      <w:pPr>
        <w:keepNext/>
        <w:numPr>
          <w:ilvl w:val="0"/>
          <w:numId w:val="40"/>
        </w:numPr>
        <w:spacing w:before="120" w:after="120" w:line="264" w:lineRule="auto"/>
        <w:ind w:left="363" w:hanging="357"/>
        <w:contextualSpacing/>
        <w:rPr>
          <w:rFonts w:eastAsia="Arial Unicode MS"/>
          <w:b/>
          <w:noProof/>
          <w:color w:val="000000"/>
          <w:szCs w:val="24"/>
          <w:u w:val="single" w:color="000000"/>
          <w:bdr w:val="nil"/>
          <w:lang w:eastAsia="nl-BE"/>
        </w:rPr>
      </w:pPr>
      <w:r>
        <w:rPr>
          <w:rFonts w:eastAsiaTheme="minorEastAsia" w:cstheme="minorBidi"/>
          <w:b/>
          <w:noProof/>
          <w:color w:val="000000"/>
          <w:szCs w:val="24"/>
          <w:u w:val="single" w:color="000000"/>
          <w:bdr w:val="nil"/>
          <w:lang w:eastAsia="nl-BE"/>
        </w:rPr>
        <w:t>Силен тласък за икономиката и подкрепа за възобновяване на частните инвестиции</w:t>
      </w:r>
    </w:p>
    <w:p w:rsidR="0082322A" w:rsidRDefault="00E13152">
      <w:pPr>
        <w:pBdr>
          <w:top w:val="single" w:sz="18" w:space="1" w:color="FEC00F" w:themeColor="accent2"/>
          <w:left w:val="single" w:sz="18" w:space="4" w:color="FEC00F" w:themeColor="accent2"/>
          <w:bottom w:val="single" w:sz="18" w:space="1" w:color="FEC00F" w:themeColor="accent2"/>
          <w:right w:val="single" w:sz="18" w:space="4" w:color="FEC00F" w:themeColor="accent2"/>
        </w:pBdr>
        <w:spacing w:before="120" w:after="120"/>
        <w:rPr>
          <w:rFonts w:eastAsia="Arial Unicode MS" w:cs="Arial Unicode MS"/>
          <w:b/>
          <w:i/>
          <w:noProof/>
          <w:color w:val="000000"/>
          <w:szCs w:val="24"/>
          <w:u w:val="single" w:color="000000"/>
          <w:bdr w:val="nil"/>
        </w:rPr>
      </w:pPr>
      <w:r>
        <w:rPr>
          <w:i/>
          <w:noProof/>
          <w:color w:val="000000"/>
          <w:szCs w:val="24"/>
          <w:u w:color="000000"/>
          <w:bdr w:val="nil"/>
          <w:lang w:val="fr-BE" w:eastAsia="fr-BE"/>
        </w:rPr>
        <w:drawing>
          <wp:anchor distT="0" distB="0" distL="114300" distR="114300" simplePos="0" relativeHeight="251660800" behindDoc="0" locked="0" layoutInCell="1" allowOverlap="1">
            <wp:simplePos x="0" y="0"/>
            <wp:positionH relativeFrom="column">
              <wp:posOffset>5113557</wp:posOffset>
            </wp:positionH>
            <wp:positionV relativeFrom="paragraph">
              <wp:posOffset>166468</wp:posOffset>
            </wp:positionV>
            <wp:extent cx="723600" cy="723600"/>
            <wp:effectExtent l="0" t="0" r="635" b="0"/>
            <wp:wrapSquare wrapText="bothSides"/>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14:sizeRelH relativeFrom="page">
              <wp14:pctWidth>0</wp14:pctWidth>
            </wp14:sizeRelH>
            <wp14:sizeRelV relativeFrom="page">
              <wp14:pctHeight>0</wp14:pctHeight>
            </wp14:sizeRelV>
          </wp:anchor>
        </w:drawing>
      </w:r>
      <w:r>
        <w:rPr>
          <w:i/>
          <w:noProof/>
          <w:color w:val="000000"/>
          <w:szCs w:val="24"/>
          <w:u w:color="000000"/>
          <w:bdr w:val="nil"/>
        </w:rPr>
        <w:t xml:space="preserve">Нужни са спешни действия, за да се даде силен тласък на икономиката и да се осигурят условия за възстановяване, в чиято основа са частните инвестиции в ключови сектори и технологии.  Затова Комисията предлага да се </w:t>
      </w:r>
      <w:r>
        <w:rPr>
          <w:b/>
          <w:i/>
          <w:noProof/>
          <w:color w:val="000000"/>
          <w:szCs w:val="24"/>
          <w:u w:color="000000"/>
          <w:bdr w:val="nil"/>
        </w:rPr>
        <w:t>укрепи ролята на InvestEU</w:t>
      </w:r>
      <w:r>
        <w:rPr>
          <w:i/>
          <w:noProof/>
          <w:color w:val="000000"/>
          <w:szCs w:val="24"/>
          <w:u w:color="000000"/>
          <w:bdr w:val="nil"/>
        </w:rPr>
        <w:t xml:space="preserve"> — водещата инве</w:t>
      </w:r>
      <w:r>
        <w:rPr>
          <w:i/>
          <w:noProof/>
          <w:color w:val="000000"/>
          <w:szCs w:val="24"/>
          <w:u w:color="000000"/>
          <w:bdr w:val="nil"/>
        </w:rPr>
        <w:t xml:space="preserve">стиционна програма на Европа, с цел да се мобилизират частни инвестиции в стратегически проекти в целия Съюз. Като част от тези усилия Комисията предлага създаването на </w:t>
      </w:r>
      <w:r>
        <w:rPr>
          <w:b/>
          <w:i/>
          <w:noProof/>
          <w:color w:val="000000"/>
          <w:szCs w:val="24"/>
          <w:u w:color="000000"/>
          <w:bdr w:val="nil"/>
        </w:rPr>
        <w:t>нов Механизъм за стратегически инвестиции</w:t>
      </w:r>
      <w:r>
        <w:rPr>
          <w:i/>
          <w:noProof/>
          <w:color w:val="000000"/>
          <w:szCs w:val="24"/>
          <w:u w:color="000000"/>
          <w:bdr w:val="nil"/>
        </w:rPr>
        <w:t>, който да осигури инвестиции в ключови вериги</w:t>
      </w:r>
      <w:r>
        <w:rPr>
          <w:i/>
          <w:noProof/>
          <w:color w:val="000000"/>
          <w:szCs w:val="24"/>
          <w:u w:color="000000"/>
          <w:bdr w:val="nil"/>
        </w:rPr>
        <w:t xml:space="preserve"> за създаване на стойност, които са от решаващо значение за бъдещата устойчивост и стратегическата автономност на Европа. За да успее тази инициатива, са нужни жизнеспособни дружества, към които тези инвестиции да се насочат; същевременно до края на година</w:t>
      </w:r>
      <w:r>
        <w:rPr>
          <w:i/>
          <w:noProof/>
          <w:color w:val="000000"/>
          <w:szCs w:val="24"/>
          <w:u w:color="000000"/>
          <w:bdr w:val="nil"/>
        </w:rPr>
        <w:t xml:space="preserve">та стотици хиляди фирми вероятно ще изпитат сериозен финансов натиск. Затова Комисията предлага нов </w:t>
      </w:r>
      <w:r>
        <w:rPr>
          <w:b/>
          <w:i/>
          <w:noProof/>
          <w:color w:val="000000"/>
          <w:szCs w:val="24"/>
          <w:u w:color="000000"/>
          <w:bdr w:val="nil"/>
        </w:rPr>
        <w:t>Инструмент за подкрепа на платежоспособността</w:t>
      </w:r>
      <w:r>
        <w:rPr>
          <w:i/>
          <w:noProof/>
          <w:color w:val="000000"/>
          <w:szCs w:val="24"/>
          <w:u w:color="000000"/>
          <w:bdr w:val="nil"/>
        </w:rPr>
        <w:t>, който спешно да предостави подкрепа на стабилните предприятия, които са изложени на риск в резултат на кризат</w:t>
      </w:r>
      <w:r>
        <w:rPr>
          <w:i/>
          <w:noProof/>
          <w:color w:val="000000"/>
          <w:szCs w:val="24"/>
          <w:u w:color="000000"/>
          <w:bdr w:val="nil"/>
        </w:rPr>
        <w:t xml:space="preserve">а, и да им помогне да устоят на сътресенията. Инструментът би трябвало да започне да функционира още тази година. </w:t>
      </w:r>
    </w:p>
    <w:p w:rsidR="0082322A" w:rsidRDefault="00E13152">
      <w:pPr>
        <w:keepNext/>
        <w:numPr>
          <w:ilvl w:val="0"/>
          <w:numId w:val="31"/>
        </w:numPr>
        <w:pBdr>
          <w:top w:val="nil"/>
          <w:left w:val="nil"/>
          <w:bottom w:val="nil"/>
          <w:right w:val="nil"/>
          <w:between w:val="nil"/>
          <w:bar w:val="nil"/>
        </w:pBdr>
        <w:spacing w:before="120" w:after="120" w:line="264" w:lineRule="auto"/>
        <w:ind w:hanging="357"/>
        <w:contextualSpacing/>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 xml:space="preserve">Спасителен пояс за подложените на натиск дружества чрез подкрепа на ликвидността и платежоспособността </w:t>
      </w:r>
    </w:p>
    <w:p w:rsidR="0082322A" w:rsidRDefault="00E13152">
      <w:pPr>
        <w:pBdr>
          <w:top w:val="nil"/>
          <w:left w:val="nil"/>
          <w:bottom w:val="nil"/>
          <w:right w:val="nil"/>
          <w:between w:val="nil"/>
          <w:bar w:val="nil"/>
        </w:pBdr>
        <w:spacing w:before="120" w:after="120"/>
        <w:rPr>
          <w:rFonts w:eastAsia="DengXian"/>
          <w:noProof/>
        </w:rPr>
      </w:pPr>
      <w:r>
        <w:rPr>
          <w:noProof/>
        </w:rPr>
        <w:t xml:space="preserve">Дали европейските икономики ще се </w:t>
      </w:r>
      <w:r>
        <w:rPr>
          <w:noProof/>
        </w:rPr>
        <w:t>завърнат към растежа ще зависи от устойчивостта и приспособимостта на частния сектор. Редица по принцип жизнеспособни фирми изпитват сериозни проблеми с ликвидността и платежоспособността вследствие на кризата. Според прогнозите на Комисията при неблагопри</w:t>
      </w:r>
      <w:r>
        <w:rPr>
          <w:noProof/>
        </w:rPr>
        <w:t>ятен сценарий между 35 % и 50 % от предприятията с над 20 служители биха могли да изпитат недостиг на финансиране до края на годината. Само за тази година недостигът на средства на капиталовия пазар би могъл да бъде между 720 млрд. евро и 1,2 трилиона евро</w:t>
      </w:r>
      <w:r>
        <w:rPr>
          <w:noProof/>
        </w:rPr>
        <w:t>. При криза от такъв мащаб подкрепата, която държавите членки предоставят в момента, няма да бъде достатъчна. Освен това отделните държави членки разполагат с различни възможности за подкрепа на своите дружества.  Поради това е нужно спешно да се помогне н</w:t>
      </w:r>
      <w:r>
        <w:rPr>
          <w:noProof/>
        </w:rPr>
        <w:t>а тези дружества да се справят с кризата, за да се избегне порочният кръг на икономическите щети и фалитите на фирми и да се проправи пътят за стабилно възстановяване на единния пазар.</w:t>
      </w:r>
    </w:p>
    <w:p w:rsidR="0082322A" w:rsidRDefault="00E13152">
      <w:pPr>
        <w:spacing w:before="120" w:after="120"/>
        <w:rPr>
          <w:rFonts w:eastAsia="Arial Unicode MS"/>
          <w:noProof/>
          <w:color w:val="000000"/>
          <w:szCs w:val="24"/>
          <w:bdr w:val="none" w:sz="0" w:space="0" w:color="auto" w:frame="1"/>
        </w:rPr>
      </w:pPr>
      <w:r>
        <w:rPr>
          <w:noProof/>
          <w:color w:val="000000"/>
          <w:szCs w:val="24"/>
          <w:bdr w:val="none" w:sz="0" w:space="0" w:color="auto" w:frame="1"/>
        </w:rPr>
        <w:t xml:space="preserve">В отговор на тази ситуация Комисията предлага нов </w:t>
      </w:r>
      <w:r>
        <w:rPr>
          <w:b/>
          <w:noProof/>
          <w:color w:val="000000"/>
          <w:szCs w:val="24"/>
          <w:bdr w:val="none" w:sz="0" w:space="0" w:color="auto" w:frame="1"/>
        </w:rPr>
        <w:t>Инструмент за подкреп</w:t>
      </w:r>
      <w:r>
        <w:rPr>
          <w:b/>
          <w:noProof/>
          <w:color w:val="000000"/>
          <w:szCs w:val="24"/>
          <w:bdr w:val="none" w:sz="0" w:space="0" w:color="auto" w:frame="1"/>
        </w:rPr>
        <w:t>а на платежоспособността</w:t>
      </w:r>
      <w:r>
        <w:rPr>
          <w:noProof/>
          <w:color w:val="000000"/>
          <w:szCs w:val="24"/>
          <w:bdr w:val="none" w:sz="0" w:space="0" w:color="auto" w:frame="1"/>
        </w:rPr>
        <w:t>, който да способства за мобилизирането на частни ресурси, чрез които незабавно да се подпомогнат европейските предприятия, които при други обстоятелства биха били жизнеспособни, да се справят с непосредствените затруднения с ликвид</w:t>
      </w:r>
      <w:r>
        <w:rPr>
          <w:noProof/>
          <w:color w:val="000000"/>
          <w:szCs w:val="24"/>
          <w:bdr w:val="none" w:sz="0" w:space="0" w:color="auto" w:frame="1"/>
        </w:rPr>
        <w:t>ността и платежоспособността. Инструментът ще бъде с временен характер и ще бъде насочен изключително и само към овладяването на икономическите последици, до които пандемията доведе. Той ще допринесе да се избегнат огромният недостиг на капитали и евентуал</w:t>
      </w:r>
      <w:r>
        <w:rPr>
          <w:noProof/>
          <w:color w:val="000000"/>
          <w:szCs w:val="24"/>
          <w:bdr w:val="none" w:sz="0" w:space="0" w:color="auto" w:frame="1"/>
        </w:rPr>
        <w:t>ните фалити на фирми, които при други обстоятелства биха продължили да бъдат стабилни, и да се предотвратят тежките икономически щети, които това би нанесло. Тези мерки за бързо действие ще бъдат допълнени от по-дългосрочна подкрепа по линия на програми ка</w:t>
      </w:r>
      <w:r>
        <w:rPr>
          <w:noProof/>
          <w:color w:val="000000"/>
          <w:szCs w:val="24"/>
          <w:bdr w:val="none" w:sz="0" w:space="0" w:color="auto" w:frame="1"/>
        </w:rPr>
        <w:t xml:space="preserve">то InvestEU, политиката на сближаване и програмата за единния пазар. </w:t>
      </w:r>
    </w:p>
    <w:p w:rsidR="0082322A" w:rsidRDefault="00E13152">
      <w:pPr>
        <w:spacing w:before="100" w:beforeAutospacing="1" w:after="100" w:afterAutospacing="1"/>
        <w:rPr>
          <w:noProof/>
          <w:szCs w:val="24"/>
        </w:rPr>
      </w:pPr>
      <w:r>
        <w:rPr>
          <w:noProof/>
        </w:rPr>
        <w:t>Новият временен инструмент ще бъде създаден в рамките на ЕФСИ. Той ще мобилизира частни инвестиции в изпитващи затруднения дружества посредством предоставянето на частични гаранции срещу</w:t>
      </w:r>
      <w:r>
        <w:rPr>
          <w:noProof/>
        </w:rPr>
        <w:t xml:space="preserve"> загуби. Чрез заделените от бюджета за 2020 г. по линия на настоящата финансова рамка 5 млрд. евро за бързото въвеждане на инструмента, както и допълнителни 26 млрд. евро от инструмента Next Generation EU, бюджетът на Съюза ще предостави на групата на Евро</w:t>
      </w:r>
      <w:r>
        <w:rPr>
          <w:noProof/>
        </w:rPr>
        <w:t>пейската инвестиционна банка гаранция в размер около 75 млрд. евро, което ще осигури своевременното практическо изпълнение. Целта на инструмента ще бъде да осигури инвестиции в размер на 300 млрд. евро под формата на подкрепа за платежоспособността.</w:t>
      </w:r>
    </w:p>
    <w:p w:rsidR="0082322A" w:rsidRDefault="00E13152">
      <w:pPr>
        <w:spacing w:before="100" w:beforeAutospacing="1" w:after="100" w:afterAutospacing="1"/>
        <w:rPr>
          <w:noProof/>
        </w:rPr>
      </w:pPr>
      <w:r>
        <w:rPr>
          <w:noProof/>
        </w:rPr>
        <w:t>Гаранц</w:t>
      </w:r>
      <w:r>
        <w:rPr>
          <w:noProof/>
        </w:rPr>
        <w:t>ията ще бъде разработена по начин, който да гарантира, че инвестициите се насочват към дружествата, които изпитват най-остра нужда от капитал във всички държави членки и сектори, като специално внимание ще се обърне на държавите членки с най-малко възможно</w:t>
      </w:r>
      <w:r>
        <w:rPr>
          <w:noProof/>
        </w:rPr>
        <w:t>сти за намеса чрез държавна помощ, както и на държавите членки и секторите, в които икономическите последици от COVID-19 са най-тежки. Това е от съществено значение за запазването на равните условия на конкуренция в рамките на единния пазар, както и за пре</w:t>
      </w:r>
      <w:r>
        <w:rPr>
          <w:noProof/>
        </w:rPr>
        <w:t>дотвратяване на допълнителното задълбочаване на нежеланите икономически различия в рамките на Съюза. Специално внимание следва да се обърне на състоянието на капитала на институциите, прилагащи Инструмента за подкрепа на платежоспособността.</w:t>
      </w:r>
    </w:p>
    <w:p w:rsidR="0082322A" w:rsidRDefault="00E13152">
      <w:pPr>
        <w:spacing w:before="120" w:after="120"/>
        <w:rPr>
          <w:noProof/>
        </w:rPr>
      </w:pPr>
      <w:r>
        <w:rPr>
          <w:noProof/>
        </w:rPr>
        <w:t>Също така ще с</w:t>
      </w:r>
      <w:r>
        <w:rPr>
          <w:noProof/>
        </w:rPr>
        <w:t>е увеличи капиталът на Европейския инвестиционен фонд като допълнителна мярка, чрез която да се окаже подкрепа на широк кръг малки и средни предприятия, включително посредством Инструмента за подкрепа на платежоспособността. Това ще допринесе за изграждане</w:t>
      </w:r>
      <w:r>
        <w:rPr>
          <w:noProof/>
        </w:rPr>
        <w:t>то на комплексен пакет от мерки за възстановяването на Европа, също така във връзка с мерките, договорени от Европейския съвет през април. Увеличението на капитала в размер до 1,5 млрд. евро ще бъде финансирано както по линия на настоящата, така и на следв</w:t>
      </w:r>
      <w:r>
        <w:rPr>
          <w:noProof/>
        </w:rPr>
        <w:t>ащата многогодишна финансова рамка.</w:t>
      </w:r>
    </w:p>
    <w:p w:rsidR="0082322A" w:rsidRDefault="00E13152">
      <w:pPr>
        <w:keepNext/>
        <w:numPr>
          <w:ilvl w:val="0"/>
          <w:numId w:val="31"/>
        </w:numPr>
        <w:spacing w:before="120" w:after="120" w:line="264" w:lineRule="auto"/>
        <w:contextualSpacing/>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Укрепване на инвестиционния капацитет и стратегическата автономност</w:t>
      </w:r>
    </w:p>
    <w:p w:rsidR="0082322A" w:rsidRDefault="00E13152">
      <w:pPr>
        <w:spacing w:before="100" w:beforeAutospacing="1" w:after="100" w:afterAutospacing="1"/>
        <w:rPr>
          <w:noProof/>
        </w:rPr>
      </w:pPr>
      <w:r>
        <w:rPr>
          <w:noProof/>
          <w:color w:val="000000"/>
          <w:szCs w:val="24"/>
          <w:u w:color="000000"/>
          <w:bdr w:val="nil"/>
        </w:rPr>
        <w:t>Кризата ще нанесе тежък удар върху частните инвестиции: според анализа на Комисията инвестициите от частния сектор може да намалеят с над 1 трилион евро</w:t>
      </w:r>
      <w:r>
        <w:rPr>
          <w:noProof/>
          <w:color w:val="000000"/>
          <w:szCs w:val="24"/>
          <w:u w:color="000000"/>
          <w:bdr w:val="nil"/>
        </w:rPr>
        <w:t xml:space="preserve"> през периода 2020—2021 г. Посрещането на инвестиционните нужди на европейската икономика изисква неотложни действия, които да преобърнат тенденцията и да осигурят условия за инвестиции, които да се превърнат в основа на възстановяването. </w:t>
      </w:r>
      <w:r>
        <w:rPr>
          <w:noProof/>
        </w:rPr>
        <w:t>Инвестициите са о</w:t>
      </w:r>
      <w:r>
        <w:rPr>
          <w:noProof/>
        </w:rPr>
        <w:t>собено важни за успеха на екологичния и цифровия преход на Европа — според прогнозите на Комисията инвестиционните нужди за този двоен преход възлизат на поне 1,2 трилиона евро за същия период. Ключът към бъдещето на Европа са инвестициите във възлови сект</w:t>
      </w:r>
      <w:r>
        <w:rPr>
          <w:noProof/>
        </w:rPr>
        <w:t>ори и технологии, от 5G до изкуствения интелект и от чистия водород до енергията от възобновяеми източници в морето.</w:t>
      </w:r>
    </w:p>
    <w:p w:rsidR="0082322A" w:rsidRDefault="00E13152">
      <w:pPr>
        <w:spacing w:before="100" w:beforeAutospacing="1" w:after="100" w:afterAutospacing="1"/>
        <w:rPr>
          <w:noProof/>
        </w:rPr>
      </w:pPr>
      <w:r>
        <w:rPr>
          <w:noProof/>
        </w:rPr>
        <w:t xml:space="preserve">Програмата </w:t>
      </w:r>
      <w:r>
        <w:rPr>
          <w:b/>
          <w:noProof/>
        </w:rPr>
        <w:t>InvestEU</w:t>
      </w:r>
      <w:r>
        <w:rPr>
          <w:noProof/>
        </w:rPr>
        <w:t xml:space="preserve"> е изключително подходяща за мобилизирането на инвестиции и предоставянето на подкрепа за политиките на Съюза по време н</w:t>
      </w:r>
      <w:r>
        <w:rPr>
          <w:noProof/>
        </w:rPr>
        <w:t>а възстановяването от дълбока икономическа криза. За това свидетелства опитът при използването на Европейския фонд за стратегически инвестиции и на финансовите инструменти при миналата финансова криза.</w:t>
      </w:r>
    </w:p>
    <w:p w:rsidR="0082322A" w:rsidRDefault="00E13152">
      <w:pPr>
        <w:spacing w:before="100" w:beforeAutospacing="1" w:after="100" w:afterAutospacing="1"/>
        <w:rPr>
          <w:noProof/>
        </w:rPr>
      </w:pPr>
      <w:r>
        <w:rPr>
          <w:noProof/>
        </w:rPr>
        <w:t xml:space="preserve">Поради това Комисията предлага програмата </w:t>
      </w:r>
      <w:r>
        <w:rPr>
          <w:b/>
          <w:bCs/>
          <w:noProof/>
        </w:rPr>
        <w:t>InvestEU</w:t>
      </w:r>
      <w:r>
        <w:rPr>
          <w:noProof/>
        </w:rPr>
        <w:t xml:space="preserve"> да </w:t>
      </w:r>
      <w:r>
        <w:rPr>
          <w:noProof/>
        </w:rPr>
        <w:t>бъде подсилена до размер от 15,3 млрд. евро за четирите компонента, които вече са договорени от съзаконодателите. Това на свой ред би могло да мобилизира инвестиции в размер на над 240 млрд. евро.</w:t>
      </w:r>
    </w:p>
    <w:p w:rsidR="0082322A" w:rsidRDefault="00E13152">
      <w:pPr>
        <w:spacing w:before="120" w:after="120"/>
        <w:rPr>
          <w:rFonts w:eastAsia="DengXian"/>
          <w:noProof/>
          <w:szCs w:val="24"/>
        </w:rPr>
      </w:pPr>
      <w:r>
        <w:rPr>
          <w:noProof/>
        </w:rPr>
        <w:t>InvestEU ще предостави решаваща подкрепа на дружествата във</w:t>
      </w:r>
      <w:r>
        <w:rPr>
          <w:noProof/>
        </w:rPr>
        <w:t xml:space="preserve"> фазата на възстановяването и ще насочи частните инвеститори по-специално към средносрочните и дългосрочните приоритети на политиките на Съюза, и по-конкретно Европейския зелен пакт и цифровизацията. Програмата ще доведе до увеличен капацитет за поемане на</w:t>
      </w:r>
      <w:r>
        <w:rPr>
          <w:noProof/>
        </w:rPr>
        <w:t xml:space="preserve"> риск от страна на групата на Европейската инвестиционна банка и на националните насърчителни банки в подкрепа на икономическото възстановяване. Чрез мобилизирането на значителни по размер частни инвестиции тя ще допълни непосредствената подкрепа, предоста</w:t>
      </w:r>
      <w:r>
        <w:rPr>
          <w:noProof/>
        </w:rPr>
        <w:t>вяна от инструмента за подкрепа за платежоспособността и REACT-EU през първата фаза на преодоляване на кризата, както и финансирането по линия на бъдещата рамка на политиката на сближаване и други програми.</w:t>
      </w:r>
    </w:p>
    <w:p w:rsidR="0082322A" w:rsidRDefault="00E13152">
      <w:pPr>
        <w:keepNext/>
        <w:spacing w:before="100" w:beforeAutospacing="1" w:after="100" w:afterAutospacing="1"/>
        <w:rPr>
          <w:i/>
          <w:noProof/>
          <w:szCs w:val="24"/>
        </w:rPr>
      </w:pPr>
      <w:r>
        <w:rPr>
          <w:i/>
          <w:noProof/>
          <w:szCs w:val="24"/>
        </w:rPr>
        <w:t xml:space="preserve">Инвестиране в стратегическа автономност: нов </w:t>
      </w:r>
      <w:r>
        <w:rPr>
          <w:i/>
          <w:noProof/>
          <w:szCs w:val="24"/>
        </w:rPr>
        <w:t>Механизъм за стратегически инвестиции</w:t>
      </w:r>
    </w:p>
    <w:p w:rsidR="0082322A" w:rsidRDefault="00E13152">
      <w:pPr>
        <w:spacing w:before="100" w:beforeAutospacing="1" w:after="100" w:afterAutospacing="1"/>
        <w:rPr>
          <w:noProof/>
        </w:rPr>
      </w:pPr>
      <w:r>
        <w:rPr>
          <w:noProof/>
        </w:rPr>
        <w:t>Една от основните характеристики на InvestEU ще бъде новият механизъм за повишаване на устойчивостта на Европа чрез изграждане на стратегическа автономност при жизненоважни вериги на доставки на европейско равнище.</w:t>
      </w:r>
    </w:p>
    <w:p w:rsidR="0082322A" w:rsidRDefault="00E13152">
      <w:pPr>
        <w:spacing w:before="100" w:beforeAutospacing="1" w:after="100" w:afterAutospacing="1"/>
        <w:rPr>
          <w:noProof/>
          <w:szCs w:val="24"/>
        </w:rPr>
      </w:pPr>
      <w:r>
        <w:rPr>
          <w:b/>
          <w:noProof/>
          <w:szCs w:val="24"/>
        </w:rPr>
        <w:t>Мех</w:t>
      </w:r>
      <w:r>
        <w:rPr>
          <w:b/>
          <w:noProof/>
          <w:szCs w:val="24"/>
        </w:rPr>
        <w:t>анизмът за стратегически инвестиции</w:t>
      </w:r>
      <w:r>
        <w:rPr>
          <w:noProof/>
        </w:rPr>
        <w:t xml:space="preserve"> ще бъде създаден като допълнителен компонент в рамките на InvestEU. Той ще подкрепя проекти, допринасящи за изграждането на силни и устойчиви вериги за създаване на стойност и ще укрепи независимостта на единния пазар на</w:t>
      </w:r>
      <w:r>
        <w:rPr>
          <w:noProof/>
        </w:rPr>
        <w:t xml:space="preserve"> Съюза, като същевременно ще продължи да бъде отворен към конкуренция и търговия, съобразени с неговите правила. Това ще повиши устойчивостта на икономиката на Съюза, като същевременно ще осигури ресурсите, които са необходими за просперитета и развитието </w:t>
      </w:r>
      <w:r>
        <w:rPr>
          <w:noProof/>
        </w:rPr>
        <w:t>в рамките на ЕС на дружествата от стратегическо значение. Подкрепата на държавите членки за тези проекти вероятно няма да бъде достатъчна, а силното презгранично измерение означава, че координираният европейски подход е от жизненоважно значение за постиган</w:t>
      </w:r>
      <w:r>
        <w:rPr>
          <w:noProof/>
        </w:rPr>
        <w:t>ето на успех.</w:t>
      </w:r>
    </w:p>
    <w:p w:rsidR="0082322A" w:rsidRDefault="00E13152">
      <w:pPr>
        <w:pBdr>
          <w:top w:val="nil"/>
          <w:left w:val="nil"/>
          <w:bottom w:val="nil"/>
          <w:right w:val="nil"/>
          <w:between w:val="nil"/>
          <w:bar w:val="nil"/>
        </w:pBdr>
        <w:spacing w:before="120" w:after="120"/>
        <w:rPr>
          <w:rFonts w:eastAsia="Arial Unicode MS"/>
          <w:b/>
          <w:i/>
          <w:noProof/>
          <w:color w:val="000000"/>
          <w:szCs w:val="24"/>
          <w:u w:color="000000"/>
          <w:bdr w:val="nil"/>
        </w:rPr>
      </w:pPr>
      <w:r>
        <w:rPr>
          <w:noProof/>
        </w:rPr>
        <w:t>Със средства в размер на 15 млрд. евро от инструмента Next Generation EU новият механизъм ще предостави гаранция от бюджета на ЕС в размер на 31,5 млрд. евро и би могъл да генерира инвестиции в размер до 150 млрд. евро, които да стимулират во</w:t>
      </w:r>
      <w:r>
        <w:rPr>
          <w:noProof/>
        </w:rPr>
        <w:t>дещата позиция на Европа в промишлени отрасли от стратегическо значение и възлови вериги за създаване на стойност, включително онези, които са от решаващо значение за двойния екологичен и цифров преход. Допълнителният компонент ще гарантира, че с тези инве</w:t>
      </w:r>
      <w:r>
        <w:rPr>
          <w:noProof/>
        </w:rPr>
        <w:t>стиции се оползотворява пълноценно потенциалът на единния пазар, тъй като гаранцията от бюджета на ЕС ще осигури подкрепа за дружества от цялата европейската икономика и ще се превърне в мощен инструмент за възстановяването.</w:t>
      </w:r>
    </w:p>
    <w:p w:rsidR="0082322A" w:rsidRDefault="00E13152">
      <w:pPr>
        <w:keepNext/>
        <w:numPr>
          <w:ilvl w:val="0"/>
          <w:numId w:val="40"/>
        </w:numPr>
        <w:spacing w:before="120" w:after="120" w:line="264" w:lineRule="auto"/>
        <w:contextualSpacing/>
        <w:rPr>
          <w:rFonts w:eastAsia="Arial Unicode MS"/>
          <w:b/>
          <w:noProof/>
          <w:color w:val="000000"/>
          <w:szCs w:val="24"/>
          <w:u w:val="single" w:color="000000"/>
          <w:bdr w:val="nil"/>
          <w:lang w:eastAsia="nl-BE"/>
        </w:rPr>
      </w:pPr>
      <w:r>
        <w:rPr>
          <w:rFonts w:eastAsiaTheme="minorEastAsia" w:cstheme="minorBidi"/>
          <w:b/>
          <w:noProof/>
          <w:color w:val="000000"/>
          <w:szCs w:val="24"/>
          <w:u w:val="single" w:color="000000"/>
          <w:bdr w:val="nil"/>
          <w:lang w:eastAsia="nl-BE"/>
        </w:rPr>
        <w:t>Поуки от кризата и преодоляване</w:t>
      </w:r>
      <w:r>
        <w:rPr>
          <w:rFonts w:eastAsiaTheme="minorEastAsia" w:cstheme="minorBidi"/>
          <w:b/>
          <w:noProof/>
          <w:color w:val="000000"/>
          <w:szCs w:val="24"/>
          <w:u w:val="single" w:color="000000"/>
          <w:bdr w:val="nil"/>
          <w:lang w:eastAsia="nl-BE"/>
        </w:rPr>
        <w:t xml:space="preserve"> на стратегическите предизвикателства пред Европа</w:t>
      </w:r>
    </w:p>
    <w:p w:rsidR="0082322A" w:rsidRDefault="00E13152">
      <w:pPr>
        <w:pBdr>
          <w:top w:val="single" w:sz="18" w:space="1" w:color="5F68AB" w:themeColor="accent3"/>
          <w:left w:val="single" w:sz="18" w:space="4" w:color="5F68AB" w:themeColor="accent3"/>
          <w:bottom w:val="single" w:sz="18" w:space="1" w:color="5F68AB" w:themeColor="accent3"/>
          <w:right w:val="single" w:sz="18" w:space="4" w:color="5F68AB" w:themeColor="accent3"/>
        </w:pBdr>
        <w:spacing w:before="120" w:after="120"/>
        <w:rPr>
          <w:rFonts w:eastAsia="Arial Unicode MS" w:cs="Arial Unicode MS"/>
          <w:i/>
          <w:noProof/>
          <w:color w:val="000000"/>
          <w:szCs w:val="24"/>
          <w:u w:color="000000"/>
          <w:bdr w:val="nil"/>
        </w:rPr>
      </w:pPr>
      <w:r>
        <w:rPr>
          <w:i/>
          <w:noProof/>
          <w:color w:val="000000"/>
          <w:szCs w:val="24"/>
          <w:u w:color="000000"/>
          <w:bdr w:val="nil"/>
          <w:lang w:val="fr-BE" w:eastAsia="fr-BE"/>
        </w:rPr>
        <w:drawing>
          <wp:anchor distT="0" distB="0" distL="114300" distR="114300" simplePos="0" relativeHeight="251661824" behindDoc="0" locked="0" layoutInCell="1" allowOverlap="1">
            <wp:simplePos x="0" y="0"/>
            <wp:positionH relativeFrom="column">
              <wp:posOffset>5099490</wp:posOffset>
            </wp:positionH>
            <wp:positionV relativeFrom="paragraph">
              <wp:posOffset>119380</wp:posOffset>
            </wp:positionV>
            <wp:extent cx="722073" cy="723600"/>
            <wp:effectExtent l="0" t="0" r="0" b="0"/>
            <wp:wrapSquare wrapText="bothSides"/>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2073" cy="723600"/>
                    </a:xfrm>
                    <a:prstGeom prst="rect">
                      <a:avLst/>
                    </a:prstGeom>
                  </pic:spPr>
                </pic:pic>
              </a:graphicData>
            </a:graphic>
            <wp14:sizeRelH relativeFrom="page">
              <wp14:pctWidth>0</wp14:pctWidth>
            </wp14:sizeRelH>
            <wp14:sizeRelV relativeFrom="page">
              <wp14:pctHeight>0</wp14:pctHeight>
            </wp14:sizeRelV>
          </wp:anchor>
        </w:drawing>
      </w:r>
      <w:r>
        <w:rPr>
          <w:i/>
          <w:noProof/>
        </w:rPr>
        <w:t>Кризата подчерта значението на европейското сътрудничество и ясно показа, че Съюзът трябва спешно да изгради капацитет за реагиране при кризи и да осигури устойчивост при бъдещи сътресения</w:t>
      </w:r>
      <w:r>
        <w:rPr>
          <w:noProof/>
        </w:rPr>
        <w:t>.</w:t>
      </w:r>
      <w:r>
        <w:rPr>
          <w:i/>
          <w:noProof/>
          <w:color w:val="000000"/>
          <w:szCs w:val="24"/>
          <w:u w:color="000000"/>
          <w:bdr w:val="nil"/>
        </w:rPr>
        <w:t xml:space="preserve"> Комисията предл</w:t>
      </w:r>
      <w:r>
        <w:rPr>
          <w:i/>
          <w:noProof/>
          <w:color w:val="000000"/>
          <w:szCs w:val="24"/>
          <w:u w:color="000000"/>
          <w:bdr w:val="nil"/>
        </w:rPr>
        <w:t>ага нова програма „</w:t>
      </w:r>
      <w:r>
        <w:rPr>
          <w:b/>
          <w:i/>
          <w:noProof/>
          <w:color w:val="000000"/>
          <w:szCs w:val="24"/>
          <w:u w:color="000000"/>
          <w:bdr w:val="nil"/>
        </w:rPr>
        <w:t>ЕС в подкрепа на здравето</w:t>
      </w:r>
      <w:r>
        <w:rPr>
          <w:i/>
          <w:noProof/>
          <w:color w:val="000000"/>
          <w:szCs w:val="24"/>
          <w:u w:color="000000"/>
          <w:bdr w:val="nil"/>
        </w:rPr>
        <w:t xml:space="preserve">“, която да подпомага на здравната сигурност и подготвеността при бъдещи здравни кризи. </w:t>
      </w:r>
      <w:r>
        <w:rPr>
          <w:b/>
          <w:i/>
          <w:noProof/>
          <w:color w:val="000000"/>
          <w:szCs w:val="24"/>
          <w:u w:color="000000"/>
          <w:bdr w:val="nil"/>
        </w:rPr>
        <w:t>RescEU</w:t>
      </w:r>
      <w:r>
        <w:rPr>
          <w:i/>
          <w:noProof/>
          <w:color w:val="000000"/>
          <w:szCs w:val="24"/>
          <w:u w:color="000000"/>
          <w:bdr w:val="nil"/>
        </w:rPr>
        <w:t xml:space="preserve">, </w:t>
      </w:r>
      <w:r>
        <w:rPr>
          <w:b/>
          <w:i/>
          <w:noProof/>
          <w:color w:val="000000"/>
          <w:szCs w:val="24"/>
          <w:u w:color="000000"/>
          <w:bdr w:val="nil"/>
        </w:rPr>
        <w:t>Механизмът на ЕС за гражданска защита</w:t>
      </w:r>
      <w:r>
        <w:rPr>
          <w:i/>
          <w:noProof/>
          <w:color w:val="000000"/>
          <w:szCs w:val="24"/>
          <w:u w:color="000000"/>
          <w:bdr w:val="nil"/>
        </w:rPr>
        <w:t>, ще бъде разширен и укрепен, за да може Съюзът да се подготви и да реагира при</w:t>
      </w:r>
      <w:r>
        <w:rPr>
          <w:i/>
          <w:noProof/>
          <w:color w:val="000000"/>
          <w:szCs w:val="24"/>
          <w:u w:color="000000"/>
          <w:bdr w:val="nil"/>
        </w:rPr>
        <w:t xml:space="preserve"> бъдещи кризи. </w:t>
      </w:r>
      <w:r>
        <w:rPr>
          <w:i/>
          <w:iCs/>
          <w:noProof/>
        </w:rPr>
        <w:t>Ще бъде отредена засилена роля на програмата „</w:t>
      </w:r>
      <w:r>
        <w:rPr>
          <w:b/>
          <w:i/>
          <w:iCs/>
          <w:noProof/>
        </w:rPr>
        <w:t>Хоризонт Европа</w:t>
      </w:r>
      <w:r>
        <w:rPr>
          <w:i/>
          <w:iCs/>
          <w:noProof/>
        </w:rPr>
        <w:t>“,</w:t>
      </w:r>
      <w:r>
        <w:rPr>
          <w:i/>
          <w:noProof/>
        </w:rPr>
        <w:t xml:space="preserve"> насочена към финансирането на жизненоважни научни изследвания в областта на здравето, устойчивостта и екологичния и цифровия преход.</w:t>
      </w:r>
      <w:r>
        <w:rPr>
          <w:i/>
          <w:noProof/>
          <w:color w:val="000000"/>
          <w:szCs w:val="24"/>
          <w:u w:color="000000"/>
          <w:bdr w:val="nil"/>
        </w:rPr>
        <w:t xml:space="preserve"> Други програми на ЕС, включително неговите в</w:t>
      </w:r>
      <w:r>
        <w:rPr>
          <w:i/>
          <w:noProof/>
          <w:color w:val="000000"/>
          <w:szCs w:val="24"/>
          <w:u w:color="000000"/>
          <w:bdr w:val="nil"/>
        </w:rPr>
        <w:t xml:space="preserve">ъншни инструменти, ще бъдат подсилени, за да се гарантира пълното съответствие на бъдещата финансова рамка с нуждите от възстановяване, а специалните инструменти ще бъдат укрепени, за да стане бюджетът на </w:t>
      </w:r>
      <w:r>
        <w:rPr>
          <w:b/>
          <w:i/>
          <w:noProof/>
          <w:color w:val="000000"/>
          <w:szCs w:val="24"/>
          <w:u w:color="000000"/>
          <w:bdr w:val="nil"/>
        </w:rPr>
        <w:t xml:space="preserve">ЕС по-гъвкав и да разполага с по-добри възможности </w:t>
      </w:r>
      <w:r>
        <w:rPr>
          <w:b/>
          <w:i/>
          <w:noProof/>
          <w:color w:val="000000"/>
          <w:szCs w:val="24"/>
          <w:u w:color="000000"/>
          <w:bdr w:val="nil"/>
        </w:rPr>
        <w:t>за отклик на нуждите</w:t>
      </w:r>
      <w:r>
        <w:rPr>
          <w:i/>
          <w:noProof/>
          <w:color w:val="000000"/>
          <w:szCs w:val="24"/>
          <w:u w:color="000000"/>
          <w:bdr w:val="nil"/>
        </w:rPr>
        <w:t xml:space="preserve">. </w:t>
      </w:r>
    </w:p>
    <w:p w:rsidR="0082322A" w:rsidRDefault="00E13152">
      <w:pPr>
        <w:keepNext/>
        <w:numPr>
          <w:ilvl w:val="0"/>
          <w:numId w:val="31"/>
        </w:numPr>
        <w:spacing w:before="120" w:after="120" w:line="264" w:lineRule="auto"/>
        <w:rPr>
          <w:rFonts w:eastAsia="Arial Unicode MS"/>
          <w:b/>
          <w:i/>
          <w:noProof/>
          <w:color w:val="000000"/>
          <w:szCs w:val="24"/>
          <w:u w:color="000000"/>
          <w:bdr w:val="nil"/>
          <w:lang w:eastAsia="nl-BE"/>
        </w:rPr>
      </w:pPr>
      <w:r>
        <w:rPr>
          <w:rFonts w:eastAsiaTheme="minorEastAsia" w:cstheme="minorBidi"/>
          <w:b/>
          <w:i/>
          <w:noProof/>
          <w:color w:val="000000"/>
          <w:szCs w:val="24"/>
          <w:u w:color="000000"/>
          <w:bdr w:val="nil"/>
          <w:lang w:eastAsia="nl-BE"/>
        </w:rPr>
        <w:t>Нови и засилени програми за изграждане на устойчивост и укрепване на сътрудничеството</w:t>
      </w:r>
    </w:p>
    <w:p w:rsidR="0082322A" w:rsidRDefault="00E13152">
      <w:pPr>
        <w:spacing w:before="100" w:beforeAutospacing="1" w:after="100" w:afterAutospacing="1"/>
        <w:rPr>
          <w:noProof/>
        </w:rPr>
      </w:pPr>
      <w:r>
        <w:rPr>
          <w:noProof/>
        </w:rPr>
        <w:t>Инструментът Next Generation EU ще предостави целенасочена подкрепа за ключовите програми, които са в основата на растежа на Европа и възможностите</w:t>
      </w:r>
      <w:r>
        <w:rPr>
          <w:noProof/>
        </w:rPr>
        <w:t xml:space="preserve"> ѝ да устоява на бъдещи кризи и да ги преодолява. Тези мерки за укрепване допълват първоначалните предложения на Комисията за бъдещата рамка, които продължават да бъдат разумна и балансирана основа за постигането на споразумение.</w:t>
      </w:r>
    </w:p>
    <w:p w:rsidR="0082322A" w:rsidRDefault="00E13152">
      <w:pPr>
        <w:keepNext/>
        <w:spacing w:before="100" w:beforeAutospacing="1" w:after="100" w:afterAutospacing="1"/>
        <w:rPr>
          <w:i/>
          <w:noProof/>
          <w:szCs w:val="24"/>
        </w:rPr>
      </w:pPr>
      <w:r>
        <w:rPr>
          <w:i/>
          <w:noProof/>
          <w:szCs w:val="24"/>
        </w:rPr>
        <w:t>Нова програма за укрепване</w:t>
      </w:r>
      <w:r>
        <w:rPr>
          <w:i/>
          <w:noProof/>
          <w:szCs w:val="24"/>
        </w:rPr>
        <w:t xml:space="preserve"> на здравната сигурност и на сътрудничеството</w:t>
      </w:r>
    </w:p>
    <w:p w:rsidR="0082322A" w:rsidRDefault="00E13152">
      <w:pPr>
        <w:spacing w:before="120" w:after="120"/>
        <w:rPr>
          <w:rFonts w:eastAsia="Calibri"/>
          <w:noProof/>
          <w:szCs w:val="24"/>
        </w:rPr>
      </w:pPr>
      <w:r>
        <w:rPr>
          <w:noProof/>
          <w:color w:val="000000"/>
          <w:szCs w:val="24"/>
          <w:bdr w:val="none" w:sz="0" w:space="0" w:color="auto" w:frame="1"/>
        </w:rPr>
        <w:t xml:space="preserve">Кризата показа, че бъдещата финансова рамка трябва да даде по-голям приоритет на финансирането за здравеопазване. </w:t>
      </w:r>
      <w:r>
        <w:rPr>
          <w:noProof/>
          <w:color w:val="000000"/>
          <w:szCs w:val="24"/>
        </w:rPr>
        <w:t>Комисията предлага амбициозна самостоятелна програма „</w:t>
      </w:r>
      <w:r>
        <w:rPr>
          <w:b/>
          <w:noProof/>
          <w:color w:val="000000"/>
          <w:szCs w:val="24"/>
        </w:rPr>
        <w:t>ЕС в подкрепа на здравето</w:t>
      </w:r>
      <w:r>
        <w:rPr>
          <w:noProof/>
          <w:color w:val="000000"/>
          <w:szCs w:val="24"/>
        </w:rPr>
        <w:t xml:space="preserve">“, за да осигури </w:t>
      </w:r>
      <w:r>
        <w:rPr>
          <w:noProof/>
          <w:color w:val="000000"/>
          <w:szCs w:val="24"/>
        </w:rPr>
        <w:t xml:space="preserve">специална подкрепа за преодоляването на очертаните в оценката на потребностите бъдещи предизвикателства в тази област. </w:t>
      </w:r>
      <w:r>
        <w:rPr>
          <w:noProof/>
        </w:rPr>
        <w:t>Предложението предвижда финансиране за новата програма в размер на 9,4 млрд. евро, което представлява значително увеличение в сравнение с</w:t>
      </w:r>
      <w:r>
        <w:rPr>
          <w:noProof/>
        </w:rPr>
        <w:t xml:space="preserve"> предходните предложения по линия на Европейския социален фонд +.</w:t>
      </w:r>
    </w:p>
    <w:p w:rsidR="0082322A" w:rsidRDefault="00E13152">
      <w:pPr>
        <w:spacing w:before="120" w:after="120"/>
        <w:rPr>
          <w:rFonts w:eastAsia="Calibri"/>
          <w:noProof/>
          <w:color w:val="000000"/>
          <w:szCs w:val="24"/>
        </w:rPr>
      </w:pPr>
      <w:r>
        <w:rPr>
          <w:noProof/>
          <w:color w:val="000000"/>
          <w:szCs w:val="24"/>
        </w:rPr>
        <w:t xml:space="preserve">Новата програма ще помогне да се гарантира, че при бъдещи здравни кризи Съюзът разполага с критично важен капацитет за реакция, която е своевременна и в необходимия мащаб. </w:t>
      </w:r>
      <w:r>
        <w:rPr>
          <w:noProof/>
        </w:rPr>
        <w:t xml:space="preserve">Програмата ще има </w:t>
      </w:r>
      <w:r>
        <w:rPr>
          <w:noProof/>
        </w:rPr>
        <w:t xml:space="preserve">за цел създаването на комплексна рамка на ЕС за предотвратяване на здравни кризи, както и за готовност и реакция при такива кризи, която да допълва и да укрепва усилията на национално равнище, както и регионалната подкрепа за системите за здравеопазване в </w:t>
      </w:r>
      <w:r>
        <w:rPr>
          <w:noProof/>
        </w:rPr>
        <w:t>рамките на политиката на сближаване.</w:t>
      </w:r>
      <w:r>
        <w:rPr>
          <w:noProof/>
          <w:color w:val="000000"/>
          <w:szCs w:val="24"/>
        </w:rPr>
        <w:t xml:space="preserve"> </w:t>
      </w:r>
    </w:p>
    <w:p w:rsidR="0082322A" w:rsidRDefault="00E13152">
      <w:pPr>
        <w:spacing w:before="120" w:after="120"/>
        <w:rPr>
          <w:noProof/>
          <w:szCs w:val="24"/>
        </w:rPr>
      </w:pPr>
      <w:r>
        <w:rPr>
          <w:noProof/>
        </w:rPr>
        <w:t>Първото направление на програмата ще бъде насочено към здравната сигурност и готовността за действие при здравни кризи. Чрез него ще се подпомогнат инвестициите в здравна инфраструктура от критично значение, инструмент</w:t>
      </w:r>
      <w:r>
        <w:rPr>
          <w:noProof/>
        </w:rPr>
        <w:t>и, структури, процеси и лабораторен капацитет, включително инструменти за наблюдение, моделиране, прогнозиране, предотвратяване и управление на огнища. Ще бъде предоставена подкрепа за създаването на механизъм за разработване, доставка и управление на прод</w:t>
      </w:r>
      <w:r>
        <w:rPr>
          <w:noProof/>
        </w:rPr>
        <w:t>укти, свързани със здравни кризи, като например лекарства, включително ваксини, но също терапии, междинни продукти, активни фармацевтични съставки и суровини;  медицински изделия и медицинско оборудване, като например апарати за изкуствена белодробна венти</w:t>
      </w:r>
      <w:r>
        <w:rPr>
          <w:noProof/>
        </w:rPr>
        <w:t>лация, защитно облекло и оборудване, диагностични материали и инструменти. В рамките на първото направление ще се създаде нова рамка за обмен на информация за риска в целия ЕС, която да обхване всички фази при дадена криза.</w:t>
      </w:r>
    </w:p>
    <w:p w:rsidR="0082322A" w:rsidRDefault="00E13152">
      <w:pPr>
        <w:spacing w:before="120" w:after="120"/>
        <w:rPr>
          <w:rFonts w:eastAsia="Calibri"/>
          <w:noProof/>
          <w:szCs w:val="24"/>
        </w:rPr>
      </w:pPr>
      <w:r>
        <w:rPr>
          <w:noProof/>
        </w:rPr>
        <w:t xml:space="preserve">Второто направление ще бъде в </w:t>
      </w:r>
      <w:r>
        <w:rPr>
          <w:noProof/>
        </w:rPr>
        <w:t>подкрепа на по-дългосрочната визия за подобряване на здравните резултати чрез ефикасни и приобщаващи здравни системи в държавите членки, чрез по-ефективно предотвратяване и наблюдение на заболяванията, промоция на здравето, достъп до здравеопазване, диагно</w:t>
      </w:r>
      <w:r>
        <w:rPr>
          <w:noProof/>
        </w:rPr>
        <w:t>стициране и лечение, както и трансгранично сътрудничество в областта на здравеопазването. Така например програмата ще способства за изграждането на капацитет в държавите членки, ще финансира програми за обучение на медицински и здравни работници и ще инвес</w:t>
      </w:r>
      <w:r>
        <w:rPr>
          <w:noProof/>
        </w:rPr>
        <w:t>тира в цифровата трансформация на сектора на здравеопазването и в изграждането на оперативно съвместима цифрова инфраструктура, включително за научни изследвания и обмен на данни.</w:t>
      </w:r>
    </w:p>
    <w:p w:rsidR="0082322A" w:rsidRDefault="00E13152">
      <w:pPr>
        <w:spacing w:before="120" w:after="120"/>
        <w:rPr>
          <w:rFonts w:eastAsia="Calibri"/>
          <w:i/>
          <w:noProof/>
          <w:szCs w:val="24"/>
        </w:rPr>
      </w:pPr>
      <w:r>
        <w:rPr>
          <w:noProof/>
          <w:color w:val="000000"/>
          <w:szCs w:val="24"/>
        </w:rPr>
        <w:t>Програмата ще бъде разработена и прилагана при пълно зачитане на разделениет</w:t>
      </w:r>
      <w:r>
        <w:rPr>
          <w:noProof/>
          <w:color w:val="000000"/>
          <w:szCs w:val="24"/>
        </w:rPr>
        <w:t>о на компетенциите между Съюза и държавите членки в тази област. Тя ще осигури връзка със съответното подпомагане, предоставяно по линия на други програми на ЕС, ще установи нови начини за осъществяване на съвместни действия и ще гарантира наличието на мед</w:t>
      </w:r>
      <w:r>
        <w:rPr>
          <w:noProof/>
          <w:color w:val="000000"/>
          <w:szCs w:val="24"/>
        </w:rPr>
        <w:t xml:space="preserve">ицински мерки за противодействие, както и на ресурси в случай на сериозни заплахи за здравето. </w:t>
      </w:r>
      <w:r>
        <w:rPr>
          <w:noProof/>
        </w:rPr>
        <w:t>Програмата ще функционира редом с подсиления rescEU, който е насочен към създаването на капацитет за директно реагиране при кризи, стратегически запаси, инсталир</w:t>
      </w:r>
      <w:r>
        <w:rPr>
          <w:noProof/>
        </w:rPr>
        <w:t>ане и предоставяне на оборудване, както и изпращане на персонал при извънредни ситуации, като в допълнение към него ще осигурява необходимото специфично медицинско оборудване и персонал.</w:t>
      </w:r>
    </w:p>
    <w:p w:rsidR="0082322A" w:rsidRDefault="00E13152">
      <w:pPr>
        <w:keepNext/>
        <w:spacing w:before="100" w:beforeAutospacing="1" w:after="100" w:afterAutospacing="1"/>
        <w:rPr>
          <w:i/>
          <w:noProof/>
          <w:szCs w:val="24"/>
        </w:rPr>
      </w:pPr>
      <w:r>
        <w:rPr>
          <w:i/>
          <w:noProof/>
          <w:szCs w:val="24"/>
        </w:rPr>
        <w:t>Укрепване на Механизма на Съюза за гражданска защита с оглед на капац</w:t>
      </w:r>
      <w:r>
        <w:rPr>
          <w:i/>
          <w:noProof/>
          <w:szCs w:val="24"/>
        </w:rPr>
        <w:t>итета за реагиране</w:t>
      </w:r>
    </w:p>
    <w:p w:rsidR="0082322A" w:rsidRDefault="00E13152">
      <w:pPr>
        <w:spacing w:before="100" w:beforeAutospacing="1" w:after="100" w:afterAutospacing="1"/>
        <w:rPr>
          <w:rFonts w:eastAsia="DengXian"/>
          <w:noProof/>
        </w:rPr>
      </w:pPr>
      <w:r>
        <w:rPr>
          <w:noProof/>
        </w:rPr>
        <w:t>Ясен извод от пандемията е, че Европа трябва да бъде в състояние да реагира по-бързо и гъвкаво при сериозни трансгранични кризи, като се има предвид мащабът на потенциалните сътресения за нашите икономики и общества. Затова Комисията предлага да се подсили</w:t>
      </w:r>
      <w:r>
        <w:rPr>
          <w:noProof/>
        </w:rPr>
        <w:t xml:space="preserve"> </w:t>
      </w:r>
      <w:r>
        <w:rPr>
          <w:b/>
          <w:noProof/>
        </w:rPr>
        <w:t xml:space="preserve">rescEU </w:t>
      </w:r>
      <w:r>
        <w:rPr>
          <w:b/>
          <w:bCs/>
          <w:noProof/>
        </w:rPr>
        <w:t>—</w:t>
      </w:r>
      <w:r>
        <w:rPr>
          <w:b/>
          <w:noProof/>
        </w:rPr>
        <w:t xml:space="preserve"> Механизмът на Съюза за гражданска защита</w:t>
      </w:r>
      <w:r>
        <w:rPr>
          <w:noProof/>
        </w:rPr>
        <w:t>. Предвижда се инструментът да стане по-гъвкав и да се увеличи капацитетът на Съюза за съвместни действия на равнището на ЕС.</w:t>
      </w:r>
    </w:p>
    <w:p w:rsidR="0082322A" w:rsidRDefault="00E13152">
      <w:pPr>
        <w:spacing w:before="100" w:beforeAutospacing="1" w:after="100" w:afterAutospacing="1"/>
        <w:rPr>
          <w:rFonts w:eastAsia="DengXian"/>
          <w:noProof/>
        </w:rPr>
      </w:pPr>
      <w:r>
        <w:rPr>
          <w:noProof/>
        </w:rPr>
        <w:t>Средствата ще бъдат увеличени до 3,1 млрд. евро и ще бъдат насочени към финансир</w:t>
      </w:r>
      <w:r>
        <w:rPr>
          <w:noProof/>
        </w:rPr>
        <w:t>ането на инвестиции в инфраструктура за реакция при извънредни ситуации, транспортен капацитет и екипи за спешна подкрепа. Подсиленият механизъм rescEU ще предостави на Съюза  капацитета и логистичната инфраструктура, необходими за овладяването на различни</w:t>
      </w:r>
      <w:r>
        <w:rPr>
          <w:noProof/>
        </w:rPr>
        <w:t>те видове извънредни ситуации, включително тези от медицинско естество, като по този начин ще допълва действието на новата програма „ЕС в подкрепа на здравето“. Предложението също така предвижда рационализиране на оперативния капацитети и повишаване на нег</w:t>
      </w:r>
      <w:r>
        <w:rPr>
          <w:noProof/>
        </w:rPr>
        <w:t>овата гъвкавост. Така ще се осигури по-своевременна и ефективна реакция на ЕС при мащабни извънредни ситуации в бъдеще.</w:t>
      </w:r>
    </w:p>
    <w:p w:rsidR="0082322A" w:rsidRDefault="00E13152">
      <w:pPr>
        <w:keepNext/>
        <w:spacing w:before="100" w:beforeAutospacing="1" w:after="100" w:afterAutospacing="1"/>
        <w:rPr>
          <w:i/>
          <w:noProof/>
        </w:rPr>
      </w:pPr>
      <w:r>
        <w:rPr>
          <w:i/>
          <w:noProof/>
        </w:rPr>
        <w:t>„Хоризонт Европа“ — инвестиции в иновации и готовност за бъдещето</w:t>
      </w:r>
    </w:p>
    <w:p w:rsidR="0082322A" w:rsidRDefault="00E13152">
      <w:pPr>
        <w:spacing w:before="100" w:beforeAutospacing="1" w:after="100" w:afterAutospacing="1"/>
        <w:rPr>
          <w:noProof/>
        </w:rPr>
      </w:pPr>
      <w:r>
        <w:rPr>
          <w:noProof/>
        </w:rPr>
        <w:t>Средствата по „</w:t>
      </w:r>
      <w:r>
        <w:rPr>
          <w:b/>
          <w:bCs/>
          <w:noProof/>
        </w:rPr>
        <w:t>Хоризонт Европа</w:t>
      </w:r>
      <w:r>
        <w:rPr>
          <w:noProof/>
        </w:rPr>
        <w:t xml:space="preserve">“ ще бъдат в размер на 94,4 млрд. евро, </w:t>
      </w:r>
      <w:r>
        <w:rPr>
          <w:noProof/>
        </w:rPr>
        <w:t>за да се увеличи европейската подкрепа за дейности в областта на научните изследвания и иновациите в сферата на здравеопазването и климата. Това ще допринесе за укрепване на готовността за ефективно и бързо реагиране при извънредни ситуации, както и за инв</w:t>
      </w:r>
      <w:r>
        <w:rPr>
          <w:noProof/>
        </w:rPr>
        <w:t xml:space="preserve">естиции в основани на науката решения, които допълват оперативното финансиране, предоставяно по линия на новата програма „ЕС в подкрепа на здравето“ и rescEU. </w:t>
      </w:r>
    </w:p>
    <w:p w:rsidR="0082322A" w:rsidRDefault="00E13152">
      <w:pPr>
        <w:spacing w:before="100" w:beforeAutospacing="1" w:after="100" w:afterAutospacing="1"/>
        <w:rPr>
          <w:noProof/>
        </w:rPr>
      </w:pPr>
      <w:r>
        <w:rPr>
          <w:noProof/>
        </w:rPr>
        <w:t>В областта на здравеопазването увеличението на средствата ще се използва, за да се насърчат науч</w:t>
      </w:r>
      <w:r>
        <w:rPr>
          <w:noProof/>
        </w:rPr>
        <w:t>ните изследвания с оглед на предизвикателства като коронавирусната пандемия, разширяването на обхвата на клиничните изпитвания, иновационните защитни мерки, вирусологията, ваксините, лечението и диагностиката, както и използването на резултатите от научнит</w:t>
      </w:r>
      <w:r>
        <w:rPr>
          <w:noProof/>
        </w:rPr>
        <w:t xml:space="preserve">е изследвания като основа за мерки на политиката в областта на общественото здравеопазване.  </w:t>
      </w:r>
    </w:p>
    <w:p w:rsidR="0082322A" w:rsidRDefault="00E13152">
      <w:pPr>
        <w:spacing w:before="100" w:beforeAutospacing="1" w:after="100" w:afterAutospacing="1"/>
        <w:rPr>
          <w:noProof/>
        </w:rPr>
      </w:pPr>
      <w:r>
        <w:rPr>
          <w:noProof/>
        </w:rPr>
        <w:t>Предлага се също така да се увеличат ресурсите за научни изследвания и иновации в области, свързани с климата. По този начин ще се засили подкрепата за конкуренто</w:t>
      </w:r>
      <w:r>
        <w:rPr>
          <w:noProof/>
        </w:rPr>
        <w:t>способността на промишлеността на ЕС в свързаните икономически сектори и ще се осигури съгласуваност на възстановяването с целите, залегнали в Европейския зелен пакт. Ще се осигурят и допълнителни средства за модерни и революционни иновации, разработвани о</w:t>
      </w:r>
      <w:r>
        <w:rPr>
          <w:noProof/>
        </w:rPr>
        <w:t>т малки и средни предприятия, стартиращи предприятия и дружества със средна пазарна капитализация.</w:t>
      </w:r>
    </w:p>
    <w:p w:rsidR="0082322A" w:rsidRDefault="00E13152">
      <w:pPr>
        <w:keepNext/>
        <w:spacing w:before="100" w:beforeAutospacing="1" w:after="100" w:afterAutospacing="1"/>
        <w:rPr>
          <w:i/>
          <w:noProof/>
        </w:rPr>
      </w:pPr>
      <w:r>
        <w:rPr>
          <w:i/>
          <w:noProof/>
        </w:rPr>
        <w:t>Солидарност с глобалните партньори по време на криза</w:t>
      </w:r>
    </w:p>
    <w:p w:rsidR="0082322A" w:rsidRDefault="00E13152">
      <w:pPr>
        <w:spacing w:before="100" w:beforeAutospacing="1" w:after="100" w:afterAutospacing="1"/>
        <w:rPr>
          <w:noProof/>
        </w:rPr>
      </w:pPr>
      <w:r>
        <w:rPr>
          <w:noProof/>
        </w:rPr>
        <w:t xml:space="preserve">Пандемията е предизвикателство от световен мащаб. </w:t>
      </w:r>
      <w:r>
        <w:rPr>
          <w:noProof/>
          <w:color w:val="000000"/>
        </w:rPr>
        <w:t>Без глобален отговор всяка държава и всеки регион в св</w:t>
      </w:r>
      <w:r>
        <w:rPr>
          <w:noProof/>
          <w:color w:val="000000"/>
        </w:rPr>
        <w:t>ета, включително Съюзът, ще продължат да бъдат уязвими.</w:t>
      </w:r>
      <w:r>
        <w:rPr>
          <w:noProof/>
        </w:rPr>
        <w:t xml:space="preserve"> ЕС трябва да продължи да изразява своята солидарност с партньорите си по цял свят в борбата срещу COVID-19. </w:t>
      </w:r>
    </w:p>
    <w:p w:rsidR="0082322A" w:rsidRDefault="00E13152">
      <w:pPr>
        <w:spacing w:before="100" w:beforeAutospacing="1" w:after="100" w:afterAutospacing="1"/>
        <w:rPr>
          <w:noProof/>
        </w:rPr>
      </w:pPr>
      <w:r>
        <w:rPr>
          <w:noProof/>
        </w:rPr>
        <w:t xml:space="preserve">Комисията предлага средствата за </w:t>
      </w:r>
      <w:r>
        <w:rPr>
          <w:b/>
          <w:bCs/>
          <w:noProof/>
        </w:rPr>
        <w:t>Инструмента за съседство, развитие и международно сътрудни</w:t>
      </w:r>
      <w:r>
        <w:rPr>
          <w:b/>
          <w:bCs/>
          <w:noProof/>
        </w:rPr>
        <w:t xml:space="preserve">чество </w:t>
      </w:r>
      <w:r>
        <w:rPr>
          <w:noProof/>
        </w:rPr>
        <w:t>да бъдат в размер на 86 млрд. евро  — чрез нова гаранция за външната дейност — и заедно с Европейския фонд за устойчиво развитие да бъдат насочени към подкрепа за партньорите на ЕС, по-специално в Западните Балкани, съседните на ЕС държави и останал</w:t>
      </w:r>
      <w:r>
        <w:rPr>
          <w:noProof/>
        </w:rPr>
        <w:t>ата част на Африка, в усилията им за борба с пандемията и за възстановяване от нейното въздействие, в сътрудничество с международни партньори като международните финансови институции, Организацията на обединените нации и Световната здравна организация.</w:t>
      </w:r>
      <w:r>
        <w:rPr>
          <w:noProof/>
          <w:color w:val="000000"/>
        </w:rPr>
        <w:t xml:space="preserve"> </w:t>
      </w:r>
      <w:r>
        <w:rPr>
          <w:noProof/>
        </w:rPr>
        <w:t>Цел</w:t>
      </w:r>
      <w:r>
        <w:rPr>
          <w:noProof/>
        </w:rPr>
        <w:t>енасоченото изменение на настоящата финансова рамка би дало възможност още през 2020 г. да бъде предоставен 1 млрд. евро като допълнителна подкрепа.</w:t>
      </w:r>
    </w:p>
    <w:p w:rsidR="0082322A" w:rsidRDefault="00E13152">
      <w:pPr>
        <w:spacing w:before="100" w:beforeAutospacing="1" w:after="100" w:afterAutospacing="1"/>
        <w:rPr>
          <w:noProof/>
          <w:color w:val="000000"/>
        </w:rPr>
      </w:pPr>
      <w:r>
        <w:rPr>
          <w:noProof/>
        </w:rPr>
        <w:t>Чрез подкрепата ще се осигури ликвидност за малките и средните предприятия, ще се запазят инвестициите в пр</w:t>
      </w:r>
      <w:r>
        <w:rPr>
          <w:noProof/>
        </w:rPr>
        <w:t>оекти за енергия от възобновяеми източници и ще се увеличи капацитетът за финансиране в местните валути в държавите партньори за укрепване на системите за здравеопазване, включително готовността за действие, и за изграждане на производствен капацитет за им</w:t>
      </w:r>
      <w:r>
        <w:rPr>
          <w:noProof/>
        </w:rPr>
        <w:t>унизации, лечение и диагностика във връзка с COVID-19.</w:t>
      </w:r>
      <w:r>
        <w:rPr>
          <w:noProof/>
          <w:color w:val="000000"/>
        </w:rPr>
        <w:t xml:space="preserve"> Увеличената подкрепа ще бъде насочена и към най-уязвимите държави и региони, като се вземат под внимание тежките социални и икономически последици от пандемията. </w:t>
      </w:r>
    </w:p>
    <w:p w:rsidR="0082322A" w:rsidRDefault="00E13152">
      <w:pPr>
        <w:spacing w:before="100" w:beforeAutospacing="1" w:after="100" w:afterAutospacing="1"/>
        <w:rPr>
          <w:noProof/>
          <w:color w:val="000000"/>
          <w:szCs w:val="24"/>
        </w:rPr>
      </w:pPr>
      <w:r>
        <w:rPr>
          <w:noProof/>
          <w:color w:val="000000"/>
        </w:rPr>
        <w:t>Комисията предлага също така допълните</w:t>
      </w:r>
      <w:r>
        <w:rPr>
          <w:noProof/>
          <w:color w:val="000000"/>
        </w:rPr>
        <w:t xml:space="preserve">лни 5 млрд. евро за укрепване на </w:t>
      </w:r>
      <w:r>
        <w:rPr>
          <w:b/>
          <w:noProof/>
          <w:color w:val="000000"/>
        </w:rPr>
        <w:t>инструмента за хуманитарна помощ</w:t>
      </w:r>
      <w:r>
        <w:rPr>
          <w:noProof/>
          <w:color w:val="000000"/>
        </w:rPr>
        <w:t xml:space="preserve"> в отговор на нарастващите хуманитарни нужди в най-уязвимите части на света. Въздействието на пандемията и икономическите последици от нея, например загубата на приходи поради срива на цените</w:t>
      </w:r>
      <w:r>
        <w:rPr>
          <w:noProof/>
          <w:color w:val="000000"/>
        </w:rPr>
        <w:t xml:space="preserve"> на петрола и суровините и драстичното намаляване на паричните преводи от работници мигранти, изострят съществуващите потребности, поради което е още по-важно Съюзът да разполага с необходимите средства, за да изрази своята солидарност с останалата част от</w:t>
      </w:r>
      <w:r>
        <w:rPr>
          <w:noProof/>
          <w:color w:val="000000"/>
        </w:rPr>
        <w:t xml:space="preserve"> света.</w:t>
      </w:r>
    </w:p>
    <w:p w:rsidR="0082322A" w:rsidRDefault="00E13152">
      <w:pPr>
        <w:keepNext/>
        <w:numPr>
          <w:ilvl w:val="0"/>
          <w:numId w:val="31"/>
        </w:numPr>
        <w:spacing w:before="120" w:after="120" w:line="264" w:lineRule="auto"/>
        <w:ind w:left="777" w:hanging="357"/>
        <w:contextualSpacing/>
        <w:rPr>
          <w:rFonts w:ascii="EC Square Sans Pro" w:eastAsia="Arial Unicode MS" w:hAnsi="EC Square Sans Pro" w:cstheme="minorBidi"/>
          <w:b/>
          <w:i/>
          <w:noProof/>
          <w:color w:val="000000"/>
          <w:sz w:val="22"/>
          <w:szCs w:val="24"/>
          <w:u w:color="000000"/>
          <w:bdr w:val="nil"/>
          <w:lang w:eastAsia="nl-BE"/>
        </w:rPr>
      </w:pPr>
      <w:r>
        <w:rPr>
          <w:rFonts w:eastAsiaTheme="minorEastAsia" w:cstheme="minorBidi"/>
          <w:b/>
          <w:i/>
          <w:noProof/>
          <w:color w:val="000000"/>
          <w:szCs w:val="24"/>
          <w:u w:color="000000"/>
          <w:bdr w:val="nil"/>
          <w:lang w:eastAsia="nl-BE"/>
        </w:rPr>
        <w:t xml:space="preserve">Укрепване на други програми с оглед изграждане на устойчивост и постигане на резултати по стратегически приоритети </w:t>
      </w:r>
    </w:p>
    <w:p w:rsidR="0082322A" w:rsidRDefault="00E13152">
      <w:pPr>
        <w:spacing w:before="100" w:beforeAutospacing="1" w:after="100" w:afterAutospacing="1"/>
        <w:rPr>
          <w:noProof/>
          <w:color w:val="000000"/>
        </w:rPr>
      </w:pPr>
      <w:r>
        <w:rPr>
          <w:noProof/>
          <w:color w:val="000000"/>
          <w:szCs w:val="24"/>
          <w:u w:color="000000"/>
          <w:bdr w:val="nil"/>
        </w:rPr>
        <w:t>Финансовата рамка за 2021—2027 г., която Комисията предложи през 2018 г. и която е подсилена чрез механизма за справедлив преход и предложените днес изменения, продължава да бъде основната отправна точка за последната фаза на преговорите. Предложената стру</w:t>
      </w:r>
      <w:r>
        <w:rPr>
          <w:noProof/>
          <w:color w:val="000000"/>
          <w:szCs w:val="24"/>
          <w:u w:color="000000"/>
          <w:bdr w:val="nil"/>
        </w:rPr>
        <w:t>ктура, равнището на подкрепата, балансираните приоритети, както и основните характеристики, като например целта поне 25 % от разходите да бъдат насочени към действия в областта на климата, както и мерките за подкрепа на равенството между половете и недискр</w:t>
      </w:r>
      <w:r>
        <w:rPr>
          <w:noProof/>
          <w:color w:val="000000"/>
          <w:szCs w:val="24"/>
          <w:u w:color="000000"/>
          <w:bdr w:val="nil"/>
        </w:rPr>
        <w:t xml:space="preserve">иминацията — всички тези елементи са необходими за постигането на балансирано възстановяване. </w:t>
      </w:r>
      <w:r>
        <w:rPr>
          <w:noProof/>
        </w:rPr>
        <w:t>Друг важен момент е предложението на Комисията за Регламент относно защитата на бюджета на ЕС в случаите на широко разпространено незачитане на принципите на прав</w:t>
      </w:r>
      <w:r>
        <w:rPr>
          <w:noProof/>
        </w:rPr>
        <w:t>овата държава. Освен това вече са въведени стриктни мерки за защита на бюджета срещу измами и нередности, които Комисията възнамерява допълнително да подсили. Службата за борба с измамите и Европейската прокуратура ще продължат да упражняват правомощията с</w:t>
      </w:r>
      <w:r>
        <w:rPr>
          <w:noProof/>
        </w:rPr>
        <w:t>и за контрол и разследване.</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Кризата обаче ясно показа, че в няколко ключови области обсъдените от лидерите през февруари равнища на подкрепа няма да бъдат достатъчни. Ето защо в допълнение на увеличената подкрепа, финансирана с инструмента Next Generation </w:t>
      </w:r>
      <w:r>
        <w:rPr>
          <w:noProof/>
          <w:u w:color="000000"/>
          <w:bdr w:val="nil"/>
        </w:rPr>
        <w:t xml:space="preserve">EU, е наложително да бъдат подсилени и други програми, за да им се даде възможност да изиграят пълноценно своята роля за повишаване на устойчивостта на Съюза и за справяне с предизвикателствата, които бяха изострени от пандемията и последиците от нея. </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Това включва: </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Засилване на кибернетичната отбрана на Съюза и подкрепа за цифровия преход чрез осигуряване за </w:t>
      </w:r>
      <w:r>
        <w:rPr>
          <w:rFonts w:ascii="Times New Roman" w:hAnsi="Times New Roman"/>
          <w:b/>
          <w:noProof/>
          <w:sz w:val="24"/>
          <w:szCs w:val="24"/>
          <w:u w:color="000000"/>
          <w:bdr w:val="nil"/>
        </w:rPr>
        <w:t>програмата „Цифрова Европа“</w:t>
      </w:r>
      <w:r>
        <w:rPr>
          <w:rFonts w:ascii="Times New Roman" w:hAnsi="Times New Roman"/>
          <w:noProof/>
          <w:sz w:val="24"/>
          <w:szCs w:val="24"/>
          <w:u w:color="000000"/>
          <w:bdr w:val="nil"/>
        </w:rPr>
        <w:t xml:space="preserve"> на общ бюджет в размер на 8,2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Инвестиране в актуална, високоефективна транспортна инфраструктура с цел уле</w:t>
      </w:r>
      <w:r>
        <w:rPr>
          <w:rFonts w:ascii="Times New Roman" w:hAnsi="Times New Roman"/>
          <w:noProof/>
          <w:sz w:val="24"/>
          <w:szCs w:val="24"/>
          <w:u w:color="000000"/>
          <w:bdr w:val="nil"/>
        </w:rPr>
        <w:t xml:space="preserve">сняване на трансграничните връзки, като например проекта „Rail Baltica“, чрез допълнителни 1,5 млрд. евро за </w:t>
      </w:r>
      <w:r>
        <w:rPr>
          <w:rFonts w:ascii="Times New Roman" w:hAnsi="Times New Roman"/>
          <w:b/>
          <w:noProof/>
          <w:sz w:val="24"/>
          <w:szCs w:val="24"/>
          <w:u w:color="000000"/>
          <w:bdr w:val="nil"/>
        </w:rPr>
        <w:t>Механизма за свързване на Европа</w:t>
      </w:r>
      <w:r>
        <w:rPr>
          <w:rFonts w:ascii="Times New Roman" w:hAnsi="Times New Roman"/>
          <w:noProof/>
          <w:sz w:val="24"/>
          <w:szCs w:val="24"/>
          <w:u w:color="000000"/>
          <w:bdr w:val="nil"/>
        </w:rPr>
        <w:t>.</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Създаване на необходимите условия за стимулиращ възстановяването, добре функциониращ единен пазар чрез запазване </w:t>
      </w:r>
      <w:r>
        <w:rPr>
          <w:rFonts w:ascii="Times New Roman" w:hAnsi="Times New Roman"/>
          <w:noProof/>
          <w:sz w:val="24"/>
          <w:szCs w:val="24"/>
          <w:u w:color="000000"/>
          <w:bdr w:val="nil"/>
        </w:rPr>
        <w:t xml:space="preserve">на предложените бюджети за </w:t>
      </w:r>
      <w:r>
        <w:rPr>
          <w:rFonts w:ascii="Times New Roman" w:hAnsi="Times New Roman"/>
          <w:b/>
          <w:noProof/>
          <w:sz w:val="24"/>
          <w:szCs w:val="24"/>
          <w:u w:color="000000"/>
          <w:bdr w:val="nil"/>
        </w:rPr>
        <w:t>програмата „Единен пазар“</w:t>
      </w:r>
      <w:r>
        <w:rPr>
          <w:rFonts w:ascii="Times New Roman" w:hAnsi="Times New Roman"/>
          <w:noProof/>
          <w:sz w:val="24"/>
          <w:szCs w:val="24"/>
          <w:u w:color="000000"/>
          <w:bdr w:val="nil"/>
        </w:rPr>
        <w:t xml:space="preserve"> и за програмите в подкрепа на сътрудничеството в областите на </w:t>
      </w:r>
      <w:r>
        <w:rPr>
          <w:rFonts w:ascii="Times New Roman" w:hAnsi="Times New Roman"/>
          <w:b/>
          <w:noProof/>
          <w:sz w:val="24"/>
          <w:szCs w:val="24"/>
          <w:u w:color="000000"/>
          <w:bdr w:val="nil"/>
        </w:rPr>
        <w:t>данъчното облагане и митниците</w:t>
      </w:r>
      <w:r>
        <w:rPr>
          <w:rFonts w:ascii="Times New Roman" w:hAnsi="Times New Roman"/>
          <w:noProof/>
          <w:sz w:val="24"/>
          <w:szCs w:val="24"/>
          <w:u w:color="000000"/>
          <w:bdr w:val="nil"/>
        </w:rPr>
        <w:t xml:space="preserve"> на равнище съответно 3,7 млрд. евро, 239 млн. евро и 843 млн.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 xml:space="preserve">Инвестиране в младите хора чрез допълнителни 3,4 млрд. евро за </w:t>
      </w:r>
      <w:r>
        <w:rPr>
          <w:rFonts w:ascii="Times New Roman" w:hAnsi="Times New Roman"/>
          <w:b/>
          <w:noProof/>
          <w:sz w:val="24"/>
          <w:szCs w:val="24"/>
          <w:u w:color="000000"/>
          <w:bdr w:val="nil"/>
        </w:rPr>
        <w:t>„Еразъм+“</w:t>
      </w:r>
      <w:r>
        <w:rPr>
          <w:rFonts w:ascii="Times New Roman" w:hAnsi="Times New Roman"/>
          <w:noProof/>
          <w:sz w:val="24"/>
          <w:szCs w:val="24"/>
          <w:u w:color="000000"/>
          <w:bdr w:val="nil"/>
        </w:rPr>
        <w:t xml:space="preserve">, с което общата сума ще стане 24,6 млрд. евро, както и в секторите на културата и творчеството чрез увеличаване на средствата за програмата </w:t>
      </w:r>
      <w:r>
        <w:rPr>
          <w:rFonts w:ascii="Times New Roman" w:hAnsi="Times New Roman"/>
          <w:b/>
          <w:noProof/>
          <w:sz w:val="24"/>
          <w:szCs w:val="24"/>
          <w:u w:color="000000"/>
          <w:bdr w:val="nil"/>
        </w:rPr>
        <w:t>„Творческа Европа“</w:t>
      </w:r>
      <w:r>
        <w:rPr>
          <w:rFonts w:ascii="Times New Roman" w:hAnsi="Times New Roman"/>
          <w:noProof/>
          <w:sz w:val="24"/>
          <w:szCs w:val="24"/>
          <w:u w:color="000000"/>
          <w:bdr w:val="nil"/>
        </w:rPr>
        <w:t xml:space="preserve"> на 1,5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u w:color="000000"/>
          <w:bdr w:val="nil"/>
        </w:rPr>
        <w:t>Укреп</w:t>
      </w:r>
      <w:r>
        <w:rPr>
          <w:rFonts w:ascii="Times New Roman" w:hAnsi="Times New Roman"/>
          <w:noProof/>
          <w:sz w:val="24"/>
          <w:szCs w:val="24"/>
          <w:u w:color="000000"/>
          <w:bdr w:val="nil"/>
        </w:rPr>
        <w:t xml:space="preserve">ване на устойчивостта на аграрно-хранителния сектор и сектора на рибарството и осигуряване на необходимия капацитет за управление на кризи чрез допълнителни 4 млрд. евро за </w:t>
      </w:r>
      <w:r>
        <w:rPr>
          <w:rFonts w:ascii="Times New Roman" w:hAnsi="Times New Roman"/>
          <w:b/>
          <w:noProof/>
          <w:sz w:val="24"/>
          <w:szCs w:val="24"/>
          <w:u w:color="000000"/>
          <w:bdr w:val="nil"/>
        </w:rPr>
        <w:t>общата селскостопанска политика</w:t>
      </w:r>
      <w:r>
        <w:rPr>
          <w:rFonts w:ascii="Times New Roman" w:hAnsi="Times New Roman"/>
          <w:noProof/>
          <w:sz w:val="24"/>
          <w:szCs w:val="24"/>
          <w:u w:color="000000"/>
          <w:bdr w:val="nil"/>
        </w:rPr>
        <w:t xml:space="preserve"> и 500 млн. евро за </w:t>
      </w:r>
      <w:r>
        <w:rPr>
          <w:rFonts w:ascii="Times New Roman" w:hAnsi="Times New Roman"/>
          <w:b/>
          <w:noProof/>
          <w:sz w:val="24"/>
          <w:szCs w:val="24"/>
          <w:u w:color="000000"/>
          <w:bdr w:val="nil"/>
        </w:rPr>
        <w:t xml:space="preserve">Европейския фонд за морско дело </w:t>
      </w:r>
      <w:r>
        <w:rPr>
          <w:rFonts w:ascii="Times New Roman" w:hAnsi="Times New Roman"/>
          <w:b/>
          <w:noProof/>
          <w:sz w:val="24"/>
          <w:szCs w:val="24"/>
          <w:u w:color="000000"/>
          <w:bdr w:val="nil"/>
        </w:rPr>
        <w:t>и рибарство</w:t>
      </w:r>
      <w:r>
        <w:rPr>
          <w:rFonts w:ascii="Times New Roman" w:hAnsi="Times New Roman"/>
          <w:noProof/>
          <w:sz w:val="24"/>
          <w:szCs w:val="24"/>
          <w:u w:color="000000"/>
          <w:bdr w:val="nil"/>
        </w:rPr>
        <w:t>.</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Засилване на сътрудничеството в областта на защитата на външните граници и по отношение на политиката в областта на миграцията и убежището чрез подсилване на </w:t>
      </w:r>
      <w:r>
        <w:rPr>
          <w:rFonts w:ascii="Times New Roman" w:hAnsi="Times New Roman"/>
          <w:b/>
          <w:noProof/>
          <w:sz w:val="24"/>
          <w:szCs w:val="24"/>
          <w:u w:color="000000"/>
          <w:bdr w:val="nil"/>
        </w:rPr>
        <w:t>фонд „Убежище и миграция“</w:t>
      </w:r>
      <w:r>
        <w:rPr>
          <w:rFonts w:ascii="Times New Roman" w:hAnsi="Times New Roman"/>
          <w:noProof/>
          <w:sz w:val="24"/>
          <w:szCs w:val="24"/>
          <w:u w:color="000000"/>
          <w:bdr w:val="nil"/>
        </w:rPr>
        <w:t xml:space="preserve"> и </w:t>
      </w:r>
      <w:r>
        <w:rPr>
          <w:rFonts w:ascii="Times New Roman" w:hAnsi="Times New Roman"/>
          <w:b/>
          <w:noProof/>
          <w:sz w:val="24"/>
          <w:szCs w:val="24"/>
          <w:u w:color="000000"/>
          <w:bdr w:val="nil"/>
        </w:rPr>
        <w:t>Фонда за интегрирано управление на границите</w:t>
      </w:r>
      <w:r>
        <w:rPr>
          <w:rFonts w:ascii="Times New Roman" w:hAnsi="Times New Roman"/>
          <w:noProof/>
          <w:sz w:val="24"/>
          <w:szCs w:val="24"/>
          <w:u w:color="000000"/>
          <w:bdr w:val="nil"/>
        </w:rPr>
        <w:t>, за да се до</w:t>
      </w:r>
      <w:r>
        <w:rPr>
          <w:rFonts w:ascii="Times New Roman" w:hAnsi="Times New Roman"/>
          <w:noProof/>
          <w:sz w:val="24"/>
          <w:szCs w:val="24"/>
          <w:u w:color="000000"/>
          <w:bdr w:val="nil"/>
        </w:rPr>
        <w:t>стигне равнище от 22 млрд.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ascii="Times New Roman" w:eastAsia="Arial Unicode MS" w:hAnsi="Times New Roman" w:cs="Times New Roman"/>
          <w:noProof/>
          <w:color w:val="000000"/>
          <w:sz w:val="24"/>
          <w:szCs w:val="24"/>
          <w:u w:color="000000"/>
          <w:bdr w:val="nil"/>
        </w:rPr>
      </w:pPr>
      <w:r>
        <w:rPr>
          <w:rFonts w:ascii="Times New Roman" w:hAnsi="Times New Roman"/>
          <w:noProof/>
          <w:sz w:val="24"/>
          <w:szCs w:val="24"/>
        </w:rPr>
        <w:t xml:space="preserve">Осигуряване на силна подкрепа за европейската стратегическа автономност и сигурност чрез увеличаване на средствата за </w:t>
      </w:r>
      <w:r>
        <w:rPr>
          <w:rFonts w:ascii="Times New Roman" w:hAnsi="Times New Roman"/>
          <w:b/>
          <w:noProof/>
          <w:sz w:val="24"/>
          <w:szCs w:val="24"/>
        </w:rPr>
        <w:t>фонд „Вътрешна сигурност“</w:t>
      </w:r>
      <w:r>
        <w:rPr>
          <w:rFonts w:ascii="Times New Roman" w:hAnsi="Times New Roman"/>
          <w:noProof/>
          <w:sz w:val="24"/>
          <w:szCs w:val="24"/>
        </w:rPr>
        <w:t xml:space="preserve"> на 2,2 млрд. евро и укрепване на </w:t>
      </w:r>
      <w:r>
        <w:rPr>
          <w:rFonts w:ascii="Times New Roman" w:hAnsi="Times New Roman"/>
          <w:b/>
          <w:noProof/>
          <w:sz w:val="24"/>
          <w:szCs w:val="24"/>
        </w:rPr>
        <w:t>Европейския фонд за отбрана</w:t>
      </w:r>
      <w:r>
        <w:rPr>
          <w:rFonts w:ascii="Times New Roman" w:hAnsi="Times New Roman"/>
          <w:noProof/>
          <w:sz w:val="24"/>
          <w:szCs w:val="24"/>
        </w:rPr>
        <w:t xml:space="preserve"> до равнище от 8 мл</w:t>
      </w:r>
      <w:r>
        <w:rPr>
          <w:rFonts w:ascii="Times New Roman" w:hAnsi="Times New Roman"/>
          <w:noProof/>
          <w:sz w:val="24"/>
          <w:szCs w:val="24"/>
        </w:rPr>
        <w:t>рд. евро.</w:t>
      </w:r>
    </w:p>
    <w:p w:rsidR="0082322A" w:rsidRDefault="00E13152">
      <w:pPr>
        <w:pStyle w:val="ListParagraph"/>
        <w:numPr>
          <w:ilvl w:val="0"/>
          <w:numId w:val="41"/>
        </w:numPr>
        <w:pBdr>
          <w:top w:val="nil"/>
          <w:left w:val="nil"/>
          <w:bottom w:val="nil"/>
          <w:right w:val="nil"/>
          <w:between w:val="nil"/>
          <w:bar w:val="nil"/>
        </w:pBdr>
        <w:spacing w:before="120" w:after="120" w:line="240" w:lineRule="auto"/>
        <w:contextualSpacing w:val="0"/>
        <w:rPr>
          <w:rFonts w:eastAsia="Arial Unicode MS" w:cs="Arial Unicode MS"/>
          <w:noProof/>
          <w:color w:val="000000"/>
          <w:sz w:val="24"/>
          <w:szCs w:val="24"/>
          <w:u w:color="000000"/>
          <w:bdr w:val="nil"/>
        </w:rPr>
      </w:pPr>
      <w:r>
        <w:rPr>
          <w:rFonts w:ascii="Times New Roman" w:hAnsi="Times New Roman"/>
          <w:noProof/>
          <w:sz w:val="24"/>
          <w:szCs w:val="24"/>
          <w:u w:color="000000"/>
          <w:bdr w:val="nil"/>
        </w:rPr>
        <w:t xml:space="preserve">Подкрепа за нашите партньори от Западните Балкани чрез промяна на размера на </w:t>
      </w:r>
      <w:r>
        <w:rPr>
          <w:rFonts w:ascii="Times New Roman" w:hAnsi="Times New Roman"/>
          <w:b/>
          <w:noProof/>
          <w:sz w:val="24"/>
          <w:szCs w:val="24"/>
          <w:u w:color="000000"/>
          <w:bdr w:val="nil"/>
        </w:rPr>
        <w:t>предприсъединителната помощ</w:t>
      </w:r>
      <w:r>
        <w:rPr>
          <w:rFonts w:ascii="Times New Roman" w:hAnsi="Times New Roman"/>
          <w:noProof/>
          <w:sz w:val="24"/>
          <w:szCs w:val="24"/>
          <w:u w:color="000000"/>
          <w:bdr w:val="nil"/>
        </w:rPr>
        <w:t xml:space="preserve"> от Съюза до равнище от 12,9 млрд. евро.</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С помощта на тези целенасочени изменения Съюзът ще разполага с дългосрочна финансова рамка, която е п</w:t>
      </w:r>
      <w:r>
        <w:rPr>
          <w:noProof/>
          <w:u w:color="000000"/>
          <w:bdr w:val="nil"/>
        </w:rPr>
        <w:t>о-добре съобразена с неговите приоритети и амбиции и е по-подходяща за целите на изграждането на устойчивостта и стратегическата автономност на Съюза в средносрочен и дългосрочен план. Ето защо Комисията предлага целенасочени изменения на своето предложени</w:t>
      </w:r>
      <w:r>
        <w:rPr>
          <w:noProof/>
          <w:u w:color="000000"/>
          <w:bdr w:val="nil"/>
        </w:rPr>
        <w:t>е от 2018 г. за следващата финансова рамка, в които са включени резултатите от преговорите до момента, нейното предложение за Механизъм за справедлив преход</w:t>
      </w:r>
      <w:r>
        <w:rPr>
          <w:rStyle w:val="FootnoteReference"/>
          <w:noProof/>
        </w:rPr>
        <w:footnoteReference w:id="9"/>
      </w:r>
      <w:r>
        <w:rPr>
          <w:noProof/>
          <w:u w:color="000000"/>
          <w:bdr w:val="nil"/>
        </w:rPr>
        <w:t xml:space="preserve"> и представените по-горе начини за подсилване на подкрепата. Пълният общ преглед по отделни програми на многогодишната финансова рамка, включващ и инструмента Next Generation EU, е представен в приложението.</w:t>
      </w:r>
    </w:p>
    <w:p w:rsidR="0082322A" w:rsidRDefault="00E13152">
      <w:pPr>
        <w:pStyle w:val="ListParagraph"/>
        <w:keepNext/>
        <w:numPr>
          <w:ilvl w:val="0"/>
          <w:numId w:val="31"/>
        </w:numPr>
        <w:spacing w:before="120" w:after="120"/>
        <w:ind w:left="777" w:hanging="357"/>
        <w:rPr>
          <w:rFonts w:ascii="Times New Roman" w:eastAsia="Arial Unicode MS" w:hAnsi="Times New Roman" w:cs="Times New Roman"/>
          <w:b/>
          <w:i/>
          <w:noProof/>
          <w:color w:val="000000"/>
          <w:sz w:val="24"/>
          <w:szCs w:val="24"/>
          <w:u w:color="000000"/>
          <w:bdr w:val="nil"/>
        </w:rPr>
      </w:pPr>
      <w:r>
        <w:rPr>
          <w:rFonts w:ascii="Times New Roman" w:hAnsi="Times New Roman"/>
          <w:b/>
          <w:i/>
          <w:noProof/>
          <w:u w:color="000000"/>
          <w:bdr w:val="nil"/>
        </w:rPr>
        <w:t>По-гъвкави инструменти за спешна подкрепа</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Извън </w:t>
      </w:r>
      <w:r>
        <w:rPr>
          <w:noProof/>
          <w:u w:color="000000"/>
          <w:bdr w:val="nil"/>
        </w:rPr>
        <w:t xml:space="preserve">границите на индивидуалните програми кризата показа колко е важно Съюзът да може да реагира бързо и гъвкаво, за да осигури координиран европейски отговор. Това на свой ред изисква по-гъвкав бюджет на ЕС. Широкообхватните последици от здравната криза бързо </w:t>
      </w:r>
      <w:r>
        <w:rPr>
          <w:noProof/>
          <w:u w:color="000000"/>
          <w:bdr w:val="nil"/>
        </w:rPr>
        <w:t>изчерпаха гъвкавостта на настоящия бюджет. За бъдещето е необходим по-гъвкав и приспособим бюджет, който може да бъде постигнат само чрез добре структурирани специални инструменти.</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Поради това Комисията предлага да се подсилят инструментите за гъвкавост и </w:t>
      </w:r>
      <w:r>
        <w:rPr>
          <w:noProof/>
          <w:u w:color="000000"/>
          <w:bdr w:val="nil"/>
        </w:rPr>
        <w:t xml:space="preserve">спешна подкрепа, с които могат да се мобилизират ресурси в необходимите мащаби за справяне с непредвидени предизвикателства, като например </w:t>
      </w:r>
      <w:r>
        <w:rPr>
          <w:b/>
          <w:noProof/>
          <w:u w:color="000000"/>
          <w:bdr w:val="nil"/>
        </w:rPr>
        <w:t>фонд „Солидарност“</w:t>
      </w:r>
      <w:r>
        <w:rPr>
          <w:noProof/>
          <w:u w:color="000000"/>
          <w:bdr w:val="nil"/>
        </w:rPr>
        <w:t xml:space="preserve"> </w:t>
      </w:r>
      <w:r>
        <w:rPr>
          <w:b/>
          <w:noProof/>
          <w:u w:color="000000"/>
          <w:bdr w:val="nil"/>
        </w:rPr>
        <w:t>на ЕС</w:t>
      </w:r>
      <w:r>
        <w:rPr>
          <w:noProof/>
          <w:u w:color="000000"/>
          <w:bdr w:val="nil"/>
        </w:rPr>
        <w:t>, който предоставя подкрепа на държавите членки и регионите, засегнати от мащабни бедствия, и</w:t>
      </w:r>
      <w:r>
        <w:rPr>
          <w:noProof/>
          <w:u w:color="000000"/>
          <w:bdr w:val="nil"/>
        </w:rPr>
        <w:t xml:space="preserve"> </w:t>
      </w:r>
      <w:r>
        <w:rPr>
          <w:b/>
          <w:noProof/>
          <w:u w:color="000000"/>
          <w:bdr w:val="nil"/>
        </w:rPr>
        <w:t>Европейския фонд за приспособяване към глобализацията</w:t>
      </w:r>
      <w:r>
        <w:rPr>
          <w:noProof/>
          <w:u w:color="000000"/>
          <w:bdr w:val="nil"/>
        </w:rPr>
        <w:t>, който подпомага работниците, загубили работата си в резултат на големи преструктурирания.</w:t>
      </w:r>
    </w:p>
    <w:p w:rsidR="0082322A" w:rsidRDefault="00E13152">
      <w:pPr>
        <w:pBdr>
          <w:top w:val="nil"/>
          <w:left w:val="nil"/>
          <w:bottom w:val="nil"/>
          <w:right w:val="nil"/>
          <w:between w:val="nil"/>
          <w:bar w:val="nil"/>
        </w:pBdr>
        <w:spacing w:before="120" w:after="120"/>
        <w:rPr>
          <w:rFonts w:eastAsia="Arial Unicode MS" w:cs="Arial Unicode MS"/>
          <w:noProof/>
          <w:color w:val="000000"/>
          <w:szCs w:val="24"/>
          <w:u w:color="000000"/>
          <w:bdr w:val="nil"/>
        </w:rPr>
      </w:pPr>
      <w:r>
        <w:rPr>
          <w:noProof/>
          <w:u w:color="000000"/>
          <w:bdr w:val="nil"/>
        </w:rPr>
        <w:t xml:space="preserve">В значително по-укрепен вид </w:t>
      </w:r>
      <w:r>
        <w:rPr>
          <w:b/>
          <w:noProof/>
          <w:u w:color="000000"/>
          <w:bdr w:val="nil"/>
        </w:rPr>
        <w:t>Резервът за солидарност и спешна помощ</w:t>
      </w:r>
      <w:r>
        <w:rPr>
          <w:noProof/>
          <w:u w:color="000000"/>
          <w:bdr w:val="nil"/>
        </w:rPr>
        <w:t xml:space="preserve"> ще подсили действията на ЕС в отговор на всички аспекти на здравната криза, както и на други извънредни ситуации. Средства могат да се насочват за предоставяне по необходимия начин и в необходимото време на спешна подкрепа чрез инструменти на ЕС, като нап</w:t>
      </w:r>
      <w:r>
        <w:rPr>
          <w:noProof/>
          <w:u w:color="000000"/>
          <w:bdr w:val="nil"/>
        </w:rPr>
        <w:t>ример инструмента за хуманитарна помощ, инструмента за спешна подкрепа, програма „Единен пазар“ с нейните спешни ветеринарни и фитосанитарни мерки или фонд „Убежище и миграция“.</w:t>
      </w:r>
    </w:p>
    <w:p w:rsidR="0082322A" w:rsidRDefault="00E13152">
      <w:pPr>
        <w:pBdr>
          <w:top w:val="nil"/>
          <w:left w:val="nil"/>
          <w:bottom w:val="nil"/>
          <w:right w:val="nil"/>
          <w:between w:val="nil"/>
          <w:bar w:val="nil"/>
        </w:pBdr>
        <w:spacing w:before="120" w:after="120"/>
        <w:rPr>
          <w:rFonts w:eastAsia="Arial Unicode MS"/>
          <w:noProof/>
          <w:szCs w:val="24"/>
          <w:u w:color="000000"/>
          <w:bdr w:val="nil"/>
        </w:rPr>
      </w:pPr>
      <w:r>
        <w:rPr>
          <w:noProof/>
          <w:u w:color="000000"/>
          <w:bdr w:val="nil"/>
        </w:rPr>
        <w:t>Заедно тези инструменти ще осигурят до 21 млрд. евро допълнително спешно финан</w:t>
      </w:r>
      <w:r>
        <w:rPr>
          <w:noProof/>
          <w:u w:color="000000"/>
          <w:bdr w:val="nil"/>
        </w:rPr>
        <w:t>сиране за периода 2021—2027 г. в сравнение с предложенията на Комисията от 2 май 2018 г.</w:t>
      </w:r>
    </w:p>
    <w:p w:rsidR="0082322A" w:rsidRDefault="0082322A">
      <w:pPr>
        <w:pBdr>
          <w:top w:val="nil"/>
          <w:left w:val="nil"/>
          <w:bottom w:val="nil"/>
          <w:right w:val="nil"/>
          <w:between w:val="nil"/>
          <w:bar w:val="nil"/>
        </w:pBdr>
        <w:spacing w:before="120" w:after="120"/>
        <w:rPr>
          <w:rFonts w:eastAsia="Arial Unicode MS"/>
          <w:noProof/>
          <w:szCs w:val="24"/>
          <w:u w:color="000000"/>
          <w:bdr w:val="nil"/>
        </w:rPr>
      </w:pPr>
    </w:p>
    <w:p w:rsidR="0082322A" w:rsidRDefault="00E13152">
      <w:pPr>
        <w:pBdr>
          <w:top w:val="nil"/>
          <w:left w:val="nil"/>
          <w:bottom w:val="nil"/>
          <w:right w:val="nil"/>
          <w:between w:val="nil"/>
          <w:bar w:val="nil"/>
        </w:pBdr>
        <w:spacing w:before="120" w:after="120"/>
        <w:rPr>
          <w:rFonts w:eastAsia="Arial Unicode MS"/>
          <w:noProof/>
          <w:szCs w:val="24"/>
          <w:u w:color="000000"/>
          <w:bdr w:val="nil"/>
        </w:rPr>
      </w:pPr>
      <w:r>
        <w:rPr>
          <w:noProof/>
          <w:lang w:val="fr-BE" w:eastAsia="fr-BE"/>
        </w:rPr>
        <w:drawing>
          <wp:inline distT="0" distB="0" distL="0" distR="0">
            <wp:extent cx="6030051" cy="3443844"/>
            <wp:effectExtent l="0" t="0" r="889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39295" cy="3449123"/>
                    </a:xfrm>
                    <a:prstGeom prst="rect">
                      <a:avLst/>
                    </a:prstGeom>
                  </pic:spPr>
                </pic:pic>
              </a:graphicData>
            </a:graphic>
          </wp:inline>
        </w:drawing>
      </w:r>
    </w:p>
    <w:p w:rsidR="0082322A" w:rsidRDefault="00E13152">
      <w:pPr>
        <w:pStyle w:val="Heading2"/>
        <w:jc w:val="both"/>
      </w:pPr>
      <w:r>
        <w:t xml:space="preserve">Практическа реализация: инструментът Next Generation EU </w:t>
      </w:r>
    </w:p>
    <w:p w:rsidR="0082322A" w:rsidRDefault="00E13152">
      <w:pPr>
        <w:pStyle w:val="Text2"/>
        <w:keepLines/>
        <w:spacing w:before="120" w:after="120"/>
        <w:ind w:left="0"/>
        <w:rPr>
          <w:noProof/>
          <w:szCs w:val="24"/>
        </w:rPr>
      </w:pPr>
      <w:r>
        <w:rPr>
          <w:noProof/>
          <w:u w:color="000000"/>
          <w:bdr w:val="nil"/>
        </w:rPr>
        <w:t xml:space="preserve">Основната част от предложените мерки за възстановяване ще бъде реализирана чрез нов временен инструмент за </w:t>
      </w:r>
      <w:r>
        <w:rPr>
          <w:noProof/>
          <w:u w:color="000000"/>
          <w:bdr w:val="nil"/>
        </w:rPr>
        <w:t xml:space="preserve">възстановяване </w:t>
      </w:r>
      <w:r>
        <w:rPr>
          <w:b/>
          <w:noProof/>
          <w:u w:color="000000"/>
          <w:bdr w:val="nil"/>
        </w:rPr>
        <w:t>Next Generation EU</w:t>
      </w:r>
      <w:r>
        <w:rPr>
          <w:noProof/>
          <w:u w:color="000000"/>
          <w:bdr w:val="nil"/>
        </w:rPr>
        <w:t xml:space="preserve"> с финансов капацитет от 750 млрд. евро. Инструментът ще представлява механизъм за извънредни ситуации с изключителен и временен характер. Финансирането ще бъде осигурено чрез решението за собствените ресурси, което ще позв</w:t>
      </w:r>
      <w:r>
        <w:rPr>
          <w:noProof/>
          <w:u w:color="000000"/>
          <w:bdr w:val="nil"/>
        </w:rPr>
        <w:t>оли</w:t>
      </w:r>
      <w:r>
        <w:rPr>
          <w:noProof/>
        </w:rPr>
        <w:t xml:space="preserve"> на Комисията да взема от името на Съюза заеми в размер до 750 млрд. евро за мерки за периода 2021—2024 г. </w:t>
      </w:r>
    </w:p>
    <w:p w:rsidR="0082322A" w:rsidRDefault="00E13152">
      <w:pPr>
        <w:pStyle w:val="Text2"/>
        <w:spacing w:before="120" w:after="120"/>
        <w:ind w:left="0"/>
        <w:rPr>
          <w:rFonts w:eastAsia="Arial Unicode MS"/>
          <w:noProof/>
        </w:rPr>
      </w:pPr>
      <w:r>
        <w:rPr>
          <w:noProof/>
        </w:rPr>
        <w:t xml:space="preserve">За да се осигури необходимият бюджетен капацитет за отразяване на потенциалните задължения, свързани с финансирането на инструмента Next </w:t>
      </w:r>
      <w:r>
        <w:rPr>
          <w:noProof/>
        </w:rPr>
        <w:t>Generation EU, и в съответствие с изискванията за бюджетна дисциплина, преразгледаното решение за собствените ресурси ще включва изключително и временно увеличение на таваните на собствените ресурси за поети задължения и плащания с 0,6 % от брутния национа</w:t>
      </w:r>
      <w:r>
        <w:rPr>
          <w:noProof/>
        </w:rPr>
        <w:t>лен доход на ЕС. Увеличаването на таваните ще се използва единствено с цел да се отговори на нуждите, свързани с кризата с COVID 19, и ще бъде ограничено до периода, необходим за покриване на тези задължения.</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Мащабът на инструмента Next Generation EU и нег</w:t>
      </w:r>
      <w:r>
        <w:rPr>
          <w:noProof/>
          <w:u w:color="000000"/>
          <w:bdr w:val="nil"/>
        </w:rPr>
        <w:t>овата структура отразяват мащаба и неотложността на предизвикателствата, пред които е изправен Съюзът. Нуждите от финансиране за наложени от кризата спешни инвестиции са безпрецедентни. Поради това е необходима решителна и извънредна реакция на равнището н</w:t>
      </w:r>
      <w:r>
        <w:rPr>
          <w:noProof/>
          <w:u w:color="000000"/>
          <w:bdr w:val="nil"/>
        </w:rPr>
        <w:t>а Съюза. Безпрецедентният характер на тези действия и извънредният размер на средствата налагат включването им в системата на собствените ресурси, която е одобрена от всички държави членки в съответствие с техните конституционни изисквания.</w:t>
      </w:r>
      <w:r>
        <w:rPr>
          <w:noProof/>
        </w:rPr>
        <w:t xml:space="preserve"> </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Допълнителното</w:t>
      </w:r>
      <w:r>
        <w:rPr>
          <w:noProof/>
          <w:u w:color="000000"/>
          <w:bdr w:val="nil"/>
        </w:rPr>
        <w:t xml:space="preserve"> подпомагане, финансирано чрез увеличаване на националния принос непосредствено след кризата, допълнително би увеличило натиска върху националните бюджети. При тези извънредни обстоятелства е напълно оправдано да се използва механизъм за финансиране, който</w:t>
      </w:r>
      <w:r>
        <w:rPr>
          <w:noProof/>
          <w:u w:color="000000"/>
          <w:bdr w:val="nil"/>
        </w:rPr>
        <w:t xml:space="preserve"> да осигури значителни и навременни средства, без да се увеличават равнищата на националния дълг, като израз на солидарност в съответстващ на кризата мащаб.</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Вземането на заеми ще се основава на солидния опит на Съюза при използването на пазарни инструменти</w:t>
      </w:r>
      <w:r>
        <w:rPr>
          <w:noProof/>
          <w:u w:color="000000"/>
          <w:bdr w:val="nil"/>
        </w:rPr>
        <w:t xml:space="preserve"> за подкрепа на инвестициите и реформите в държавите членки. </w:t>
      </w:r>
      <w:r>
        <w:rPr>
          <w:noProof/>
        </w:rPr>
        <w:t>Съюзът ще заема средства на финансовите пазари при условия, които отразяват много високия му кредитен рейтинг, и незабавно ще насочва тези средства за най-неотложните нужди.</w:t>
      </w:r>
      <w:r>
        <w:rPr>
          <w:noProof/>
          <w:u w:color="000000"/>
          <w:bdr w:val="nil"/>
        </w:rPr>
        <w:t xml:space="preserve"> </w:t>
      </w:r>
    </w:p>
    <w:p w:rsidR="0082322A" w:rsidRDefault="00E13152">
      <w:pPr>
        <w:pStyle w:val="Text2"/>
        <w:spacing w:before="120" w:after="120"/>
        <w:ind w:left="0"/>
        <w:rPr>
          <w:rFonts w:eastAsia="Arial Unicode MS" w:cs="Arial Unicode MS"/>
          <w:noProof/>
          <w:color w:val="000000"/>
          <w:szCs w:val="24"/>
          <w:u w:color="000000"/>
          <w:bdr w:val="nil"/>
        </w:rPr>
      </w:pPr>
      <w:r>
        <w:rPr>
          <w:noProof/>
        </w:rPr>
        <w:t>За тази цел Комисият</w:t>
      </w:r>
      <w:r>
        <w:rPr>
          <w:noProof/>
        </w:rPr>
        <w:t>а ще емитира на капиталовите пазари облигации с различни срокове до падежа, като използва по най-добрия начин капацитета на пазарите за поемане на такива облигации и същевременно осигурява най-ниските възможни средни разходи по заемите. Подобна диверсифици</w:t>
      </w:r>
      <w:r>
        <w:rPr>
          <w:noProof/>
        </w:rPr>
        <w:t xml:space="preserve">рана стратегия за финансиране позволява на Комисията да извършва операции по получаване на заеми по начин, който е най-подходящ за мащаба на операциите и преобладаващата пазарна среда. </w:t>
      </w:r>
    </w:p>
    <w:p w:rsidR="0082322A" w:rsidRDefault="00E13152">
      <w:pPr>
        <w:pStyle w:val="Text2"/>
        <w:spacing w:before="120" w:after="120"/>
        <w:ind w:left="0"/>
        <w:rPr>
          <w:rFonts w:eastAsia="Arial Unicode MS" w:cs="Arial Unicode MS"/>
          <w:noProof/>
          <w:color w:val="000000"/>
          <w:szCs w:val="24"/>
          <w:u w:color="000000"/>
          <w:bdr w:val="nil"/>
        </w:rPr>
      </w:pPr>
      <w:r>
        <w:rPr>
          <w:noProof/>
          <w:u w:color="000000"/>
          <w:bdr w:val="nil"/>
        </w:rPr>
        <w:t>От средствата, насочвани чрез инструмента Next Generation EU, 500 млрд</w:t>
      </w:r>
      <w:r>
        <w:rPr>
          <w:noProof/>
          <w:u w:color="000000"/>
          <w:bdr w:val="nil"/>
        </w:rPr>
        <w:t>. евро ще бъдат използвани за финансиране на компонента за безвъзмездни средства на Механизма за възстановяване и устойчивост и за подсилване на други ключови кризисни програми и програми за възстановяване. Останалата част от мобилизираните чрез инструмент</w:t>
      </w:r>
      <w:r>
        <w:rPr>
          <w:noProof/>
          <w:u w:color="000000"/>
          <w:bdr w:val="nil"/>
        </w:rPr>
        <w:t xml:space="preserve">а средства в размер на 250 млрд. евро ще бъдат предоставени на разположение на държавите членки под формата на заеми в рамките на Механизма за възстановяване и устойчивост. </w:t>
      </w:r>
    </w:p>
    <w:p w:rsidR="0082322A" w:rsidRDefault="00E13152">
      <w:pPr>
        <w:pStyle w:val="Text2"/>
        <w:spacing w:before="120" w:after="120"/>
        <w:ind w:left="0"/>
        <w:rPr>
          <w:rFonts w:eastAsia="Arial Unicode MS"/>
          <w:noProof/>
        </w:rPr>
      </w:pPr>
      <w:r>
        <w:rPr>
          <w:noProof/>
          <w:u w:color="000000"/>
          <w:bdr w:val="nil"/>
        </w:rPr>
        <w:t xml:space="preserve">Набраните средства ще бъдат възстановявани след 2027 г. и най-късно до 2058 г. </w:t>
      </w:r>
      <w:r>
        <w:rPr>
          <w:noProof/>
        </w:rPr>
        <w:t>Тов</w:t>
      </w:r>
      <w:r>
        <w:rPr>
          <w:noProof/>
        </w:rPr>
        <w:t>а ще спомогне за намаляване на натиска върху бюджетите на държавите членки в момент, когато публичните финанси са подложени на голямо натоварване, като същевременно ще се гарантира, че всички задължения, произтичащи от това емитиране на дългови инструменти</w:t>
      </w:r>
      <w:r>
        <w:rPr>
          <w:noProof/>
        </w:rPr>
        <w:t>, ще бъдат погасени от бъдещите бюджети на ЕС. За да се улесни погасяването на пазарно набраните средства и допълнително да се намали натискът върху националните бюджети, Комисията ще предложи допълнителни собствени ресурси на по-късен етап от финансовия п</w:t>
      </w:r>
      <w:r>
        <w:rPr>
          <w:noProof/>
        </w:rPr>
        <w:t>ериод.</w:t>
      </w:r>
    </w:p>
    <w:p w:rsidR="0082322A" w:rsidRDefault="00E13152">
      <w:pPr>
        <w:pStyle w:val="Text2"/>
        <w:keepNext/>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b/>
          <w:noProof/>
          <w:color w:val="2696D3" w:themeColor="accent1"/>
        </w:rPr>
      </w:pPr>
      <w:r>
        <w:rPr>
          <w:b/>
          <w:noProof/>
          <w:color w:val="2696D3" w:themeColor="accent1"/>
        </w:rPr>
        <w:t>С поглед към бъдещето: реформа на системата на собствените ресурси</w:t>
      </w:r>
    </w:p>
    <w:p w:rsidR="0082322A" w:rsidRDefault="00E13152">
      <w:pPr>
        <w:pStyle w:val="Text2"/>
        <w:keepLines/>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Новият икономически контекст и устойчивото управление на възстановяването на средствата, набрани чрез инструмента Next Generation EU, увеличават аргументите в полза на необходимостта</w:t>
      </w:r>
      <w:r>
        <w:rPr>
          <w:noProof/>
        </w:rPr>
        <w:t xml:space="preserve"> от основна реформа на начина на финансиране на бюджета на ЕС.</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Комисията продължава да счита, че постепенното премахване на всички намаления ще направи многогодишната финансова рамка по-балансирана. В настоящата ситуация обаче поради икономическото въздейс</w:t>
      </w:r>
      <w:r>
        <w:rPr>
          <w:noProof/>
        </w:rPr>
        <w:t>твие на пандемията от COVID-19 постепенното премахване на намаленията би довело до непропорционално увеличение на приноса за някои държави членки в периода 2021—2027 г. За да се избегне това, настоящите намаления могат да бъдат постепенно премахнати в рамк</w:t>
      </w:r>
      <w:r>
        <w:rPr>
          <w:noProof/>
        </w:rPr>
        <w:t xml:space="preserve">ите на много по-дълъг период от време от предвидения от Комисията в нейното предложение през 2018 г.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Нови собствени ресурси ще допълнят традиционните собствени ресурси — опростен собствен ресурс на база на данъка върху добавената стойност и националния пр</w:t>
      </w:r>
      <w:r>
        <w:rPr>
          <w:noProof/>
        </w:rPr>
        <w:t xml:space="preserve">инос, както и нови собствени ресурси на база на нерециклираните отпадъци от пластмасови опаковки. Те ще се основават на приоритетите и политиките на ЕС, целящи справяне с изменението на климата, но и справедливо данъчно облагане в глобализирания свят.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Ком</w:t>
      </w:r>
      <w:r>
        <w:rPr>
          <w:noProof/>
        </w:rPr>
        <w:t>исията е решена да осъществи Зеления пакт. В този контекст собствените „зелени“ ресурси биха могли да допринесат за усилията за възстановяване, като същевременно подкрепят екологичния преход на европейската икономика и общество. Вариантите могат да включва</w:t>
      </w:r>
      <w:r>
        <w:rPr>
          <w:noProof/>
        </w:rPr>
        <w:t xml:space="preserve">т основан на схемата за търговия с емисии собствен ресурс, включително възможното разширяване на обхвата му върху морския и авиационния сектор, както и механизъм за корекция на въглеродните емисии на границите.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В съответствие с обсъжданията на заседаниет</w:t>
      </w:r>
      <w:r>
        <w:rPr>
          <w:noProof/>
        </w:rPr>
        <w:t>о на Европейския съвет през февруари 2020 г. основан на схемата за търговия с емисии собствен ресурс би позволил на държавите членки размерът на приходите им да остане равен на този, който са получили от тръжните продажби през неотдавнашен период. Предвижд</w:t>
      </w:r>
      <w:r>
        <w:rPr>
          <w:noProof/>
        </w:rPr>
        <w:t xml:space="preserve">а се всички приходи от европейската схема за търговия с емисии, надхвърлящи този максимален размер, да отидат в бюджета на ЕС. Този собствен ресурс би могъл да генерира приходи за бюджета на ЕС в размер на около 10 млрд. евро в зависимост от динамиката на </w:t>
      </w:r>
      <w:r>
        <w:rPr>
          <w:noProof/>
        </w:rPr>
        <w:t xml:space="preserve">цената на въглеродните емисии и разширяването на системата към други сектори.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В същото време ще бъде важно да се гарантира, че дружествата от ЕС се конкурират с дружества извън ЕС при еднакви условия. Евентуален механизъм за корекция на въглеродните емиси</w:t>
      </w:r>
      <w:r>
        <w:rPr>
          <w:noProof/>
        </w:rPr>
        <w:t>и на границите би спомогнал за предотвратяване на изместването на въглеродни емисии, което подкопава усилията на ЕС за преход към неутрално по отношение на въглеродните емисии общество. Такъв механизъм би могъл да генерира допълнителни приходи от около 5 д</w:t>
      </w:r>
      <w:r>
        <w:rPr>
          <w:noProof/>
        </w:rPr>
        <w:t xml:space="preserve">о 14 млрд. евро в зависимост от обхвата и структурата на инструмента.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 xml:space="preserve">Дружествата, които извличат огромни ползи от единния пазар на ЕС и ще устоят на кризата, включително благодарение на пряката и непряката подкрепа на равнище ЕС и на национално равнище, </w:t>
      </w:r>
      <w:r>
        <w:rPr>
          <w:noProof/>
        </w:rPr>
        <w:t>биха могли да допринесат за възстановяването му през следкризисния период. Това би могло да бъде под формата на собствен ресурс на база на операциите на предприятията, който в зависимост от структурата на инструмента би могъл да генерира около 10 млрд. евр</w:t>
      </w:r>
      <w:r>
        <w:rPr>
          <w:noProof/>
        </w:rPr>
        <w:t xml:space="preserve">о годишно. </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noProof/>
        </w:rPr>
      </w:pPr>
      <w:r>
        <w:rPr>
          <w:noProof/>
        </w:rPr>
        <w:t>Евентуален цифров данък би бил основан на работата на ОИСР по корпоративното данъчно облагане на значителното цифрово присъствие; Комисията активно подкрепя водените от ОИСР и Г-20 обсъждания и е готова да предприеме действия, ако не бъде пости</w:t>
      </w:r>
      <w:r>
        <w:rPr>
          <w:noProof/>
        </w:rPr>
        <w:t>гнато глобално споразумение. Цифров данък, прилаган за дружествата с оборот над 750 млн. евро, би генерирал до 1,3 млрд. евро годишно за бюджета на ЕС.</w:t>
      </w:r>
    </w:p>
    <w:p w:rsidR="0082322A" w:rsidRDefault="00E13152">
      <w:pPr>
        <w:pStyle w:val="Text2"/>
        <w:pBdr>
          <w:top w:val="dashSmallGap" w:sz="12" w:space="1" w:color="2696D3" w:themeColor="accent1"/>
          <w:left w:val="dashSmallGap" w:sz="12" w:space="4" w:color="2696D3" w:themeColor="accent1"/>
          <w:bottom w:val="dashSmallGap" w:sz="12" w:space="1" w:color="2696D3" w:themeColor="accent1"/>
          <w:right w:val="dashSmallGap" w:sz="12" w:space="4" w:color="2696D3" w:themeColor="accent1"/>
        </w:pBdr>
        <w:spacing w:before="120" w:after="120"/>
        <w:ind w:left="0"/>
        <w:rPr>
          <w:rFonts w:eastAsia="Arial Unicode MS"/>
          <w:noProof/>
        </w:rPr>
      </w:pPr>
      <w:r>
        <w:rPr>
          <w:noProof/>
        </w:rPr>
        <w:t>Тези нови собствени ресурси биха могли да помогнат за финансиране на възстановяването и лихвите по пазар</w:t>
      </w:r>
      <w:r>
        <w:rPr>
          <w:noProof/>
        </w:rPr>
        <w:t>но набраните средства чрез инструмента Next Generation EU. Ако бъдат въведени до 2024 г., националният принос на държавите членки за многогодишната финансова рамка за периода 2021—2027 г. би могъл да намалее като дял от икономиката на всяка от тях в сравне</w:t>
      </w:r>
      <w:r>
        <w:rPr>
          <w:noProof/>
        </w:rPr>
        <w:t xml:space="preserve">ние с плащанията им през 2020 г. </w:t>
      </w:r>
    </w:p>
    <w:p w:rsidR="0082322A" w:rsidRDefault="00E13152">
      <w:pPr>
        <w:pStyle w:val="Text2"/>
        <w:spacing w:before="120" w:after="120"/>
        <w:ind w:left="0"/>
        <w:rPr>
          <w:rFonts w:eastAsia="Arial Unicode MS"/>
          <w:noProof/>
        </w:rPr>
      </w:pPr>
      <w:r>
        <w:rPr>
          <w:noProof/>
        </w:rPr>
        <w:t>Всички приходи и плащания, основани на инструмента Next Generation EU, ще бъдат в допълнение към разпределените по време на годишната бюджетна процедура бюджетни кредити и следователно няма да имат въздействие върху бюджет</w:t>
      </w:r>
      <w:r>
        <w:rPr>
          <w:noProof/>
        </w:rPr>
        <w:t>ното салдо. Тези потоци, включително платените лихви, ще бъдат отделно посочени в бюджета, за да е видим техният временен и изключителен характер и да се осигури пълна прозрачност</w:t>
      </w:r>
      <w:r>
        <w:rPr>
          <w:rStyle w:val="FootnoteReference"/>
          <w:noProof/>
        </w:rPr>
        <w:footnoteReference w:id="10"/>
      </w:r>
      <w:r>
        <w:rPr>
          <w:noProof/>
        </w:rPr>
        <w:t>.</w:t>
      </w:r>
    </w:p>
    <w:p w:rsidR="0082322A" w:rsidRDefault="00E13152">
      <w:pPr>
        <w:spacing w:before="120" w:after="120"/>
        <w:rPr>
          <w:rFonts w:eastAsia="Arial Unicode MS"/>
          <w:noProof/>
        </w:rPr>
      </w:pPr>
      <w:r>
        <w:rPr>
          <w:noProof/>
        </w:rPr>
        <w:t>Освен това икономическото въздействие на причинената от коронавируса панде</w:t>
      </w:r>
      <w:r>
        <w:rPr>
          <w:noProof/>
        </w:rPr>
        <w:t>мия подчертава колко е важно да се осигури достатъчно фискално пространство за Съюза в случай на икономически сътресения, водещи до намаляване на брутния национален доход. С цел да се запази достатъчен марж под таваните на собствените ресурси, за да може С</w:t>
      </w:r>
      <w:r>
        <w:rPr>
          <w:noProof/>
        </w:rPr>
        <w:t>ъюзът да покрие изискуемите през дадена година свои финансови задължения и условни пасиви, дори и при най-неблагоприятни икономически събития, Комисията предлага да се увеличат за постоянно таваните на собствените ресурси на 1,46 % от брутния национален до</w:t>
      </w:r>
      <w:r>
        <w:rPr>
          <w:noProof/>
        </w:rPr>
        <w:t xml:space="preserve">ход на ЕС за поети задължения и на 1,40 % за плащания. </w:t>
      </w:r>
    </w:p>
    <w:p w:rsidR="0082322A" w:rsidRDefault="00E13152">
      <w:pPr>
        <w:pStyle w:val="Heading2"/>
        <w:ind w:left="357" w:hanging="357"/>
      </w:pPr>
      <w:r>
        <w:t>Заключение — пътят към бързо постигане на споразумение за амбициозен бюджет за възстановяване на Европа</w:t>
      </w:r>
    </w:p>
    <w:p w:rsidR="0082322A" w:rsidRDefault="00E13152">
      <w:pPr>
        <w:keepLines/>
        <w:pBdr>
          <w:top w:val="nil"/>
          <w:left w:val="nil"/>
          <w:bottom w:val="nil"/>
          <w:right w:val="nil"/>
          <w:between w:val="nil"/>
          <w:bar w:val="nil"/>
        </w:pBdr>
        <w:spacing w:before="120" w:after="120"/>
        <w:rPr>
          <w:noProof/>
        </w:rPr>
      </w:pPr>
      <w:r>
        <w:rPr>
          <w:noProof/>
        </w:rPr>
        <w:t xml:space="preserve">В настоящия период на извънредни трудности и несигурност е необходимо повече от всякога Съюзът да покаже, че е готов и има волята да действа решително и да подготви пътя към едно по-добро бъдеще. Постигането на споразумение за </w:t>
      </w:r>
      <w:r>
        <w:rPr>
          <w:b/>
          <w:noProof/>
        </w:rPr>
        <w:t>амбициозен план за възстановя</w:t>
      </w:r>
      <w:r>
        <w:rPr>
          <w:b/>
          <w:noProof/>
        </w:rPr>
        <w:t>ване, централна роля в който има бюджетът на ЕС, ще даде на Съюза възможно най-добрия шанс за успех.</w:t>
      </w:r>
    </w:p>
    <w:p w:rsidR="0082322A" w:rsidRDefault="00E13152">
      <w:pPr>
        <w:pBdr>
          <w:top w:val="nil"/>
          <w:left w:val="nil"/>
          <w:bottom w:val="nil"/>
          <w:right w:val="nil"/>
          <w:between w:val="nil"/>
          <w:bar w:val="nil"/>
        </w:pBdr>
        <w:spacing w:before="120" w:after="120"/>
        <w:rPr>
          <w:noProof/>
        </w:rPr>
      </w:pPr>
      <w:r>
        <w:rPr>
          <w:noProof/>
        </w:rPr>
        <w:t>Инструментът Next Generation EU ще отключи пълния потенциал на бюджета на ЕС да даде тласък на икономиката и да засили устойчивостта и стратегическата авто</w:t>
      </w:r>
      <w:r>
        <w:rPr>
          <w:noProof/>
        </w:rPr>
        <w:t xml:space="preserve">номност на Европа. Той се основава на опита на Съюза в ефективното използване на пазарното финансиране и го разширява, за да се постигне мащабът на подкрепа, който е спешно необходим при днешните обстоятелства.  </w:t>
      </w:r>
    </w:p>
    <w:p w:rsidR="0082322A" w:rsidRDefault="00E13152">
      <w:pPr>
        <w:pBdr>
          <w:top w:val="nil"/>
          <w:left w:val="nil"/>
          <w:bottom w:val="nil"/>
          <w:right w:val="nil"/>
          <w:between w:val="nil"/>
          <w:bar w:val="nil"/>
        </w:pBdr>
        <w:spacing w:before="120" w:after="120"/>
        <w:rPr>
          <w:noProof/>
        </w:rPr>
      </w:pPr>
      <w:r>
        <w:rPr>
          <w:noProof/>
        </w:rPr>
        <w:t>Една подсилена многогодишна финансова рамка</w:t>
      </w:r>
      <w:r>
        <w:rPr>
          <w:noProof/>
        </w:rPr>
        <w:t xml:space="preserve"> за периода 2021—2027 г. ще изведе Съюза от преодоляването на кризата на пътя на дългосрочното възстановяване, като осигурява финансиране от основно значение за посрещане на непосредствените нужди и за дългосрочни инвестиции в екологичния и цифровия преход</w:t>
      </w:r>
      <w:r>
        <w:rPr>
          <w:noProof/>
        </w:rPr>
        <w:t>.</w:t>
      </w:r>
    </w:p>
    <w:p w:rsidR="0082322A" w:rsidRDefault="00E13152">
      <w:pPr>
        <w:spacing w:before="120" w:after="120"/>
        <w:rPr>
          <w:noProof/>
        </w:rPr>
      </w:pPr>
      <w:r>
        <w:rPr>
          <w:noProof/>
        </w:rPr>
        <w:t>Успехът на плана за възстановяване ще зависи не само от неговия мащаб и неговата амбиция, но и от бързината на действие и способността за адаптиране на отговора в зависимост от развитието на събитията. В много части на Съюза има спешна нужда от финансова</w:t>
      </w:r>
      <w:r>
        <w:rPr>
          <w:noProof/>
        </w:rPr>
        <w:t xml:space="preserve"> подкрепа, за да се запази дейността на предприятията и да се окаже подкрепа на най-нуждаещите се. Наличното време, за да се постигне на съгласие по дългосрочната рамка, също е ограничено, но все още не е твърде късно. Бързото постигане на споразумение ще </w:t>
      </w:r>
      <w:r>
        <w:rPr>
          <w:noProof/>
        </w:rPr>
        <w:t>даде възможност за своевременно стартиране на подсилените програми.</w:t>
      </w:r>
    </w:p>
    <w:p w:rsidR="0082322A" w:rsidRDefault="00E13152">
      <w:pPr>
        <w:spacing w:before="120" w:after="120"/>
        <w:rPr>
          <w:noProof/>
        </w:rPr>
      </w:pPr>
      <w:r>
        <w:rPr>
          <w:noProof/>
        </w:rPr>
        <w:t>Комисията споделя решимостта на Европейския парламент да се гарантира плавен преход към новата дългосрочна рамка. Удължаването на настоящата рамка обаче не може да замести постигането на ц</w:t>
      </w:r>
      <w:r>
        <w:rPr>
          <w:noProof/>
        </w:rPr>
        <w:t>ялостно споразумение за нов, модерен дългосрочен бюджет. Този вид споразумение е единственият начин Съюзът да разполага с новите програми и инструменти, които ще бъдат от основно значение за изпълнението на плана за възстановяване. Поради това междуинститу</w:t>
      </w:r>
      <w:r>
        <w:rPr>
          <w:noProof/>
        </w:rPr>
        <w:t xml:space="preserve">ционалната работа през следващите седмици следва да се съсредоточи изцяло и без изключения върху финализирането на инструмента Next Generation EU и новата дългосрочна рамка. </w:t>
      </w:r>
    </w:p>
    <w:p w:rsidR="0082322A" w:rsidRDefault="00E13152">
      <w:pPr>
        <w:spacing w:before="120" w:after="120"/>
        <w:rPr>
          <w:b/>
          <w:noProof/>
        </w:rPr>
      </w:pPr>
      <w:r>
        <w:rPr>
          <w:b/>
          <w:noProof/>
        </w:rPr>
        <w:t xml:space="preserve">Европейската комисия приканва Европейския съвет и съзаконодателите незабавно да </w:t>
      </w:r>
      <w:r>
        <w:rPr>
          <w:b/>
          <w:noProof/>
        </w:rPr>
        <w:t>разгледат тези предложения с цел до юли да бъде постигнато политическо споразумение на равнището на Европейския съвет</w:t>
      </w:r>
      <w:r>
        <w:rPr>
          <w:noProof/>
        </w:rPr>
        <w:t>.</w:t>
      </w:r>
      <w:r>
        <w:rPr>
          <w:b/>
          <w:noProof/>
        </w:rPr>
        <w:t xml:space="preserve"> </w:t>
      </w:r>
    </w:p>
    <w:p w:rsidR="0082322A" w:rsidRDefault="00E13152">
      <w:pPr>
        <w:spacing w:before="120" w:after="120"/>
        <w:rPr>
          <w:noProof/>
        </w:rPr>
      </w:pPr>
      <w:r>
        <w:rPr>
          <w:noProof/>
        </w:rPr>
        <w:t>Бързото постигане на решение по предложението за изменение на настоящата рамка ще даде възможност незабавно да бъде осигурено допълнител</w:t>
      </w:r>
      <w:r>
        <w:rPr>
          <w:noProof/>
        </w:rPr>
        <w:t>но финансиране за REACT-EU, Инструмента за подкрепа на платежоспособността и Европейския фонд за устойчиво развитие предвид спешността на посочените потребности.</w:t>
      </w:r>
    </w:p>
    <w:p w:rsidR="0082322A" w:rsidRDefault="00E13152">
      <w:pPr>
        <w:spacing w:before="120" w:after="120"/>
        <w:rPr>
          <w:noProof/>
        </w:rPr>
      </w:pPr>
      <w:r>
        <w:rPr>
          <w:noProof/>
        </w:rPr>
        <w:t>След това Комисията ще продължи да работи в тясно сътрудничество с Европейския парламент и Съв</w:t>
      </w:r>
      <w:r>
        <w:rPr>
          <w:noProof/>
        </w:rPr>
        <w:t xml:space="preserve">ета за финализиране на споразумение относно бъдещата дългосрочна рамка и съпътстващите я секторни програми. Ако задачата бъде изпълнена в началото на есента, това би означавало, че от 1 януари 2021 г. новият дългосрочен бюджет вече ще може да се изпълнява </w:t>
      </w:r>
      <w:r>
        <w:rPr>
          <w:noProof/>
        </w:rPr>
        <w:t>пълноценно и да бъде мощен фактор за възстановяването на Европа.</w:t>
      </w:r>
    </w:p>
    <w:p w:rsidR="0082322A" w:rsidRDefault="00E13152">
      <w:pPr>
        <w:spacing w:before="120" w:after="120"/>
        <w:rPr>
          <w:noProof/>
        </w:rPr>
      </w:pPr>
      <w:r>
        <w:rPr>
          <w:noProof/>
        </w:rPr>
        <w:t>С нашите действия сега ще покажем, че Съюзът е готов да направи всичко необходимо, за да възстанови икономиката си, да защити поминъка на всички европейци и да инвестира в дългосрочния преход</w:t>
      </w:r>
      <w:r>
        <w:rPr>
          <w:noProof/>
        </w:rPr>
        <w:t xml:space="preserve"> на Европа към по-справедливо, по-зелено и цифрово бъдеще.</w:t>
      </w:r>
      <w:r>
        <w:rPr>
          <w:noProof/>
        </w:rPr>
        <w:br w:type="page"/>
      </w:r>
    </w:p>
    <w:p w:rsidR="0082322A" w:rsidRDefault="00E13152">
      <w:pPr>
        <w:pStyle w:val="Caption"/>
        <w:keepNext/>
        <w:jc w:val="left"/>
        <w:rPr>
          <w:noProof/>
        </w:rPr>
      </w:pPr>
      <w:r>
        <w:rPr>
          <w:noProof/>
        </w:rPr>
        <w:t>EUR billion, 2018 prices</w:t>
      </w:r>
    </w:p>
    <w:p w:rsidR="0082322A" w:rsidRDefault="00E13152">
      <w:pPr>
        <w:rPr>
          <w:noProof/>
        </w:rPr>
      </w:pPr>
      <w:r>
        <w:rPr>
          <w:noProof/>
          <w:lang w:val="fr-BE" w:eastAsia="fr-BE"/>
        </w:rPr>
        <w:drawing>
          <wp:inline distT="0" distB="0" distL="0" distR="0">
            <wp:extent cx="5201285" cy="548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1285" cy="5486400"/>
                    </a:xfrm>
                    <a:prstGeom prst="rect">
                      <a:avLst/>
                    </a:prstGeom>
                    <a:noFill/>
                    <a:ln>
                      <a:noFill/>
                    </a:ln>
                  </pic:spPr>
                </pic:pic>
              </a:graphicData>
            </a:graphic>
          </wp:inline>
        </w:drawing>
      </w:r>
    </w:p>
    <w:p w:rsidR="0082322A" w:rsidRDefault="0082322A">
      <w:pPr>
        <w:spacing w:before="120" w:after="120"/>
        <w:jc w:val="center"/>
        <w:rPr>
          <w:rFonts w:eastAsia="Arial Unicode MS"/>
          <w:b/>
          <w:noProof/>
          <w:szCs w:val="24"/>
          <w:u w:color="000000"/>
          <w:bdr w:val="nil"/>
          <w:lang w:eastAsia="fr-BE"/>
        </w:rPr>
      </w:pPr>
    </w:p>
    <w:p w:rsidR="0082322A" w:rsidRDefault="00E13152">
      <w:pPr>
        <w:spacing w:before="120" w:after="120"/>
        <w:jc w:val="center"/>
        <w:rPr>
          <w:noProof/>
        </w:rPr>
      </w:pPr>
      <w:r>
        <w:rPr>
          <w:noProof/>
          <w:lang w:val="fr-BE" w:eastAsia="fr-BE"/>
        </w:rPr>
        <w:drawing>
          <wp:inline distT="0" distB="0" distL="0" distR="0">
            <wp:extent cx="5759450" cy="76827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682793"/>
                    </a:xfrm>
                    <a:prstGeom prst="rect">
                      <a:avLst/>
                    </a:prstGeom>
                    <a:noFill/>
                    <a:ln>
                      <a:noFill/>
                    </a:ln>
                  </pic:spPr>
                </pic:pic>
              </a:graphicData>
            </a:graphic>
          </wp:inline>
        </w:drawing>
      </w:r>
    </w:p>
    <w:p w:rsidR="0082322A" w:rsidRDefault="0082322A">
      <w:pPr>
        <w:spacing w:before="120" w:after="120"/>
        <w:jc w:val="center"/>
        <w:rPr>
          <w:noProof/>
        </w:rPr>
      </w:pPr>
    </w:p>
    <w:p w:rsidR="0082322A" w:rsidRDefault="00E13152">
      <w:pPr>
        <w:spacing w:before="120" w:after="120"/>
        <w:jc w:val="center"/>
        <w:rPr>
          <w:noProof/>
          <w:lang w:val="en-GB"/>
        </w:rPr>
      </w:pPr>
      <w:r>
        <w:rPr>
          <w:noProof/>
          <w:lang w:val="fr-BE" w:eastAsia="fr-BE"/>
        </w:rPr>
        <w:drawing>
          <wp:inline distT="0" distB="0" distL="0" distR="0">
            <wp:extent cx="5759450" cy="8035384"/>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035384"/>
                    </a:xfrm>
                    <a:prstGeom prst="rect">
                      <a:avLst/>
                    </a:prstGeom>
                    <a:noFill/>
                    <a:ln>
                      <a:noFill/>
                    </a:ln>
                  </pic:spPr>
                </pic:pic>
              </a:graphicData>
            </a:graphic>
          </wp:inline>
        </w:drawing>
      </w:r>
    </w:p>
    <w:sectPr w:rsidR="0082322A">
      <w:headerReference w:type="even" r:id="rId27"/>
      <w:headerReference w:type="default" r:id="rId28"/>
      <w:footerReference w:type="even" r:id="rId29"/>
      <w:footerReference w:type="default" r:id="rId30"/>
      <w:headerReference w:type="first" r:id="rId31"/>
      <w:footerReference w:type="first" r:id="rId32"/>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2A" w:rsidRDefault="00E13152">
      <w:pPr>
        <w:spacing w:after="0"/>
      </w:pPr>
      <w:r>
        <w:separator/>
      </w:r>
    </w:p>
  </w:endnote>
  <w:endnote w:type="continuationSeparator" w:id="0">
    <w:p w:rsidR="0082322A" w:rsidRDefault="00E13152">
      <w:pPr>
        <w:spacing w:after="0"/>
      </w:pPr>
      <w:r>
        <w:continuationSeparator/>
      </w:r>
    </w:p>
  </w:endnote>
  <w:endnote w:type="continuationNotice" w:id="1">
    <w:p w:rsidR="0082322A" w:rsidRDefault="008232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Segoe UI Light"/>
    <w:panose1 w:val="020B0506040000020004"/>
    <w:charset w:val="00"/>
    <w:family w:val="swiss"/>
    <w:pitch w:val="variable"/>
    <w:sig w:usb0="A00002BF" w:usb1="5000E0F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FooterCoverPage"/>
      <w:rPr>
        <w:rFonts w:ascii="Arial" w:hAnsi="Arial" w:cs="Arial"/>
        <w:b/>
        <w:sz w:val="48"/>
      </w:rPr>
    </w:pPr>
    <w:r w:rsidRPr="00C81326">
      <w:rPr>
        <w:rFonts w:ascii="Arial" w:hAnsi="Arial" w:cs="Arial"/>
        <w:b/>
        <w:sz w:val="48"/>
      </w:rPr>
      <w:t>BG</w:t>
    </w:r>
    <w:r w:rsidRPr="00C81326">
      <w:rPr>
        <w:rFonts w:ascii="Arial" w:hAnsi="Arial" w:cs="Arial"/>
        <w:b/>
        <w:sz w:val="48"/>
      </w:rPr>
      <w:tab/>
    </w:r>
    <w:r w:rsidRPr="00C81326">
      <w:rPr>
        <w:rFonts w:ascii="Arial" w:hAnsi="Arial" w:cs="Arial"/>
        <w:b/>
        <w:sz w:val="48"/>
      </w:rPr>
      <w:tab/>
    </w:r>
    <w:r w:rsidRPr="00C81326">
      <w:tab/>
    </w:r>
    <w:r w:rsidRPr="00C8132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E13152">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E13152">
    <w:pPr>
      <w:pStyle w:val="FooterLine"/>
      <w:jc w:val="center"/>
      <w:rPr>
        <w:sz w:val="18"/>
      </w:rPr>
    </w:pPr>
    <w:r>
      <w:rPr>
        <w:sz w:val="18"/>
      </w:rPr>
      <w:fldChar w:fldCharType="begin"/>
    </w:r>
    <w:r>
      <w:rPr>
        <w:sz w:val="18"/>
      </w:rPr>
      <w:instrText>PAGE   \* MERGEFORMAT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2A" w:rsidRDefault="00E13152">
      <w:pPr>
        <w:spacing w:after="0"/>
      </w:pPr>
      <w:r>
        <w:separator/>
      </w:r>
    </w:p>
  </w:footnote>
  <w:footnote w:type="continuationSeparator" w:id="0">
    <w:p w:rsidR="0082322A" w:rsidRDefault="00E13152">
      <w:pPr>
        <w:spacing w:after="0"/>
      </w:pPr>
      <w:r>
        <w:continuationSeparator/>
      </w:r>
    </w:p>
  </w:footnote>
  <w:footnote w:type="continuationNotice" w:id="1">
    <w:p w:rsidR="0082322A" w:rsidRDefault="0082322A">
      <w:pPr>
        <w:spacing w:after="0"/>
      </w:pPr>
    </w:p>
  </w:footnote>
  <w:footnote w:id="2">
    <w:p w:rsidR="0082322A" w:rsidRDefault="00E13152">
      <w:pPr>
        <w:pStyle w:val="FootnoteText"/>
        <w:spacing w:after="0"/>
      </w:pPr>
      <w:r>
        <w:rPr>
          <w:rStyle w:val="FootnoteReference"/>
        </w:rPr>
        <w:footnoteRef/>
      </w:r>
      <w:r>
        <w:t xml:space="preserve"> </w:t>
      </w:r>
      <w:r>
        <w:tab/>
        <w:t>COM(2020) 456.</w:t>
      </w:r>
    </w:p>
  </w:footnote>
  <w:footnote w:id="3">
    <w:p w:rsidR="0082322A" w:rsidRDefault="00E13152">
      <w:pPr>
        <w:pStyle w:val="FootnoteText"/>
        <w:spacing w:after="0"/>
      </w:pPr>
      <w:r>
        <w:rPr>
          <w:rStyle w:val="FootnoteReference"/>
        </w:rPr>
        <w:footnoteRef/>
      </w:r>
      <w:r w:rsidR="00C81326">
        <w:tab/>
        <w:t>COM(2020) 9</w:t>
      </w:r>
      <w:r w:rsidR="00C81326">
        <w:rPr>
          <w:lang w:val="fr-BE"/>
        </w:rPr>
        <w:t>8</w:t>
      </w:r>
      <w:bookmarkStart w:id="1" w:name="_GoBack"/>
      <w:bookmarkEnd w:id="1"/>
      <w:r>
        <w:t>.</w:t>
      </w:r>
    </w:p>
  </w:footnote>
  <w:footnote w:id="4">
    <w:p w:rsidR="0082322A" w:rsidRDefault="00E13152">
      <w:pPr>
        <w:pStyle w:val="FootnoteText"/>
        <w:spacing w:after="0"/>
      </w:pPr>
      <w:r>
        <w:rPr>
          <w:rStyle w:val="FootnoteReference"/>
          <w:rFonts w:eastAsia="Arial Unicode MS"/>
          <w:noProof/>
          <w:color w:val="000000"/>
          <w:sz w:val="24"/>
          <w:szCs w:val="24"/>
          <w:u w:color="000000"/>
          <w:bdr w:val="nil"/>
          <w:lang w:eastAsia="fr-BE"/>
        </w:rPr>
        <w:footnoteRef/>
      </w:r>
      <w:r>
        <w:rPr>
          <w:color w:val="000000"/>
          <w:szCs w:val="24"/>
          <w:bdr w:val="none" w:sz="0" w:space="0" w:color="auto" w:frame="1"/>
          <w:lang w:val="en-GB"/>
        </w:rPr>
        <w:t xml:space="preserve"> </w:t>
      </w:r>
      <w:r>
        <w:rPr>
          <w:color w:val="000000"/>
          <w:szCs w:val="24"/>
          <w:bdr w:val="none" w:sz="0" w:space="0" w:color="auto" w:frame="1"/>
          <w:lang w:val="en-GB"/>
        </w:rPr>
        <w:tab/>
      </w:r>
      <w:r>
        <w:rPr>
          <w:color w:val="000000"/>
          <w:szCs w:val="24"/>
          <w:bdr w:val="none" w:sz="0" w:space="0" w:color="auto" w:frame="1"/>
        </w:rPr>
        <w:t xml:space="preserve">Освен ако не е отбелязано друго, сумите са в постоянни цени от </w:t>
      </w:r>
      <w:r>
        <w:rPr>
          <w:color w:val="000000"/>
          <w:szCs w:val="24"/>
          <w:bdr w:val="none" w:sz="0" w:space="0" w:color="auto" w:frame="1"/>
        </w:rPr>
        <w:t>2018 г.</w:t>
      </w:r>
      <w:r>
        <w:t>.</w:t>
      </w:r>
    </w:p>
  </w:footnote>
  <w:footnote w:id="5">
    <w:p w:rsidR="0082322A" w:rsidRDefault="00E13152">
      <w:pPr>
        <w:pStyle w:val="FootnoteText"/>
        <w:spacing w:after="0"/>
      </w:pPr>
      <w:r>
        <w:rPr>
          <w:rStyle w:val="FootnoteReference"/>
        </w:rPr>
        <w:footnoteRef/>
      </w:r>
      <w:r>
        <w:t xml:space="preserve"> </w:t>
      </w:r>
      <w:r>
        <w:tab/>
        <w:t>Въз основа на консервативна оценка за очакваните коефициенти на мултиплициране и резултатите, постигнати със сравними инструменти. Все пак, точността на очакваните коефициенти на мултиплициране може да бъде повлияна от нестабилността на настоящ</w:t>
      </w:r>
      <w:r>
        <w:t>ата икономическа ситуация.</w:t>
      </w:r>
    </w:p>
  </w:footnote>
  <w:footnote w:id="6">
    <w:p w:rsidR="0082322A" w:rsidRDefault="00E13152">
      <w:pPr>
        <w:pStyle w:val="FootnoteText"/>
        <w:spacing w:after="0"/>
      </w:pPr>
      <w:r>
        <w:rPr>
          <w:rStyle w:val="FootnoteReference"/>
        </w:rPr>
        <w:footnoteRef/>
      </w:r>
      <w:r>
        <w:t xml:space="preserve"> </w:t>
      </w:r>
      <w:r>
        <w:tab/>
        <w:t>Резолюция на Европейския парламент от 17 април 2020 г. относно координирани действия на ЕС за борба с пандемията от COVID-19 и последиците от нея, препотвърдена от Резолюция на Европейския парламент от 15 май 2020 г. относно н</w:t>
      </w:r>
      <w:r>
        <w:t xml:space="preserve">овата многогодишна финансова рамка, собствените ресурси и плана за възстановяване. </w:t>
      </w:r>
    </w:p>
  </w:footnote>
  <w:footnote w:id="7">
    <w:p w:rsidR="0082322A" w:rsidRDefault="00E13152">
      <w:pPr>
        <w:pStyle w:val="FootnoteText"/>
        <w:spacing w:after="0"/>
      </w:pPr>
      <w:r>
        <w:rPr>
          <w:rStyle w:val="FootnoteReference"/>
        </w:rPr>
        <w:footnoteRef/>
      </w:r>
      <w:r>
        <w:t xml:space="preserve"> </w:t>
      </w:r>
      <w:r>
        <w:tab/>
        <w:t xml:space="preserve">Заключения на председателя на Европейския съвет след видеоконференцията с членовете на Европейския съвет, 23 април 2020 г. </w:t>
      </w:r>
    </w:p>
  </w:footnote>
  <w:footnote w:id="8">
    <w:p w:rsidR="0082322A" w:rsidRDefault="00E13152">
      <w:pPr>
        <w:pStyle w:val="FootnoteText"/>
        <w:spacing w:after="0"/>
      </w:pPr>
      <w:r>
        <w:rPr>
          <w:rStyle w:val="FootnoteReference"/>
        </w:rPr>
        <w:footnoteRef/>
      </w:r>
      <w:r>
        <w:t xml:space="preserve"> </w:t>
      </w:r>
      <w:r>
        <w:tab/>
        <w:t xml:space="preserve">1,25 млрд. евро от обратни постъпления от </w:t>
      </w:r>
      <w:r>
        <w:t xml:space="preserve">финансови инструменти и 250 млн. евро от бюджета. </w:t>
      </w:r>
    </w:p>
  </w:footnote>
  <w:footnote w:id="9">
    <w:p w:rsidR="0082322A" w:rsidRDefault="00E13152">
      <w:pPr>
        <w:pStyle w:val="FootnoteText"/>
        <w:spacing w:after="0"/>
      </w:pPr>
      <w:r>
        <w:rPr>
          <w:rStyle w:val="FootnoteReference"/>
        </w:rPr>
        <w:footnoteRef/>
      </w:r>
      <w:r>
        <w:t xml:space="preserve"> </w:t>
      </w:r>
      <w:r>
        <w:tab/>
        <w:t>COM(2020) 22 и COM(2020) 23.</w:t>
      </w:r>
    </w:p>
  </w:footnote>
  <w:footnote w:id="10">
    <w:p w:rsidR="0082322A" w:rsidRDefault="00E13152">
      <w:pPr>
        <w:pStyle w:val="FootnoteText"/>
      </w:pPr>
      <w:r>
        <w:rPr>
          <w:rStyle w:val="FootnoteReference"/>
        </w:rPr>
        <w:footnoteRef/>
      </w:r>
      <w:r>
        <w:t xml:space="preserve"> </w:t>
      </w:r>
      <w:r>
        <w:tab/>
        <w:t xml:space="preserve">Разходите по заеми за компонента за безвъзмездни средства на инструмента Next Generation EU ще се плащат от бюджета на ЕС. Прогнозите са тези разходи да възлязат на 17,4 </w:t>
      </w:r>
      <w:r>
        <w:t>млрд. евро за финансовата рамка за периода 2021—2027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6" w:rsidRPr="00C81326" w:rsidRDefault="00C81326" w:rsidP="00C8132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2A" w:rsidRDefault="00823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DB"/>
    <w:multiLevelType w:val="hybridMultilevel"/>
    <w:tmpl w:val="7A1A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4B54"/>
    <w:multiLevelType w:val="hybridMultilevel"/>
    <w:tmpl w:val="366C4E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E5F29FC"/>
    <w:multiLevelType w:val="hybridMultilevel"/>
    <w:tmpl w:val="EDA8FC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369722F"/>
    <w:multiLevelType w:val="hybridMultilevel"/>
    <w:tmpl w:val="AA30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25495"/>
    <w:multiLevelType w:val="hybridMultilevel"/>
    <w:tmpl w:val="1AB0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19507A"/>
    <w:multiLevelType w:val="hybridMultilevel"/>
    <w:tmpl w:val="DCFE96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D1C0EBC"/>
    <w:multiLevelType w:val="hybridMultilevel"/>
    <w:tmpl w:val="D74E7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F8308B"/>
    <w:multiLevelType w:val="hybridMultilevel"/>
    <w:tmpl w:val="077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455480"/>
    <w:multiLevelType w:val="hybridMultilevel"/>
    <w:tmpl w:val="1120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505C3E"/>
    <w:multiLevelType w:val="hybridMultilevel"/>
    <w:tmpl w:val="68F4EF3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53594681"/>
    <w:multiLevelType w:val="hybridMultilevel"/>
    <w:tmpl w:val="084CB6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12A82"/>
    <w:multiLevelType w:val="hybridMultilevel"/>
    <w:tmpl w:val="9CBC4A8C"/>
    <w:lvl w:ilvl="0" w:tplc="6BBEB886">
      <w:start w:val="1"/>
      <w:numFmt w:val="decimal"/>
      <w:pStyle w:val="Heading2"/>
      <w:lvlText w:val="%1."/>
      <w:lvlJc w:val="left"/>
      <w:pPr>
        <w:ind w:left="360" w:hanging="360"/>
      </w:pPr>
    </w:lvl>
    <w:lvl w:ilvl="1" w:tplc="18090019" w:tentative="1">
      <w:start w:val="1"/>
      <w:numFmt w:val="lowerLetter"/>
      <w:lvlText w:val="%2."/>
      <w:lvlJc w:val="left"/>
      <w:pPr>
        <w:ind w:left="-5790" w:hanging="360"/>
      </w:pPr>
    </w:lvl>
    <w:lvl w:ilvl="2" w:tplc="1809001B" w:tentative="1">
      <w:start w:val="1"/>
      <w:numFmt w:val="lowerRoman"/>
      <w:lvlText w:val="%3."/>
      <w:lvlJc w:val="right"/>
      <w:pPr>
        <w:ind w:left="-5070" w:hanging="180"/>
      </w:pPr>
    </w:lvl>
    <w:lvl w:ilvl="3" w:tplc="1809000F" w:tentative="1">
      <w:start w:val="1"/>
      <w:numFmt w:val="decimal"/>
      <w:lvlText w:val="%4."/>
      <w:lvlJc w:val="left"/>
      <w:pPr>
        <w:ind w:left="-435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2910" w:hanging="180"/>
      </w:pPr>
    </w:lvl>
    <w:lvl w:ilvl="6" w:tplc="1809000F" w:tentative="1">
      <w:start w:val="1"/>
      <w:numFmt w:val="decimal"/>
      <w:lvlText w:val="%7."/>
      <w:lvlJc w:val="left"/>
      <w:pPr>
        <w:ind w:left="-2190" w:hanging="360"/>
      </w:pPr>
    </w:lvl>
    <w:lvl w:ilvl="7" w:tplc="18090019" w:tentative="1">
      <w:start w:val="1"/>
      <w:numFmt w:val="lowerLetter"/>
      <w:lvlText w:val="%8."/>
      <w:lvlJc w:val="left"/>
      <w:pPr>
        <w:ind w:left="-1470" w:hanging="360"/>
      </w:pPr>
    </w:lvl>
    <w:lvl w:ilvl="8" w:tplc="1809001B" w:tentative="1">
      <w:start w:val="1"/>
      <w:numFmt w:val="lowerRoman"/>
      <w:lvlText w:val="%9."/>
      <w:lvlJc w:val="right"/>
      <w:pPr>
        <w:ind w:left="-750" w:hanging="180"/>
      </w:pPr>
    </w:lvl>
  </w:abstractNum>
  <w:abstractNum w:abstractNumId="29" w15:restartNumberingAfterBreak="0">
    <w:nsid w:val="56CA5D67"/>
    <w:multiLevelType w:val="hybridMultilevel"/>
    <w:tmpl w:val="01206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55280"/>
    <w:multiLevelType w:val="hybridMultilevel"/>
    <w:tmpl w:val="7A72C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B0A318A"/>
    <w:multiLevelType w:val="hybridMultilevel"/>
    <w:tmpl w:val="9092A8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50758"/>
    <w:multiLevelType w:val="hybridMultilevel"/>
    <w:tmpl w:val="36664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10D94"/>
    <w:multiLevelType w:val="hybridMultilevel"/>
    <w:tmpl w:val="2A4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D0C7E"/>
    <w:multiLevelType w:val="hybridMultilevel"/>
    <w:tmpl w:val="CF7A394A"/>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6333"/>
    <w:multiLevelType w:val="hybridMultilevel"/>
    <w:tmpl w:val="DBEA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63F68"/>
    <w:multiLevelType w:val="hybridMultilevel"/>
    <w:tmpl w:val="739A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5"/>
  </w:num>
  <w:num w:numId="3">
    <w:abstractNumId w:val="9"/>
  </w:num>
  <w:num w:numId="4">
    <w:abstractNumId w:val="16"/>
  </w:num>
  <w:num w:numId="5">
    <w:abstractNumId w:val="26"/>
  </w:num>
  <w:num w:numId="6">
    <w:abstractNumId w:val="31"/>
  </w:num>
  <w:num w:numId="7">
    <w:abstractNumId w:val="3"/>
  </w:num>
  <w:num w:numId="8">
    <w:abstractNumId w:val="8"/>
  </w:num>
  <w:num w:numId="9">
    <w:abstractNumId w:val="20"/>
  </w:num>
  <w:num w:numId="10">
    <w:abstractNumId w:val="4"/>
  </w:num>
  <w:num w:numId="11">
    <w:abstractNumId w:val="5"/>
  </w:num>
  <w:num w:numId="12">
    <w:abstractNumId w:val="6"/>
  </w:num>
  <w:num w:numId="13">
    <w:abstractNumId w:val="10"/>
  </w:num>
  <w:num w:numId="14">
    <w:abstractNumId w:val="18"/>
  </w:num>
  <w:num w:numId="15">
    <w:abstractNumId w:val="25"/>
  </w:num>
  <w:num w:numId="16">
    <w:abstractNumId w:val="38"/>
  </w:num>
  <w:num w:numId="17">
    <w:abstractNumId w:val="11"/>
  </w:num>
  <w:num w:numId="18">
    <w:abstractNumId w:val="39"/>
  </w:num>
  <w:num w:numId="19">
    <w:abstractNumId w:val="28"/>
  </w:num>
  <w:num w:numId="20">
    <w:abstractNumId w:val="7"/>
  </w:num>
  <w:num w:numId="21">
    <w:abstractNumId w:val="22"/>
  </w:num>
  <w:num w:numId="22">
    <w:abstractNumId w:val="36"/>
  </w:num>
  <w:num w:numId="23">
    <w:abstractNumId w:val="30"/>
  </w:num>
  <w:num w:numId="24">
    <w:abstractNumId w:val="21"/>
  </w:num>
  <w:num w:numId="25">
    <w:abstractNumId w:val="29"/>
  </w:num>
  <w:num w:numId="26">
    <w:abstractNumId w:val="13"/>
  </w:num>
  <w:num w:numId="27">
    <w:abstractNumId w:val="34"/>
  </w:num>
  <w:num w:numId="28">
    <w:abstractNumId w:val="14"/>
  </w:num>
  <w:num w:numId="29">
    <w:abstractNumId w:val="0"/>
  </w:num>
  <w:num w:numId="30">
    <w:abstractNumId w:val="33"/>
  </w:num>
  <w:num w:numId="31">
    <w:abstractNumId w:val="24"/>
  </w:num>
  <w:num w:numId="32">
    <w:abstractNumId w:val="27"/>
  </w:num>
  <w:num w:numId="33">
    <w:abstractNumId w:val="33"/>
  </w:num>
  <w:num w:numId="34">
    <w:abstractNumId w:val="12"/>
  </w:num>
  <w:num w:numId="35">
    <w:abstractNumId w:val="17"/>
  </w:num>
  <w:num w:numId="36">
    <w:abstractNumId w:val="35"/>
  </w:num>
  <w:num w:numId="37">
    <w:abstractNumId w:val="19"/>
  </w:num>
  <w:num w:numId="38">
    <w:abstractNumId w:val="23"/>
  </w:num>
  <w:num w:numId="39">
    <w:abstractNumId w:val="28"/>
  </w:num>
  <w:num w:numId="40">
    <w:abstractNumId w:val="1"/>
  </w:num>
  <w:num w:numId="41">
    <w:abstractNumId w:val="32"/>
  </w:num>
  <w:num w:numId="42">
    <w:abstractNumId w:val="37"/>
  </w:num>
  <w:num w:numId="43">
    <w:abstractNumId w:val="2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B2EE483-4260-4A23-9F21-DB7C164E1656"/>
    <w:docVar w:name="LW_COVERPAGE_TYPE" w:val="1"/>
    <w:docVar w:name="LW_CROSSREFERENCE" w:val="&lt;UNUSED&gt;"/>
    <w:docVar w:name="LW_DocType" w:val="5856595BEDB84307A248F84790E949E3"/>
    <w:docVar w:name="LW_EMISSION" w:val="27.5.2020"/>
    <w:docVar w:name="LW_EMISSION_ISODATE" w:val="2020-05-27"/>
    <w:docVar w:name="LW_EMISSION_LOCATION" w:val="BRX"/>
    <w:docVar w:name="LW_EMISSION_PREFIX" w:val="\u1041?\u1088?\u1102?\u1082?\u1089?\u1077?\u1083?,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4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_x000d_&lt;/FMT&gt;_x000b_&lt;FMT:Font=Calibri Cyr&gt;_x000d_&lt;/FMT&gt;_x000b_&lt;FMT:Font=Calibri Cyr&gt;_x000d_&lt;/FMT&gt;_x000b_&lt;FMT:Font=Calibri Cyr&gt;_x000d_&lt;/FMT&gt;_x000b_&lt;FMT:Font=Calibri Cyr&gt;_x000d_&lt;/FMT&gt;_x000b_&lt;FMT:Font=Calibri Cyr&gt;_x000d_&lt;/FMT&gt;_x000b_&lt;FMT:Font=Calibri Cyr&gt;\u1041?\u1102?\u1076?\u1078?\u1077?\u1090?\u1098?\u1090? \u1085?\u1072? \u1045?\u1057? \u1086?\u1089?\u1080?\u1075?\u1091?\u1088?\u1103?\u1074?\u1072? \u1088?\u1077?\u1089?\u1091?\u1088?\u1089? \u1079?\u1072? \u1087?\u1083?\u1072?\u1085?\u1072? \u1079?\u1072? \u1074?\u1098?\u1079?\u1089?\u1090?\u1072?\u1085?\u1086?\u1074?\u1103?\u1074?\u1072?\u1085?\u1077?\u1090?\u1086? \u1085?\u1072? \u1045?\u1074?\u1088?\u1086?\u1087?\u1072?&lt;/FMT&gt;_x000d__x000b__x000d__x000b__x000d__x000d__x000d__x000d__x000d__x000d__x000d__x000d__x000d__x000d__x000d__x000d__x000d__x000b__x000d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82322A"/>
    <w:rsid w:val="0082322A"/>
    <w:rsid w:val="00C81326"/>
    <w:rsid w:val="00E131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9BCDE3"/>
  <w15:docId w15:val="{7DC3F96C-836E-4CAD-9C0F-990541C0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4C4B9A" w:themeColor="text2"/>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jc w:val="left"/>
      <w:outlineLvl w:val="1"/>
    </w:pPr>
    <w:rPr>
      <w:rFonts w:eastAsia="Arial Unicode MS" w:cs="Arial Unicode MS"/>
      <w:b/>
      <w:bCs/>
      <w:noProof/>
      <w:color w:val="2696D3" w:themeColor="accent1"/>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uiPriority w:val="35"/>
    <w:qFormat/>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unhideWhenUsed/>
    <w:qFormat/>
    <w:locked/>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sz w:val="20"/>
    </w:rPr>
  </w:style>
  <w:style w:type="paragraph" w:customStyle="1" w:styleId="Nota">
    <w:name w:val="Nota"/>
    <w:aliases w:val="Char1,(NECG) Footnote Reference,fr,Appel note de bas de p,o,Style 6,Signature Ch, Char1"/>
    <w:basedOn w:val="Normal"/>
    <w:link w:val="FootnoteReference"/>
    <w:uiPriority w:val="99"/>
    <w:pPr>
      <w:spacing w:after="160" w:line="240" w:lineRule="exact"/>
    </w:pPr>
    <w:rPr>
      <w:vertAlign w:val="superscript"/>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locked/>
    <w:pPr>
      <w:spacing w:line="264" w:lineRule="auto"/>
      <w:ind w:left="720"/>
      <w:contextualSpacing/>
    </w:pPr>
    <w:rPr>
      <w:rFonts w:ascii="EC Square Sans Pro" w:eastAsiaTheme="minorEastAsia" w:hAnsi="EC Square Sans Pro" w:cstheme="minorBidi"/>
      <w:sz w:val="22"/>
      <w:szCs w:val="22"/>
      <w:lang w:eastAsia="nl-BE"/>
    </w:rPr>
  </w:style>
  <w:style w:type="character" w:styleId="CommentReference">
    <w:name w:val="annotation reference"/>
    <w:basedOn w:val="DefaultParagraphFont"/>
    <w:unhideWhenUsed/>
    <w:locked/>
    <w:rPr>
      <w:sz w:val="16"/>
      <w:szCs w:val="16"/>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EC Square Sans Pro" w:eastAsiaTheme="minorEastAsia" w:hAnsi="EC Square Sans Pro" w:cstheme="minorBidi"/>
      <w:sz w:val="22"/>
      <w:szCs w:val="22"/>
      <w:lang w:val="bg-BG" w:eastAsia="nl-BE"/>
    </w:rPr>
  </w:style>
  <w:style w:type="paragraph" w:styleId="CommentText">
    <w:name w:val="annotation text"/>
    <w:basedOn w:val="Normal"/>
    <w:link w:val="CommentTextChar"/>
    <w:unhideWhenUsed/>
    <w:locked/>
    <w:rPr>
      <w:sz w:val="20"/>
    </w:rPr>
  </w:style>
  <w:style w:type="character" w:customStyle="1" w:styleId="CommentTextChar">
    <w:name w:val="Comment Text Char"/>
    <w:basedOn w:val="DefaultParagraphFont"/>
    <w:link w:val="CommentText"/>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table" w:styleId="TableGrid">
    <w:name w:val="Table Grid"/>
    <w:basedOn w:val="TableNormal"/>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56">
      <w:bodyDiv w:val="1"/>
      <w:marLeft w:val="0"/>
      <w:marRight w:val="0"/>
      <w:marTop w:val="0"/>
      <w:marBottom w:val="0"/>
      <w:divBdr>
        <w:top w:val="none" w:sz="0" w:space="0" w:color="auto"/>
        <w:left w:val="none" w:sz="0" w:space="0" w:color="auto"/>
        <w:bottom w:val="none" w:sz="0" w:space="0" w:color="auto"/>
        <w:right w:val="none" w:sz="0" w:space="0" w:color="auto"/>
      </w:divBdr>
    </w:div>
    <w:div w:id="188102222">
      <w:bodyDiv w:val="1"/>
      <w:marLeft w:val="0"/>
      <w:marRight w:val="0"/>
      <w:marTop w:val="0"/>
      <w:marBottom w:val="0"/>
      <w:divBdr>
        <w:top w:val="none" w:sz="0" w:space="0" w:color="auto"/>
        <w:left w:val="none" w:sz="0" w:space="0" w:color="auto"/>
        <w:bottom w:val="none" w:sz="0" w:space="0" w:color="auto"/>
        <w:right w:val="none" w:sz="0" w:space="0" w:color="auto"/>
      </w:divBdr>
    </w:div>
    <w:div w:id="256913910">
      <w:bodyDiv w:val="1"/>
      <w:marLeft w:val="0"/>
      <w:marRight w:val="0"/>
      <w:marTop w:val="0"/>
      <w:marBottom w:val="0"/>
      <w:divBdr>
        <w:top w:val="none" w:sz="0" w:space="0" w:color="auto"/>
        <w:left w:val="none" w:sz="0" w:space="0" w:color="auto"/>
        <w:bottom w:val="none" w:sz="0" w:space="0" w:color="auto"/>
        <w:right w:val="none" w:sz="0" w:space="0" w:color="auto"/>
      </w:divBdr>
    </w:div>
    <w:div w:id="378088826">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89767733">
      <w:bodyDiv w:val="1"/>
      <w:marLeft w:val="0"/>
      <w:marRight w:val="0"/>
      <w:marTop w:val="0"/>
      <w:marBottom w:val="0"/>
      <w:divBdr>
        <w:top w:val="none" w:sz="0" w:space="0" w:color="auto"/>
        <w:left w:val="none" w:sz="0" w:space="0" w:color="auto"/>
        <w:bottom w:val="none" w:sz="0" w:space="0" w:color="auto"/>
        <w:right w:val="none" w:sz="0" w:space="0" w:color="auto"/>
      </w:divBdr>
    </w:div>
    <w:div w:id="777259577">
      <w:bodyDiv w:val="1"/>
      <w:marLeft w:val="0"/>
      <w:marRight w:val="0"/>
      <w:marTop w:val="0"/>
      <w:marBottom w:val="0"/>
      <w:divBdr>
        <w:top w:val="none" w:sz="0" w:space="0" w:color="auto"/>
        <w:left w:val="none" w:sz="0" w:space="0" w:color="auto"/>
        <w:bottom w:val="none" w:sz="0" w:space="0" w:color="auto"/>
        <w:right w:val="none" w:sz="0" w:space="0" w:color="auto"/>
      </w:divBdr>
    </w:div>
    <w:div w:id="916209400">
      <w:bodyDiv w:val="1"/>
      <w:marLeft w:val="0"/>
      <w:marRight w:val="0"/>
      <w:marTop w:val="0"/>
      <w:marBottom w:val="0"/>
      <w:divBdr>
        <w:top w:val="none" w:sz="0" w:space="0" w:color="auto"/>
        <w:left w:val="none" w:sz="0" w:space="0" w:color="auto"/>
        <w:bottom w:val="none" w:sz="0" w:space="0" w:color="auto"/>
        <w:right w:val="none" w:sz="0" w:space="0" w:color="auto"/>
      </w:divBdr>
    </w:div>
    <w:div w:id="937059301">
      <w:bodyDiv w:val="1"/>
      <w:marLeft w:val="0"/>
      <w:marRight w:val="0"/>
      <w:marTop w:val="0"/>
      <w:marBottom w:val="0"/>
      <w:divBdr>
        <w:top w:val="none" w:sz="0" w:space="0" w:color="auto"/>
        <w:left w:val="none" w:sz="0" w:space="0" w:color="auto"/>
        <w:bottom w:val="none" w:sz="0" w:space="0" w:color="auto"/>
        <w:right w:val="none" w:sz="0" w:space="0" w:color="auto"/>
      </w:divBdr>
    </w:div>
    <w:div w:id="980501634">
      <w:bodyDiv w:val="1"/>
      <w:marLeft w:val="0"/>
      <w:marRight w:val="0"/>
      <w:marTop w:val="0"/>
      <w:marBottom w:val="0"/>
      <w:divBdr>
        <w:top w:val="none" w:sz="0" w:space="0" w:color="auto"/>
        <w:left w:val="none" w:sz="0" w:space="0" w:color="auto"/>
        <w:bottom w:val="none" w:sz="0" w:space="0" w:color="auto"/>
        <w:right w:val="none" w:sz="0" w:space="0" w:color="auto"/>
      </w:divBdr>
    </w:div>
    <w:div w:id="1017927097">
      <w:bodyDiv w:val="1"/>
      <w:marLeft w:val="0"/>
      <w:marRight w:val="0"/>
      <w:marTop w:val="0"/>
      <w:marBottom w:val="0"/>
      <w:divBdr>
        <w:top w:val="none" w:sz="0" w:space="0" w:color="auto"/>
        <w:left w:val="none" w:sz="0" w:space="0" w:color="auto"/>
        <w:bottom w:val="none" w:sz="0" w:space="0" w:color="auto"/>
        <w:right w:val="none" w:sz="0" w:space="0" w:color="auto"/>
      </w:divBdr>
    </w:div>
    <w:div w:id="1138107778">
      <w:bodyDiv w:val="1"/>
      <w:marLeft w:val="0"/>
      <w:marRight w:val="0"/>
      <w:marTop w:val="0"/>
      <w:marBottom w:val="0"/>
      <w:divBdr>
        <w:top w:val="none" w:sz="0" w:space="0" w:color="auto"/>
        <w:left w:val="none" w:sz="0" w:space="0" w:color="auto"/>
        <w:bottom w:val="none" w:sz="0" w:space="0" w:color="auto"/>
        <w:right w:val="none" w:sz="0" w:space="0" w:color="auto"/>
      </w:divBdr>
    </w:div>
    <w:div w:id="1219781017">
      <w:bodyDiv w:val="1"/>
      <w:marLeft w:val="0"/>
      <w:marRight w:val="0"/>
      <w:marTop w:val="0"/>
      <w:marBottom w:val="0"/>
      <w:divBdr>
        <w:top w:val="none" w:sz="0" w:space="0" w:color="auto"/>
        <w:left w:val="none" w:sz="0" w:space="0" w:color="auto"/>
        <w:bottom w:val="none" w:sz="0" w:space="0" w:color="auto"/>
        <w:right w:val="none" w:sz="0" w:space="0" w:color="auto"/>
      </w:divBdr>
    </w:div>
    <w:div w:id="1223826951">
      <w:bodyDiv w:val="1"/>
      <w:marLeft w:val="0"/>
      <w:marRight w:val="0"/>
      <w:marTop w:val="0"/>
      <w:marBottom w:val="0"/>
      <w:divBdr>
        <w:top w:val="none" w:sz="0" w:space="0" w:color="auto"/>
        <w:left w:val="none" w:sz="0" w:space="0" w:color="auto"/>
        <w:bottom w:val="none" w:sz="0" w:space="0" w:color="auto"/>
        <w:right w:val="none" w:sz="0" w:space="0" w:color="auto"/>
      </w:divBdr>
    </w:div>
    <w:div w:id="1468669537">
      <w:bodyDiv w:val="1"/>
      <w:marLeft w:val="0"/>
      <w:marRight w:val="0"/>
      <w:marTop w:val="0"/>
      <w:marBottom w:val="0"/>
      <w:divBdr>
        <w:top w:val="none" w:sz="0" w:space="0" w:color="auto"/>
        <w:left w:val="none" w:sz="0" w:space="0" w:color="auto"/>
        <w:bottom w:val="none" w:sz="0" w:space="0" w:color="auto"/>
        <w:right w:val="none" w:sz="0" w:space="0" w:color="auto"/>
      </w:divBdr>
    </w:div>
    <w:div w:id="1656110838">
      <w:bodyDiv w:val="1"/>
      <w:marLeft w:val="0"/>
      <w:marRight w:val="0"/>
      <w:marTop w:val="0"/>
      <w:marBottom w:val="0"/>
      <w:divBdr>
        <w:top w:val="none" w:sz="0" w:space="0" w:color="auto"/>
        <w:left w:val="none" w:sz="0" w:space="0" w:color="auto"/>
        <w:bottom w:val="none" w:sz="0" w:space="0" w:color="auto"/>
        <w:right w:val="none" w:sz="0" w:space="0" w:color="auto"/>
      </w:divBdr>
    </w:div>
    <w:div w:id="1678969879">
      <w:bodyDiv w:val="1"/>
      <w:marLeft w:val="0"/>
      <w:marRight w:val="0"/>
      <w:marTop w:val="0"/>
      <w:marBottom w:val="0"/>
      <w:divBdr>
        <w:top w:val="none" w:sz="0" w:space="0" w:color="auto"/>
        <w:left w:val="none" w:sz="0" w:space="0" w:color="auto"/>
        <w:bottom w:val="none" w:sz="0" w:space="0" w:color="auto"/>
        <w:right w:val="none" w:sz="0" w:space="0" w:color="auto"/>
      </w:divBdr>
    </w:div>
    <w:div w:id="1690060376">
      <w:bodyDiv w:val="1"/>
      <w:marLeft w:val="0"/>
      <w:marRight w:val="0"/>
      <w:marTop w:val="0"/>
      <w:marBottom w:val="0"/>
      <w:divBdr>
        <w:top w:val="none" w:sz="0" w:space="0" w:color="auto"/>
        <w:left w:val="none" w:sz="0" w:space="0" w:color="auto"/>
        <w:bottom w:val="none" w:sz="0" w:space="0" w:color="auto"/>
        <w:right w:val="none" w:sz="0" w:space="0" w:color="auto"/>
      </w:divBdr>
    </w:div>
    <w:div w:id="1889562960">
      <w:bodyDiv w:val="1"/>
      <w:marLeft w:val="0"/>
      <w:marRight w:val="0"/>
      <w:marTop w:val="0"/>
      <w:marBottom w:val="0"/>
      <w:divBdr>
        <w:top w:val="none" w:sz="0" w:space="0" w:color="auto"/>
        <w:left w:val="none" w:sz="0" w:space="0" w:color="auto"/>
        <w:bottom w:val="none" w:sz="0" w:space="0" w:color="auto"/>
        <w:right w:val="none" w:sz="0" w:space="0" w:color="auto"/>
      </w:divBdr>
    </w:div>
    <w:div w:id="1896160588">
      <w:bodyDiv w:val="1"/>
      <w:marLeft w:val="0"/>
      <w:marRight w:val="0"/>
      <w:marTop w:val="0"/>
      <w:marBottom w:val="0"/>
      <w:divBdr>
        <w:top w:val="none" w:sz="0" w:space="0" w:color="auto"/>
        <w:left w:val="none" w:sz="0" w:space="0" w:color="auto"/>
        <w:bottom w:val="none" w:sz="0" w:space="0" w:color="auto"/>
        <w:right w:val="none" w:sz="0" w:space="0" w:color="auto"/>
      </w:divBdr>
    </w:div>
    <w:div w:id="1919243203">
      <w:bodyDiv w:val="1"/>
      <w:marLeft w:val="0"/>
      <w:marRight w:val="0"/>
      <w:marTop w:val="0"/>
      <w:marBottom w:val="0"/>
      <w:divBdr>
        <w:top w:val="none" w:sz="0" w:space="0" w:color="auto"/>
        <w:left w:val="none" w:sz="0" w:space="0" w:color="auto"/>
        <w:bottom w:val="none" w:sz="0" w:space="0" w:color="auto"/>
        <w:right w:val="none" w:sz="0" w:space="0" w:color="auto"/>
      </w:divBdr>
    </w:div>
    <w:div w:id="1979992857">
      <w:bodyDiv w:val="1"/>
      <w:marLeft w:val="0"/>
      <w:marRight w:val="0"/>
      <w:marTop w:val="0"/>
      <w:marBottom w:val="0"/>
      <w:divBdr>
        <w:top w:val="none" w:sz="0" w:space="0" w:color="auto"/>
        <w:left w:val="none" w:sz="0" w:space="0" w:color="auto"/>
        <w:bottom w:val="none" w:sz="0" w:space="0" w:color="auto"/>
        <w:right w:val="none" w:sz="0" w:space="0" w:color="auto"/>
      </w:divBdr>
    </w:div>
    <w:div w:id="2020353589">
      <w:bodyDiv w:val="1"/>
      <w:marLeft w:val="0"/>
      <w:marRight w:val="0"/>
      <w:marTop w:val="0"/>
      <w:marBottom w:val="0"/>
      <w:divBdr>
        <w:top w:val="none" w:sz="0" w:space="0" w:color="auto"/>
        <w:left w:val="none" w:sz="0" w:space="0" w:color="auto"/>
        <w:bottom w:val="none" w:sz="0" w:space="0" w:color="auto"/>
        <w:right w:val="none" w:sz="0" w:space="0" w:color="auto"/>
      </w:divBdr>
    </w:div>
    <w:div w:id="2140948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ovid19 Recovery">
      <a:dk1>
        <a:srgbClr val="0E4194"/>
      </a:dk1>
      <a:lt1>
        <a:sysClr val="window" lastClr="FFFFFF"/>
      </a:lt1>
      <a:dk2>
        <a:srgbClr val="4C4B9A"/>
      </a:dk2>
      <a:lt2>
        <a:srgbClr val="E7E6E6"/>
      </a:lt2>
      <a:accent1>
        <a:srgbClr val="2696D3"/>
      </a:accent1>
      <a:accent2>
        <a:srgbClr val="FEC00F"/>
      </a:accent2>
      <a:accent3>
        <a:srgbClr val="5F68AB"/>
      </a:accent3>
      <a:accent4>
        <a:srgbClr val="93C5B9"/>
      </a:accent4>
      <a:accent5>
        <a:srgbClr val="034EA2"/>
      </a:accent5>
      <a:accent6>
        <a:srgbClr val="F380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10.0.39616.0</Version>
    <Date>2019-10-02T10:30:58</Date>
    <Language>EN</Language>
  </Created>
  <Edited>
    <Version>10.0.40769.0</Version>
    <Date>2020-05-27T18:13:59</Date>
  </Edited>
  <DocumentModel>
    <Id>6cbda13a-4db2-46c6-876a-ef72275827ef</Id>
    <Name>Report</Name>
  </DocumentModel>
  <DocumentDate>2019-10-02T10:30:58</DocumentDate>
  <DocumentVersion>0.1</DocumentVersion>
  <CompatibilityMode>Eurolook10</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233B984F-147D-44DC-A0D6-EE1B2C92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8560</Words>
  <Characters>50164</Characters>
  <Application>Microsoft Office Word</Application>
  <DocSecurity>0</DocSecurity>
  <PresentationFormat>Microsoft Word 14.0</PresentationFormat>
  <Lines>836</Lines>
  <Paragraphs>155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22</cp:revision>
  <dcterms:created xsi:type="dcterms:W3CDTF">2020-05-27T15:10:00Z</dcterms:created>
  <dcterms:modified xsi:type="dcterms:W3CDTF">2020-05-27T16:14:00Z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