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1558FBD0-5139-46EC-B6B3-942984534732" style="width:450.7pt;height:347.8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jc w:val="center"/>
        <w:rPr>
          <w:b/>
          <w:noProof/>
        </w:rPr>
      </w:pPr>
      <w:bookmarkStart w:id="1" w:name="_Toc290299526"/>
      <w:bookmarkStart w:id="2" w:name="_Toc293654075"/>
      <w:bookmarkStart w:id="3" w:name="_Toc295473794"/>
      <w:bookmarkStart w:id="4" w:name="_Toc297024215"/>
      <w:bookmarkStart w:id="5" w:name="_GoBack"/>
      <w:bookmarkEnd w:id="5"/>
    </w:p>
    <w:p>
      <w:pPr>
        <w:jc w:val="center"/>
        <w:rPr>
          <w:b/>
          <w:noProof/>
        </w:rPr>
      </w:pPr>
    </w:p>
    <w:p>
      <w:pPr>
        <w:jc w:val="center"/>
        <w:rPr>
          <w:b/>
          <w:noProof/>
        </w:rPr>
      </w:pPr>
      <w:r>
        <w:rPr>
          <w:b/>
          <w:noProof/>
        </w:rPr>
        <w:t>Proposition modifiée de</w:t>
      </w:r>
    </w:p>
    <w:p>
      <w:pPr>
        <w:jc w:val="center"/>
        <w:rPr>
          <w:b/>
          <w:noProof/>
        </w:rPr>
      </w:pPr>
      <w:r>
        <w:rPr>
          <w:b/>
          <w:noProof/>
        </w:rPr>
        <w:t>Accord interinstitutionnel</w:t>
      </w:r>
    </w:p>
    <w:p>
      <w:pPr>
        <w:jc w:val="center"/>
        <w:rPr>
          <w:b/>
          <w:noProof/>
        </w:rPr>
      </w:pPr>
      <w:r>
        <w:rPr>
          <w:b/>
          <w:noProof/>
        </w:rPr>
        <w:t>entre le Parlement européen, le Conseil et la Commission sur la discipline budgétaire, la coopération en matière budgétaire et la bonne gestion financière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</w:rPr>
        <w:t>La proposition COM(2018) 323 de la Commission est modifiée comme suit:</w:t>
      </w:r>
    </w:p>
    <w:p>
      <w:pPr>
        <w:pStyle w:val="Point0number"/>
        <w:rPr>
          <w:noProof/>
        </w:rPr>
      </w:pPr>
      <w:r>
        <w:rPr>
          <w:noProof/>
        </w:rPr>
        <w:t>Dans la partie I.B, le point 11 est remplacé par le texte suivant:</w:t>
      </w:r>
    </w:p>
    <w:bookmarkEnd w:id="1"/>
    <w:bookmarkEnd w:id="2"/>
    <w:bookmarkEnd w:id="3"/>
    <w:bookmarkEnd w:id="4"/>
    <w:p>
      <w:pPr>
        <w:pStyle w:val="Text1"/>
        <w:rPr>
          <w:noProof/>
        </w:rPr>
      </w:pPr>
      <w:r>
        <w:rPr>
          <w:noProof/>
        </w:rPr>
        <w:t>«</w:t>
      </w:r>
      <w:r>
        <w:rPr>
          <w:i/>
          <w:noProof/>
        </w:rPr>
        <w:t>Réserve de solidarité et d'aide d'urgence</w:t>
      </w:r>
    </w:p>
    <w:p>
      <w:pPr>
        <w:pStyle w:val="Text1"/>
        <w:rPr>
          <w:noProof/>
        </w:rPr>
      </w:pPr>
      <w:r>
        <w:rPr>
          <w:noProof/>
        </w:rPr>
        <w:t>11. Lorsque la Commission considère qu'il convient d'appeler la réserve de solidarité et d'aide d'urgence, elle présente au Parlement européen et au Conseil une proposition de virement à partir de la réserve vers les lignes budgétaires correspondantes conformément au règlement financier.»</w:t>
      </w:r>
    </w:p>
    <w:p>
      <w:pPr>
        <w:pStyle w:val="Point0number"/>
        <w:rPr>
          <w:noProof/>
        </w:rPr>
      </w:pPr>
      <w:r>
        <w:rPr>
          <w:noProof/>
        </w:rPr>
        <w:t>Dans la partie II.A, le point 15 bis suivant est inséré:</w:t>
      </w:r>
    </w:p>
    <w:p>
      <w:pPr>
        <w:pStyle w:val="Text1"/>
        <w:rPr>
          <w:noProof/>
        </w:rPr>
      </w:pPr>
      <w:r>
        <w:rPr>
          <w:noProof/>
        </w:rPr>
        <w:t>«15 bis. La Commission établit un rapport annuel sur la mise en œuvre de l’instrument de l'Union européenne pour la relance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(ci-après l'«instrument européen pour la relance»), qui rassemble les informations disponibles et non confidentielles concernant: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les éléments d'actif et de passif résultant des opérations d'emprunt et de prêt effectuées en vertu de l'article 3 ter de la décision relative aux ressources propres</w:t>
      </w:r>
      <w:r>
        <w:rPr>
          <w:rStyle w:val="FootnoteReference"/>
          <w:rFonts w:eastAsia="Times New Roman"/>
          <w:noProof/>
          <w:szCs w:val="24"/>
          <w:lang w:eastAsia="de-DE"/>
        </w:rPr>
        <w:footnoteReference w:id="2"/>
      </w:r>
      <w:r>
        <w:rPr>
          <w:noProof/>
        </w:rPr>
        <w:t>,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le volume global des recettes affectées aux programmes de l'Union relatifs à la mise en œuvre de l'instrument européen pour la relance au cours de l'année précédente, ventilé par programme et par ligne budgétaire,</w:t>
      </w:r>
    </w:p>
    <w:p>
      <w:pPr>
        <w:pStyle w:val="Tiret1"/>
        <w:tabs>
          <w:tab w:val="num" w:pos="1417"/>
        </w:tabs>
        <w:ind w:left="1417" w:hanging="567"/>
        <w:rPr>
          <w:rFonts w:eastAsia="Times New Roman"/>
          <w:noProof/>
          <w:szCs w:val="24"/>
        </w:rPr>
      </w:pPr>
      <w:r>
        <w:rPr>
          <w:noProof/>
        </w:rPr>
        <w:t>-</w:t>
      </w:r>
      <w:r>
        <w:rPr>
          <w:noProof/>
        </w:rPr>
        <w:tab/>
        <w:t>la contribution des fonds empruntés à la réalisation des objectifs de l'instrument européen pour la relance et des programmes spécifiques de l'Union.»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413364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 xml:space="preserve"> JO… du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 xml:space="preserve"> JO… du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74A6"/>
    <w:multiLevelType w:val="multilevel"/>
    <w:tmpl w:val="056EBA2E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7B856F6"/>
    <w:multiLevelType w:val="singleLevel"/>
    <w:tmpl w:val="0AB28E9C"/>
    <w:name w:val="Tiret 2"/>
    <w:lvl w:ilvl="0">
      <w:start w:val="1"/>
      <w:numFmt w:val="bullet"/>
      <w:lvlRestart w:val="0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1"/>
  </w:num>
  <w:num w:numId="10">
    <w:abstractNumId w:val="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CORRIGENDUM" w:val="&lt;UNUSED&gt;"/>
    <w:docVar w:name="LW_COVERPAGE_EXISTS" w:val="True"/>
    <w:docVar w:name="LW_COVERPAGE_GUID" w:val="1558FBD0-5139-46EC-B6B3-942984534732"/>
    <w:docVar w:name="LW_COVERPAGE_TYPE" w:val="1"/>
    <w:docVar w:name="LW_CROSSREFERENCE" w:val="&lt;UNUSED&gt;"/>
    <w:docVar w:name="LW_DocType" w:val="NORMAL"/>
    <w:docVar w:name="LW_EMISSION" w:val="28.5.2020"/>
    <w:docVar w:name="LW_EMISSION_ISODATE" w:val="2020-05-28"/>
    <w:docVar w:name="LW_EMISSION_LOCATION" w:val="BRX"/>
    <w:docVar w:name="LW_EMISSION_PREFIX" w:val="Bruxelles, le "/>
    <w:docVar w:name="LW_EMISSION_SUFFIX" w:val=" "/>
    <w:docVar w:name="LW_ID_DOCTYPE_NONLW" w:val="CP-035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20"/>
    <w:docVar w:name="LW_REF.INST.NEW" w:val="COM"/>
    <w:docVar w:name="LW_REF.INST.NEW_ADOPTED" w:val="final"/>
    <w:docVar w:name="LW_REF.INST.NEW_TEXT" w:val="(2020) 44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OUS.TITRE.OBJ.CP" w:val="&lt;UNUSED&gt;"/>
    <w:docVar w:name="LW_SUPERTITRE" w:val="&lt;UNUSED&gt;"/>
    <w:docVar w:name="LW_TITRE.OBJ.CP" w:val="&lt;FMT:Bold&gt;entre le Parlement européen, le Conseil et la Commission sur la discipline budgétaire, la coopération en matière budgétaire et la bonne gestion financière&lt;/FMT&gt;_x000d__x000b_"/>
    <w:docVar w:name="LW_TYPE.DOC.CP" w:val="Proposition modifiée de_x000b__x000b_Accord interinstitutionne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Manual">
    <w:name w:val="Manual"/>
    <w:basedOn w:val="NumPar1"/>
    <w:pPr>
      <w:numPr>
        <w:numId w:val="0"/>
      </w:numPr>
      <w:ind w:left="850"/>
    </w:pPr>
    <w:rPr>
      <w:noProof/>
    </w:rPr>
  </w:style>
  <w:style w:type="paragraph" w:customStyle="1" w:styleId="Tiret1">
    <w:name w:val="Tiret 1"/>
    <w:basedOn w:val="Normal"/>
    <w:rPr>
      <w:rFonts w:eastAsiaTheme="minorHAnsi"/>
      <w:szCs w:val="22"/>
      <w:lang w:eastAsia="en-US"/>
    </w:rPr>
  </w:style>
  <w:style w:type="paragraph" w:customStyle="1" w:styleId="Tiret0">
    <w:name w:val="Tiret 0"/>
    <w:basedOn w:val="Normal"/>
    <w:rPr>
      <w:rFonts w:eastAsiaTheme="minorHAnsi"/>
      <w:szCs w:val="22"/>
      <w:lang w:eastAsia="en-US"/>
    </w:rPr>
  </w:style>
  <w:style w:type="paragraph" w:customStyle="1" w:styleId="PartTitle">
    <w:name w:val="PartTitle"/>
    <w:basedOn w:val="Normal"/>
    <w:next w:val="Normal"/>
    <w:pPr>
      <w:keepNext/>
      <w:pageBreakBefore/>
      <w:spacing w:after="360"/>
      <w:jc w:val="center"/>
    </w:pPr>
    <w:rPr>
      <w:rFonts w:eastAsiaTheme="minorHAnsi"/>
      <w:b/>
      <w:sz w:val="36"/>
      <w:szCs w:val="22"/>
      <w:lang w:eastAsia="en-US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rFonts w:eastAsiaTheme="minorHAnsi"/>
      <w:b/>
      <w:smallCaps/>
      <w:szCs w:val="22"/>
      <w:lang w:eastAsia="en-US"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rFonts w:eastAsiaTheme="minorHAnsi"/>
      <w:b/>
      <w:sz w:val="32"/>
      <w:szCs w:val="22"/>
      <w:lang w:eastAsia="en-US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Manualnum">
    <w:name w:val="Manual num"/>
    <w:basedOn w:val="NumPar1"/>
    <w:rPr>
      <w:noProof/>
    </w:rPr>
  </w:style>
  <w:style w:type="paragraph" w:customStyle="1" w:styleId="ManualNumPar1">
    <w:name w:val="Manual NumPar 1"/>
    <w:basedOn w:val="Normal"/>
    <w:next w:val="Text1"/>
    <w:pPr>
      <w:ind w:left="850" w:hanging="850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al"/>
    <w:pPr>
      <w:numPr>
        <w:numId w:val="9"/>
      </w:numPr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</w:pPr>
    <w:rPr>
      <w:rFonts w:eastAsiaTheme="minorHAnsi"/>
      <w:szCs w:val="22"/>
      <w:lang w:eastAsia="en-US"/>
    </w:rPr>
  </w:style>
  <w:style w:type="paragraph" w:customStyle="1" w:styleId="Tiret2">
    <w:name w:val="Tiret 2"/>
    <w:basedOn w:val="NumPar1"/>
    <w:pPr>
      <w:numPr>
        <w:numId w:val="0"/>
      </w:numPr>
      <w:ind w:left="851" w:hanging="426"/>
    </w:pPr>
    <w:rPr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rFonts w:eastAsiaTheme="minorHAnsi"/>
      <w:szCs w:val="22"/>
      <w:lang w:eastAsia="en-US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  <w:semiHidden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Exposdesmotifstitre">
    <w:name w:val="Exposé des motifs titre"/>
    <w:basedOn w:val="Normal"/>
    <w:next w:val="Normal"/>
    <w:link w:val="ExposdesmotifstitreChar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Normal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Normal"/>
    <w:pPr>
      <w:spacing w:before="360" w:after="0"/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styleId="Header">
    <w:name w:val="header"/>
    <w:basedOn w:val="Normal"/>
    <w:link w:val="HeaderChar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  <w:rPr>
      <w:rFonts w:eastAsiaTheme="minorHAnsi"/>
      <w:szCs w:val="22"/>
      <w:lang w:eastAsia="en-US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ExposdesmotifstitreChar">
    <w:name w:val="Exposé des motifs titre Char"/>
    <w:basedOn w:val="DefaultParagraphFont"/>
    <w:link w:val="Exposdesmotifstitre"/>
    <w:rPr>
      <w:rFonts w:ascii="Times New Roman" w:eastAsia="Times New Roman" w:hAnsi="Times New Roman" w:cs="Times New Roman"/>
      <w:b/>
      <w:sz w:val="24"/>
      <w:szCs w:val="24"/>
      <w:u w:val="single"/>
      <w:lang w:eastAsia="de-DE"/>
    </w:rPr>
  </w:style>
  <w:style w:type="character" w:customStyle="1" w:styleId="FooterCoverPageChar">
    <w:name w:val="Footer Cover Page Char"/>
    <w:basedOn w:val="ExposdesmotifstitreChar"/>
    <w:link w:val="Foot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ExposdesmotifstitreChar"/>
    <w:link w:val="HeaderCoverPage"/>
    <w:rPr>
      <w:rFonts w:ascii="Times New Roman" w:eastAsia="Times New Roman" w:hAnsi="Times New Roman" w:cs="Times New Roman"/>
      <w:b w:val="0"/>
      <w:sz w:val="24"/>
      <w:szCs w:val="24"/>
      <w:u w:val="single"/>
      <w:lang w:eastAsia="de-DE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NumPar1">
    <w:name w:val="NumPar 1"/>
    <w:basedOn w:val="Normal"/>
    <w:next w:val="Text1"/>
    <w:pPr>
      <w:numPr>
        <w:numId w:val="1"/>
      </w:numPr>
    </w:pPr>
  </w:style>
  <w:style w:type="paragraph" w:customStyle="1" w:styleId="NumPar2">
    <w:name w:val="NumPar 2"/>
    <w:basedOn w:val="Normal"/>
    <w:next w:val="Normal"/>
    <w:pPr>
      <w:numPr>
        <w:ilvl w:val="1"/>
        <w:numId w:val="1"/>
      </w:numPr>
    </w:pPr>
  </w:style>
  <w:style w:type="paragraph" w:customStyle="1" w:styleId="NumPar3">
    <w:name w:val="NumPar 3"/>
    <w:basedOn w:val="Normal"/>
    <w:next w:val="Normal"/>
    <w:pPr>
      <w:numPr>
        <w:ilvl w:val="2"/>
        <w:numId w:val="1"/>
      </w:numPr>
    </w:pPr>
  </w:style>
  <w:style w:type="paragraph" w:customStyle="1" w:styleId="NumPar4">
    <w:name w:val="NumPar 4"/>
    <w:basedOn w:val="Normal"/>
    <w:next w:val="Normal"/>
    <w:pPr>
      <w:numPr>
        <w:ilvl w:val="3"/>
        <w:numId w:val="1"/>
      </w:numPr>
    </w:pPr>
  </w:style>
  <w:style w:type="paragraph" w:customStyle="1" w:styleId="ManualHeading2">
    <w:name w:val="Manual Heading 2"/>
    <w:basedOn w:val="Normal"/>
    <w:next w:val="Normal"/>
    <w:pPr>
      <w:keepNext/>
      <w:tabs>
        <w:tab w:val="left" w:pos="850"/>
      </w:tabs>
      <w:ind w:left="850" w:hanging="850"/>
      <w:outlineLvl w:val="1"/>
    </w:pPr>
    <w:rPr>
      <w:b/>
    </w:rPr>
  </w:style>
  <w:style w:type="character" w:customStyle="1" w:styleId="Deleted">
    <w:name w:val="Deleted"/>
    <w:basedOn w:val="DefaultParagraphFont"/>
    <w:rPr>
      <w:strike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Declassification">
    <w:name w:val="Declassification"/>
    <w:basedOn w:val="Normal"/>
    <w:next w:val="Normal"/>
    <w:pPr>
      <w:spacing w:before="0" w:after="0"/>
    </w:pPr>
    <w:rPr>
      <w:rFonts w:eastAsiaTheme="minorHAnsi"/>
      <w:szCs w:val="22"/>
      <w:lang w:eastAsia="en-US"/>
    </w:r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rFonts w:eastAsiaTheme="minorHAnsi"/>
      <w:szCs w:val="22"/>
      <w:lang w:eastAsia="en-US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rFonts w:eastAsiaTheme="minorHAnsi"/>
      <w:szCs w:val="22"/>
      <w:lang w:eastAsia="en-US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Manual">
    <w:name w:val="Manual"/>
    <w:basedOn w:val="NumPar1"/>
    <w:pPr>
      <w:numPr>
        <w:numId w:val="0"/>
      </w:numPr>
      <w:ind w:left="850"/>
    </w:pPr>
    <w:rPr>
      <w:noProof/>
    </w:rPr>
  </w:style>
  <w:style w:type="paragraph" w:customStyle="1" w:styleId="Tiret1">
    <w:name w:val="Tiret 1"/>
    <w:basedOn w:val="Normal"/>
    <w:rPr>
      <w:rFonts w:eastAsiaTheme="minorHAnsi"/>
      <w:szCs w:val="22"/>
      <w:lang w:eastAsia="en-US"/>
    </w:rPr>
  </w:style>
  <w:style w:type="paragraph" w:customStyle="1" w:styleId="Tiret0">
    <w:name w:val="Tiret 0"/>
    <w:basedOn w:val="Normal"/>
    <w:rPr>
      <w:rFonts w:eastAsiaTheme="minorHAnsi"/>
      <w:szCs w:val="22"/>
      <w:lang w:eastAsia="en-US"/>
    </w:rPr>
  </w:style>
  <w:style w:type="paragraph" w:customStyle="1" w:styleId="PartTitle">
    <w:name w:val="PartTitle"/>
    <w:basedOn w:val="Normal"/>
    <w:next w:val="Normal"/>
    <w:pPr>
      <w:keepNext/>
      <w:pageBreakBefore/>
      <w:spacing w:after="360"/>
      <w:jc w:val="center"/>
    </w:pPr>
    <w:rPr>
      <w:rFonts w:eastAsiaTheme="minorHAnsi"/>
      <w:b/>
      <w:sz w:val="36"/>
      <w:szCs w:val="22"/>
      <w:lang w:eastAsia="en-US"/>
    </w:r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rFonts w:eastAsiaTheme="minorHAnsi"/>
      <w:b/>
      <w:smallCaps/>
      <w:szCs w:val="22"/>
      <w:lang w:eastAsia="en-US"/>
    </w:r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rFonts w:eastAsiaTheme="minorHAnsi"/>
      <w:b/>
      <w:sz w:val="32"/>
      <w:szCs w:val="22"/>
      <w:lang w:eastAsia="en-US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customStyle="1" w:styleId="Manualnum">
    <w:name w:val="Manual num"/>
    <w:basedOn w:val="NumPar1"/>
    <w:rPr>
      <w:noProof/>
    </w:rPr>
  </w:style>
  <w:style w:type="paragraph" w:customStyle="1" w:styleId="ManualNumPar1">
    <w:name w:val="Manual NumPar 1"/>
    <w:basedOn w:val="Normal"/>
    <w:next w:val="Text1"/>
    <w:pPr>
      <w:ind w:left="850" w:hanging="850"/>
    </w:pPr>
    <w:rPr>
      <w:rFonts w:eastAsiaTheme="minorHAnsi"/>
      <w:szCs w:val="22"/>
      <w:lang w:eastAsia="en-US"/>
    </w:rPr>
  </w:style>
  <w:style w:type="paragraph" w:customStyle="1" w:styleId="Point0number">
    <w:name w:val="Point 0 (number)"/>
    <w:basedOn w:val="Normal"/>
    <w:pPr>
      <w:numPr>
        <w:numId w:val="9"/>
      </w:numPr>
    </w:pPr>
    <w:rPr>
      <w:rFonts w:eastAsiaTheme="minorHAnsi"/>
      <w:szCs w:val="22"/>
      <w:lang w:eastAsia="en-US"/>
    </w:rPr>
  </w:style>
  <w:style w:type="paragraph" w:customStyle="1" w:styleId="Point1number">
    <w:name w:val="Point 1 (number)"/>
    <w:basedOn w:val="Normal"/>
    <w:pPr>
      <w:numPr>
        <w:ilvl w:val="2"/>
        <w:numId w:val="9"/>
      </w:numPr>
    </w:pPr>
    <w:rPr>
      <w:rFonts w:eastAsiaTheme="minorHAnsi"/>
      <w:szCs w:val="22"/>
      <w:lang w:eastAsia="en-US"/>
    </w:rPr>
  </w:style>
  <w:style w:type="paragraph" w:customStyle="1" w:styleId="Point2number">
    <w:name w:val="Point 2 (number)"/>
    <w:basedOn w:val="Normal"/>
    <w:pPr>
      <w:numPr>
        <w:ilvl w:val="4"/>
        <w:numId w:val="9"/>
      </w:numPr>
    </w:pPr>
    <w:rPr>
      <w:rFonts w:eastAsiaTheme="minorHAnsi"/>
      <w:szCs w:val="22"/>
      <w:lang w:eastAsia="en-US"/>
    </w:rPr>
  </w:style>
  <w:style w:type="paragraph" w:customStyle="1" w:styleId="Point3number">
    <w:name w:val="Point 3 (number)"/>
    <w:basedOn w:val="Normal"/>
    <w:pPr>
      <w:numPr>
        <w:ilvl w:val="6"/>
        <w:numId w:val="9"/>
      </w:numPr>
    </w:pPr>
    <w:rPr>
      <w:rFonts w:eastAsiaTheme="minorHAnsi"/>
      <w:szCs w:val="22"/>
      <w:lang w:eastAsia="en-US"/>
    </w:rPr>
  </w:style>
  <w:style w:type="paragraph" w:customStyle="1" w:styleId="Point0letter">
    <w:name w:val="Point 0 (letter)"/>
    <w:basedOn w:val="Normal"/>
    <w:pPr>
      <w:numPr>
        <w:ilvl w:val="1"/>
        <w:numId w:val="9"/>
      </w:numPr>
    </w:pPr>
    <w:rPr>
      <w:rFonts w:eastAsiaTheme="minorHAnsi"/>
      <w:szCs w:val="22"/>
      <w:lang w:eastAsia="en-US"/>
    </w:rPr>
  </w:style>
  <w:style w:type="paragraph" w:customStyle="1" w:styleId="Point1letter">
    <w:name w:val="Point 1 (letter)"/>
    <w:basedOn w:val="Normal"/>
    <w:pPr>
      <w:numPr>
        <w:ilvl w:val="3"/>
        <w:numId w:val="9"/>
      </w:numPr>
    </w:pPr>
    <w:rPr>
      <w:rFonts w:eastAsiaTheme="minorHAnsi"/>
      <w:szCs w:val="22"/>
      <w:lang w:eastAsia="en-US"/>
    </w:rPr>
  </w:style>
  <w:style w:type="paragraph" w:customStyle="1" w:styleId="Point2letter">
    <w:name w:val="Point 2 (letter)"/>
    <w:basedOn w:val="Normal"/>
    <w:pPr>
      <w:numPr>
        <w:ilvl w:val="5"/>
        <w:numId w:val="9"/>
      </w:numPr>
    </w:pPr>
    <w:rPr>
      <w:rFonts w:eastAsiaTheme="minorHAnsi"/>
      <w:szCs w:val="22"/>
      <w:lang w:eastAsia="en-US"/>
    </w:rPr>
  </w:style>
  <w:style w:type="paragraph" w:customStyle="1" w:styleId="Point3letter">
    <w:name w:val="Point 3 (letter)"/>
    <w:basedOn w:val="Normal"/>
    <w:pPr>
      <w:numPr>
        <w:ilvl w:val="7"/>
        <w:numId w:val="9"/>
      </w:numPr>
    </w:pPr>
    <w:rPr>
      <w:rFonts w:eastAsiaTheme="minorHAnsi"/>
      <w:szCs w:val="22"/>
      <w:lang w:eastAsia="en-US"/>
    </w:rPr>
  </w:style>
  <w:style w:type="paragraph" w:customStyle="1" w:styleId="Point4letter">
    <w:name w:val="Point 4 (letter)"/>
    <w:basedOn w:val="Normal"/>
    <w:pPr>
      <w:numPr>
        <w:ilvl w:val="8"/>
        <w:numId w:val="9"/>
      </w:numPr>
    </w:pPr>
    <w:rPr>
      <w:rFonts w:eastAsiaTheme="minorHAnsi"/>
      <w:szCs w:val="22"/>
      <w:lang w:eastAsia="en-US"/>
    </w:rPr>
  </w:style>
  <w:style w:type="paragraph" w:customStyle="1" w:styleId="Tiret2">
    <w:name w:val="Tiret 2"/>
    <w:basedOn w:val="NumPar1"/>
    <w:pPr>
      <w:numPr>
        <w:numId w:val="0"/>
      </w:numPr>
      <w:ind w:left="851" w:hanging="426"/>
    </w:pPr>
    <w:rPr>
      <w:noProof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  <w:rPr>
      <w:rFonts w:eastAsiaTheme="minorHAnsi"/>
      <w:szCs w:val="22"/>
      <w:lang w:eastAsia="en-US"/>
    </w:r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rFonts w:eastAsiaTheme="minorHAnsi"/>
      <w:sz w:val="28"/>
      <w:szCs w:val="22"/>
      <w:lang w:eastAsia="en-US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rFonts w:eastAsiaTheme="minorHAnsi"/>
      <w:i/>
      <w:sz w:val="28"/>
      <w:szCs w:val="22"/>
      <w:lang w:eastAsia="en-US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E401-DD9C-4F91-97F5-5F518FAE3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1300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2020-05-27T19:29:00Z</dcterms:created>
  <dcterms:modified xsi:type="dcterms:W3CDTF">2020-05-28T15:25:00Z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tatus">
    <vt:lpwstr>Green</vt:lpwstr>
  </property>
  <property fmtid="{D5CDD505-2E9C-101B-9397-08002B2CF9AE}" pid="3" name="Level of sensitivity">
    <vt:lpwstr>Standard treatment</vt:lpwstr>
  </property>
  <property fmtid="{D5CDD505-2E9C-101B-9397-08002B2CF9AE}" pid="4" name="Last edited using">
    <vt:lpwstr>LW 7.0, Build 20190717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CPTemplateID">
    <vt:lpwstr>CP-035</vt:lpwstr>
  </property>
</Properties>
</file>