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C5" w:rsidRDefault="009E4A9A" w:rsidP="009E4A9A">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E8C8C9F-6F75-4E50-B99B-DAA070DBA235" style="width:450.6pt;height:366pt">
            <v:imagedata r:id="rId8" o:title=""/>
          </v:shape>
        </w:pict>
      </w:r>
      <w:bookmarkEnd w:id="0"/>
    </w:p>
    <w:p w:rsidR="007571C5" w:rsidRDefault="007571C5">
      <w:pPr>
        <w:rPr>
          <w:noProof/>
        </w:rPr>
        <w:sectPr w:rsidR="007571C5" w:rsidSect="009E4A9A">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7571C5" w:rsidRDefault="009E4A9A">
      <w:pPr>
        <w:pStyle w:val="Exposdesmotifstitre"/>
        <w:rPr>
          <w:noProof/>
        </w:rPr>
      </w:pPr>
      <w:r>
        <w:rPr>
          <w:noProof/>
        </w:rPr>
        <w:lastRenderedPageBreak/>
        <w:t>EXPLANATORY MEMORANDUM</w:t>
      </w:r>
    </w:p>
    <w:p w:rsidR="007571C5" w:rsidRDefault="009E4A9A">
      <w:pPr>
        <w:pStyle w:val="ManualHeading1"/>
        <w:rPr>
          <w:noProof/>
        </w:rPr>
      </w:pPr>
      <w:r>
        <w:rPr>
          <w:noProof/>
        </w:rPr>
        <w:t>1.</w:t>
      </w:r>
      <w:r>
        <w:rPr>
          <w:noProof/>
        </w:rPr>
        <w:tab/>
        <w:t>CONTEXT OF THE PROPOSAL</w:t>
      </w:r>
    </w:p>
    <w:p w:rsidR="007571C5" w:rsidRDefault="009E4A9A">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7571C5" w:rsidRDefault="009E4A9A">
      <w:pPr>
        <w:keepNext/>
        <w:tabs>
          <w:tab w:val="left" w:pos="0"/>
        </w:tabs>
        <w:outlineLvl w:val="1"/>
        <w:rPr>
          <w:rFonts w:eastAsia="Calibri"/>
          <w:noProof/>
        </w:rPr>
      </w:pPr>
      <w:r>
        <w:rPr>
          <w:rFonts w:eastAsia="Calibri"/>
          <w:noProof/>
        </w:rPr>
        <w:t xml:space="preserve">The direct and indirect effects of the COVID-19 pandemic </w:t>
      </w:r>
      <w:r>
        <w:rPr>
          <w:rFonts w:eastAsia="Calibri"/>
          <w:noProof/>
        </w:rPr>
        <w:t>continue to increase in all Member States. The current situation is unprecedented and requires exceptional measures adapted to the situation to be applied in these circumstances, including for the support to the most deprived provided by the Fund for Europ</w:t>
      </w:r>
      <w:r>
        <w:rPr>
          <w:rFonts w:eastAsia="Calibri"/>
          <w:noProof/>
        </w:rPr>
        <w:t>ean Aid to the Most Deprived (FEAD). In particular, the crisis presents not only specific risks to the most deprived, but also furthers economic hardship. It is expected that the most vulnerable in society will be hit hardest by the socio-economic conseque</w:t>
      </w:r>
      <w:r>
        <w:rPr>
          <w:rFonts w:eastAsia="Calibri"/>
          <w:noProof/>
        </w:rPr>
        <w:t>nces of the crisis. Moreover, due to the social and economic consequences of the COVID-19 pandemic the number of the most deprived is increasing.</w:t>
      </w:r>
    </w:p>
    <w:p w:rsidR="007571C5" w:rsidRDefault="009E4A9A">
      <w:pPr>
        <w:keepNext/>
        <w:tabs>
          <w:tab w:val="left" w:pos="0"/>
        </w:tabs>
        <w:outlineLvl w:val="1"/>
        <w:rPr>
          <w:rFonts w:eastAsia="Calibri"/>
          <w:noProof/>
        </w:rPr>
      </w:pPr>
      <w:r>
        <w:rPr>
          <w:rFonts w:eastAsia="Calibri"/>
          <w:noProof/>
        </w:rPr>
        <w:t>The first “Coronavirus Response Investment Initiative” (CRII)</w:t>
      </w:r>
      <w:r>
        <w:rPr>
          <w:rStyle w:val="FootnoteReference"/>
          <w:rFonts w:eastAsia="Calibri"/>
          <w:noProof/>
        </w:rPr>
        <w:footnoteReference w:id="1"/>
      </w:r>
      <w:r>
        <w:rPr>
          <w:rFonts w:eastAsia="Calibri"/>
          <w:noProof/>
        </w:rPr>
        <w:t>, a package of measures which entered into force</w:t>
      </w:r>
      <w:r>
        <w:rPr>
          <w:rFonts w:eastAsia="Calibri"/>
          <w:noProof/>
        </w:rPr>
        <w:t xml:space="preserve"> on 1 April 2020, introduced a number of important changes to the legislative framework applicable to the European Structural and Investment Funds that allow for a more effective response in the current situation. Complementary measures were adopted under </w:t>
      </w:r>
      <w:r>
        <w:rPr>
          <w:rFonts w:eastAsia="Calibri"/>
          <w:noProof/>
        </w:rPr>
        <w:t>the “Coronavirus Response Investment Initiative Plus” (CRII Plus)</w:t>
      </w:r>
      <w:r>
        <w:rPr>
          <w:rStyle w:val="FootnoteReference"/>
          <w:rFonts w:eastAsia="Calibri"/>
          <w:noProof/>
        </w:rPr>
        <w:footnoteReference w:id="2"/>
      </w:r>
      <w:r>
        <w:rPr>
          <w:rFonts w:eastAsia="Calibri"/>
          <w:noProof/>
        </w:rPr>
        <w:t>. This package also included amendments to Regulation (EU) No 223/2014</w:t>
      </w:r>
      <w:r>
        <w:rPr>
          <w:rStyle w:val="FootnoteReference"/>
          <w:rFonts w:eastAsia="Calibri"/>
          <w:noProof/>
        </w:rPr>
        <w:footnoteReference w:id="3"/>
      </w:r>
      <w:r>
        <w:rPr>
          <w:rFonts w:eastAsia="Calibri"/>
          <w:noProof/>
        </w:rPr>
        <w:t xml:space="preserve"> (FEAD Regulation), through Regulation (EU) 2020/559 of the European Parliament and of the Council of 23 April 2020</w:t>
      </w:r>
      <w:r>
        <w:rPr>
          <w:rStyle w:val="FootnoteReference"/>
          <w:rFonts w:eastAsia="Calibri"/>
          <w:noProof/>
        </w:rPr>
        <w:footnoteReference w:id="4"/>
      </w:r>
      <w:r>
        <w:rPr>
          <w:rFonts w:eastAsia="Calibri"/>
          <w:noProof/>
        </w:rPr>
        <w:t>, w</w:t>
      </w:r>
      <w:r>
        <w:rPr>
          <w:rFonts w:eastAsia="Calibri"/>
          <w:noProof/>
        </w:rPr>
        <w:t>hich entered into force on 25 April 2020, introducing specific measures of additional flexibility and liquidity for Member States to address the COVID-19 pandemic under the FEAD.</w:t>
      </w:r>
    </w:p>
    <w:p w:rsidR="007571C5" w:rsidRDefault="009E4A9A">
      <w:pPr>
        <w:keepNext/>
        <w:tabs>
          <w:tab w:val="left" w:pos="0"/>
        </w:tabs>
        <w:outlineLvl w:val="1"/>
        <w:rPr>
          <w:rFonts w:eastAsia="Calibri"/>
          <w:noProof/>
        </w:rPr>
      </w:pPr>
      <w:r>
        <w:rPr>
          <w:rFonts w:eastAsia="Calibri"/>
          <w:noProof/>
        </w:rPr>
        <w:t>The situation is slowly evolving and many regions and Member States prepare f</w:t>
      </w:r>
      <w:r>
        <w:rPr>
          <w:rFonts w:eastAsia="Calibri"/>
          <w:noProof/>
        </w:rPr>
        <w:t>or a cautious easing of restrictions on their societies and enterprises, and restarting their economies. Nevertheless, the direct and indirect effects of the crisis have already taken their toll in many sectors. The process of recovery will take time and t</w:t>
      </w:r>
      <w:r>
        <w:rPr>
          <w:rFonts w:eastAsia="Calibri"/>
          <w:noProof/>
        </w:rPr>
        <w:t>he need for further lockdown measures cannot be excluded. In this context, there is a serious risk that the number of people suffering from food and material deprivation will increase and therefore further action is required in order to respond to the soci</w:t>
      </w:r>
      <w:r>
        <w:rPr>
          <w:rFonts w:eastAsia="Calibri"/>
          <w:noProof/>
        </w:rPr>
        <w:t>al consequences of the COVID-19 pandemic to ensure a socially fair recovery in line with the European Pillar of Social Rights.</w:t>
      </w:r>
    </w:p>
    <w:p w:rsidR="007571C5" w:rsidRDefault="009E4A9A">
      <w:pPr>
        <w:keepNext/>
        <w:tabs>
          <w:tab w:val="left" w:pos="0"/>
        </w:tabs>
        <w:outlineLvl w:val="1"/>
        <w:rPr>
          <w:rFonts w:eastAsia="Calibri"/>
          <w:noProof/>
        </w:rPr>
      </w:pPr>
      <w:r>
        <w:rPr>
          <w:rFonts w:eastAsia="Calibri"/>
          <w:noProof/>
        </w:rPr>
        <w:t>While the Commission proposed extraordinary measures that granted the greatest flexibility and support possible to public authori</w:t>
      </w:r>
      <w:r>
        <w:rPr>
          <w:rFonts w:eastAsia="Calibri"/>
          <w:noProof/>
        </w:rPr>
        <w:t xml:space="preserve">ties, partner organisations and other actors involved in the implementation of the FEAD, Member States are facing liquidity problems to provide a response to the COVID-19 crisis and the growing needs on the ground. </w:t>
      </w:r>
    </w:p>
    <w:p w:rsidR="007571C5" w:rsidRDefault="009E4A9A">
      <w:pPr>
        <w:keepNext/>
        <w:tabs>
          <w:tab w:val="left" w:pos="0"/>
        </w:tabs>
        <w:outlineLvl w:val="1"/>
        <w:rPr>
          <w:rFonts w:eastAsia="Calibri"/>
          <w:noProof/>
        </w:rPr>
      </w:pPr>
      <w:r>
        <w:rPr>
          <w:rFonts w:eastAsia="Calibri"/>
          <w:noProof/>
        </w:rPr>
        <w:t>Therefore, in order to help Member State</w:t>
      </w:r>
      <w:r>
        <w:rPr>
          <w:rFonts w:eastAsia="Calibri"/>
          <w:noProof/>
        </w:rPr>
        <w:t xml:space="preserve">s to provide an effective response to the COVID-19 pandemic, including its social and economic consequences, it is appropriate to adopt additional measures, including increasing the resources available for the European Regional </w:t>
      </w:r>
      <w:r>
        <w:rPr>
          <w:rFonts w:eastAsia="Calibri"/>
          <w:noProof/>
        </w:rPr>
        <w:lastRenderedPageBreak/>
        <w:t>Development Fund (ERDF), the</w:t>
      </w:r>
      <w:r>
        <w:rPr>
          <w:rFonts w:eastAsia="Calibri"/>
          <w:noProof/>
        </w:rPr>
        <w:t xml:space="preserve"> European Social Fund (ESF) and also the FEAD. In this context, the Commission proposes a new amendment to the Common Provisions Regulation (CPR) (REACT-EU)</w:t>
      </w:r>
      <w:r>
        <w:rPr>
          <w:rStyle w:val="FootnoteReference"/>
          <w:rFonts w:eastAsia="Calibri"/>
          <w:noProof/>
        </w:rPr>
        <w:t xml:space="preserve"> </w:t>
      </w:r>
      <w:r>
        <w:rPr>
          <w:rStyle w:val="FootnoteReference"/>
          <w:rFonts w:eastAsia="Calibri"/>
          <w:noProof/>
        </w:rPr>
        <w:footnoteReference w:id="5"/>
      </w:r>
      <w:r>
        <w:rPr>
          <w:rFonts w:eastAsia="Calibri"/>
          <w:noProof/>
        </w:rPr>
        <w:t xml:space="preserve"> and to the FEAD Regulation in response to the COVID-19 pandemic, in order to provide that additio</w:t>
      </w:r>
      <w:r>
        <w:rPr>
          <w:rFonts w:eastAsia="Calibri"/>
          <w:noProof/>
        </w:rPr>
        <w:t xml:space="preserve">nal resources are made available for the years 2020, 2021 and 2022 for these funds. </w:t>
      </w:r>
    </w:p>
    <w:p w:rsidR="007571C5" w:rsidRDefault="009E4A9A">
      <w:pPr>
        <w:pBdr>
          <w:top w:val="nil"/>
          <w:left w:val="nil"/>
          <w:bottom w:val="nil"/>
          <w:right w:val="nil"/>
          <w:between w:val="nil"/>
          <w:bar w:val="nil"/>
        </w:pBdr>
        <w:spacing w:before="0" w:after="240"/>
        <w:rPr>
          <w:noProof/>
        </w:rPr>
      </w:pPr>
      <w:r>
        <w:rPr>
          <w:noProof/>
        </w:rPr>
        <w:t>The additional resources for 2020 stem from an increase of the global resources for economic, social and territorial cohesion in the multiannual financial framework for 2014-2020. The additional resources for 2021 and 2022 constitute external assigned reve</w:t>
      </w:r>
      <w:r>
        <w:rPr>
          <w:noProof/>
        </w:rPr>
        <w:t xml:space="preserve">nue stemming from the [European Recovery Instrument]. </w:t>
      </w:r>
    </w:p>
    <w:p w:rsidR="007571C5" w:rsidRDefault="009E4A9A">
      <w:pPr>
        <w:pBdr>
          <w:top w:val="nil"/>
          <w:left w:val="nil"/>
          <w:bottom w:val="nil"/>
          <w:right w:val="nil"/>
          <w:between w:val="nil"/>
          <w:bar w:val="nil"/>
        </w:pBdr>
        <w:spacing w:before="0" w:after="240"/>
        <w:rPr>
          <w:rFonts w:eastAsia="Calibri"/>
          <w:noProof/>
        </w:rPr>
      </w:pPr>
      <w:r>
        <w:rPr>
          <w:rFonts w:eastAsia="Calibri"/>
          <w:noProof/>
        </w:rPr>
        <w:t>These amounts will be distributed among Member States taking into account their relative prosperity and the extent of the effects of the current crisis on their economies and societies. 0.35 % of the a</w:t>
      </w:r>
      <w:r>
        <w:rPr>
          <w:rFonts w:eastAsia="Calibri"/>
          <w:noProof/>
        </w:rPr>
        <w:t xml:space="preserve">dditional resources need to be allocated to technical assistance at the initiative of the Commission. By way of derogation from the rules applicable to external assigned revenues set out in the Financial Regulation, these additional resources shall follow </w:t>
      </w:r>
      <w:r>
        <w:rPr>
          <w:rFonts w:eastAsia="Calibri"/>
          <w:noProof/>
        </w:rPr>
        <w:t>the applicable rules set out in the CPR and the FEAD Regulation once they are assigned to operational programmes, including rules on commitments and decommitments.</w:t>
      </w:r>
    </w:p>
    <w:p w:rsidR="007571C5" w:rsidRDefault="009E4A9A">
      <w:pPr>
        <w:pBdr>
          <w:top w:val="nil"/>
          <w:left w:val="nil"/>
          <w:bottom w:val="nil"/>
          <w:right w:val="nil"/>
          <w:between w:val="nil"/>
          <w:bar w:val="nil"/>
        </w:pBdr>
        <w:spacing w:before="0" w:after="240"/>
        <w:rPr>
          <w:rFonts w:eastAsia="Calibri"/>
          <w:noProof/>
        </w:rPr>
      </w:pPr>
      <w:r>
        <w:rPr>
          <w:rFonts w:eastAsia="Calibri"/>
          <w:noProof/>
        </w:rPr>
        <w:t>Member States may use these amounts under the investment for growth and jobs goal to support</w:t>
      </w:r>
      <w:r>
        <w:rPr>
          <w:rFonts w:eastAsia="Calibri"/>
          <w:noProof/>
        </w:rPr>
        <w:t xml:space="preserve"> operations fostering crisis repair in the context of the COVID-19 pandemic in the regions whose economy and jobs have been most hardly hit and preparing the recovery of their economies from the ERDF or the ESF or to increase the allocation for programmes </w:t>
      </w:r>
      <w:r>
        <w:rPr>
          <w:rFonts w:eastAsia="Calibri"/>
          <w:noProof/>
        </w:rPr>
        <w:t>supported by the FEAD.</w:t>
      </w:r>
    </w:p>
    <w:p w:rsidR="007571C5" w:rsidRDefault="009E4A9A">
      <w:pPr>
        <w:pBdr>
          <w:top w:val="nil"/>
          <w:left w:val="nil"/>
          <w:bottom w:val="nil"/>
          <w:right w:val="nil"/>
          <w:between w:val="nil"/>
          <w:bar w:val="nil"/>
        </w:pBdr>
        <w:spacing w:before="0" w:after="240"/>
        <w:rPr>
          <w:rFonts w:eastAsia="Calibri"/>
          <w:noProof/>
        </w:rPr>
      </w:pPr>
      <w:r>
        <w:rPr>
          <w:rFonts w:eastAsia="Calibri"/>
          <w:noProof/>
        </w:rPr>
        <w:t>The allocation of additional resources to the FEAD is voluntary for Member States, according to their specific needs. In considering this, Member States should pay due attention to the increases in the number of the most deprived sin</w:t>
      </w:r>
      <w:r>
        <w:rPr>
          <w:rFonts w:eastAsia="Calibri"/>
          <w:noProof/>
        </w:rPr>
        <w:t>ce the COVID-19 pandemic.</w:t>
      </w:r>
    </w:p>
    <w:p w:rsidR="007571C5" w:rsidRDefault="009E4A9A">
      <w:pPr>
        <w:pBdr>
          <w:top w:val="nil"/>
          <w:left w:val="nil"/>
          <w:bottom w:val="nil"/>
          <w:right w:val="nil"/>
          <w:between w:val="nil"/>
          <w:bar w:val="nil"/>
        </w:pBdr>
        <w:spacing w:before="0" w:after="240"/>
        <w:rPr>
          <w:rFonts w:eastAsia="Calibri"/>
          <w:noProof/>
        </w:rPr>
      </w:pPr>
      <w:r>
        <w:rPr>
          <w:rFonts w:eastAsia="Calibri"/>
          <w:noProof/>
        </w:rPr>
        <w:t>In addition, in line with the amendments proposed for the Common Provisions Regulation (REACT-EU)</w:t>
      </w:r>
      <w:r>
        <w:rPr>
          <w:rStyle w:val="FootnoteReference"/>
          <w:rFonts w:eastAsia="Calibri"/>
          <w:noProof/>
        </w:rPr>
        <w:footnoteReference w:id="6"/>
      </w:r>
      <w:r>
        <w:rPr>
          <w:rFonts w:eastAsia="Calibri"/>
          <w:noProof/>
        </w:rPr>
        <w:t>, the Commission proposes to introduce additional measures which provide for more liquidity to Member States, notably by allowing th</w:t>
      </w:r>
      <w:r>
        <w:rPr>
          <w:rFonts w:eastAsia="Calibri"/>
          <w:noProof/>
        </w:rPr>
        <w:t>at Member States receive a substantial  pre-financing payment in case the resources under the FEAD are increased and by exempting Member States from providing a national contribution to the increased resources. Moreover and similarly to what is proposed fo</w:t>
      </w:r>
      <w:r>
        <w:rPr>
          <w:rFonts w:eastAsia="Calibri"/>
          <w:noProof/>
        </w:rPr>
        <w:t>r the Common Provisions Regulation (REACT-EU), given the need to make sure that these additional resources are deployed rapidly to investments on the ground and take effect in the real economy, it is not proposed to extend the final date of eligibility, wh</w:t>
      </w:r>
      <w:r>
        <w:rPr>
          <w:rFonts w:eastAsia="Calibri"/>
          <w:noProof/>
        </w:rPr>
        <w:t xml:space="preserve">ich shall remain – also for the additional resources – 31 December 2023 (for expenditure incurred at the level of beneficiaries). Nevertheless, it is clarified that the commitments linked to the additional resources shall be decommitted in accordance with </w:t>
      </w:r>
      <w:r>
        <w:rPr>
          <w:rFonts w:eastAsia="Calibri"/>
          <w:noProof/>
        </w:rPr>
        <w:t>the rules to be followed for the closure of the programmes (i.e. in 2025 following the submission of the necessary documents pursuant to Article 52). It is also envisaged that the electronic exchange system used for official exchanges between the Commissio</w:t>
      </w:r>
      <w:r>
        <w:rPr>
          <w:rFonts w:eastAsia="Calibri"/>
          <w:noProof/>
        </w:rPr>
        <w:t>n and the Member States in accordance with Article 30(4) is adjusted to provide the possibility to Member States to submit requests for operational programme amendments for the allocation of the additional resources for the years 2020, 2021 and 2022 withou</w:t>
      </w:r>
      <w:r>
        <w:rPr>
          <w:rFonts w:eastAsia="Calibri"/>
          <w:noProof/>
        </w:rPr>
        <w:t>t any delay.</w:t>
      </w:r>
    </w:p>
    <w:p w:rsidR="007571C5" w:rsidRDefault="009E4A9A">
      <w:pPr>
        <w:keepNext/>
        <w:tabs>
          <w:tab w:val="left" w:pos="0"/>
        </w:tabs>
        <w:outlineLvl w:val="1"/>
        <w:rPr>
          <w:rFonts w:eastAsia="Calibri"/>
          <w:noProof/>
        </w:rPr>
      </w:pPr>
      <w:r>
        <w:rPr>
          <w:rFonts w:eastAsia="Calibri"/>
          <w:noProof/>
          <w:lang w:val="en-US"/>
        </w:rPr>
        <w:t xml:space="preserve">The COVID-19 pandemic </w:t>
      </w:r>
      <w:r>
        <w:rPr>
          <w:rFonts w:eastAsia="Calibri"/>
          <w:noProof/>
        </w:rPr>
        <w:t>also had a disproportionate socio-economic effect on women. Therefore, Member States should pay due account that operations strictly follow the horizontal principle of gender equality as laid down in Article 5 (11) of the</w:t>
      </w:r>
      <w:r>
        <w:rPr>
          <w:rFonts w:eastAsia="Calibri"/>
          <w:noProof/>
        </w:rPr>
        <w:t xml:space="preserve"> FEAD Regulation.</w:t>
      </w:r>
    </w:p>
    <w:p w:rsidR="007571C5" w:rsidRDefault="009E4A9A">
      <w:pPr>
        <w:keepNext/>
        <w:tabs>
          <w:tab w:val="left" w:pos="0"/>
        </w:tabs>
        <w:outlineLvl w:val="1"/>
        <w:rPr>
          <w:rFonts w:eastAsia="Calibri"/>
          <w:noProof/>
        </w:rPr>
      </w:pPr>
      <w:r>
        <w:rPr>
          <w:rFonts w:eastAsia="Calibri"/>
          <w:noProof/>
        </w:rPr>
        <w:t>Finally, the Commission also proposes additional provisions providing for flexibility for Member States to use technical assistance.</w:t>
      </w:r>
    </w:p>
    <w:p w:rsidR="007571C5" w:rsidRDefault="009E4A9A">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7571C5" w:rsidRDefault="009E4A9A">
      <w:pPr>
        <w:pBdr>
          <w:top w:val="nil"/>
          <w:left w:val="nil"/>
          <w:bottom w:val="nil"/>
          <w:right w:val="nil"/>
          <w:between w:val="nil"/>
          <w:bar w:val="nil"/>
        </w:pBdr>
        <w:spacing w:after="240"/>
        <w:rPr>
          <w:rFonts w:eastAsia="Calibri"/>
          <w:noProof/>
        </w:rPr>
      </w:pPr>
      <w:r>
        <w:rPr>
          <w:rFonts w:eastAsia="Calibri"/>
          <w:noProof/>
        </w:rPr>
        <w:t xml:space="preserve">This proposal is consistent with </w:t>
      </w:r>
      <w:r>
        <w:rPr>
          <w:rFonts w:eastAsia="Calibri"/>
          <w:noProof/>
        </w:rPr>
        <w:t>existing policy provisions in the policy area, in particular with provisions proposed by the Commission for the Common Provisions Regulation (REACT-EU) in response to the COVID-19 outbreak, as part of the Commission´s proposal to provide exceptional flexib</w:t>
      </w:r>
      <w:r>
        <w:rPr>
          <w:rFonts w:eastAsia="Calibri"/>
          <w:noProof/>
        </w:rPr>
        <w:t>ility for the use of the ERDF and the ESF in response to the COVID-19 outbreak.</w:t>
      </w:r>
    </w:p>
    <w:p w:rsidR="007571C5" w:rsidRDefault="009E4A9A">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7571C5" w:rsidRDefault="009E4A9A">
      <w:pPr>
        <w:pBdr>
          <w:top w:val="nil"/>
          <w:left w:val="nil"/>
          <w:bottom w:val="nil"/>
          <w:right w:val="nil"/>
          <w:between w:val="nil"/>
          <w:bar w:val="nil"/>
        </w:pBdr>
        <w:spacing w:after="240"/>
        <w:rPr>
          <w:rFonts w:eastAsia="Calibri"/>
          <w:noProof/>
        </w:rPr>
      </w:pPr>
      <w:r>
        <w:rPr>
          <w:rFonts w:eastAsia="Calibri"/>
          <w:noProof/>
        </w:rPr>
        <w:t>The proposal is consistent with other proposals and initiatives adopted by the Commission, in particular with the proposals adopted by t</w:t>
      </w:r>
      <w:r>
        <w:rPr>
          <w:rFonts w:eastAsia="Calibri"/>
          <w:noProof/>
        </w:rPr>
        <w:t xml:space="preserve">he Commission for the ERDF and ESF in response to the COVID-19 pandemic. </w:t>
      </w:r>
    </w:p>
    <w:p w:rsidR="007571C5" w:rsidRDefault="009E4A9A">
      <w:pPr>
        <w:pStyle w:val="ManualHeading1"/>
        <w:rPr>
          <w:noProof/>
        </w:rPr>
      </w:pPr>
      <w:r>
        <w:rPr>
          <w:noProof/>
        </w:rPr>
        <w:t>2.</w:t>
      </w:r>
      <w:r>
        <w:rPr>
          <w:noProof/>
        </w:rPr>
        <w:tab/>
        <w:t>LEGAL BASIS, SUBSIDIARITY AND PROPORTIONALITY</w:t>
      </w:r>
    </w:p>
    <w:p w:rsidR="007571C5" w:rsidRDefault="009E4A9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7571C5" w:rsidRDefault="009E4A9A">
      <w:pPr>
        <w:pBdr>
          <w:top w:val="nil"/>
          <w:left w:val="nil"/>
          <w:bottom w:val="nil"/>
          <w:right w:val="nil"/>
          <w:between w:val="nil"/>
          <w:bar w:val="nil"/>
        </w:pBdr>
        <w:spacing w:after="240"/>
        <w:rPr>
          <w:rFonts w:eastAsia="Calibri"/>
          <w:noProof/>
        </w:rPr>
      </w:pPr>
      <w:r>
        <w:rPr>
          <w:rFonts w:eastAsia="Calibri"/>
          <w:noProof/>
        </w:rPr>
        <w:t>The proposal is based on Article 175(3) of the Treaty on the Functioning of the European Union. It provides for possibi</w:t>
      </w:r>
      <w:r>
        <w:rPr>
          <w:rFonts w:eastAsia="Calibri"/>
          <w:noProof/>
        </w:rPr>
        <w:t>lities for Member States to increase the resources under the FEAD, to receive an additional pre-financing payment and exempts the additional resources from national contributions. These exceptional changes are without prejudice to the rules that apply unde</w:t>
      </w:r>
      <w:r>
        <w:rPr>
          <w:rFonts w:eastAsia="Calibri"/>
          <w:noProof/>
        </w:rPr>
        <w:t>r regular circumstances.</w:t>
      </w:r>
    </w:p>
    <w:p w:rsidR="007571C5" w:rsidRDefault="009E4A9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sidR="007571C5" w:rsidRDefault="009E4A9A">
      <w:pPr>
        <w:pStyle w:val="Body"/>
        <w:spacing w:after="240"/>
        <w:rPr>
          <w:noProof/>
          <w:lang w:val="en-US"/>
        </w:rPr>
      </w:pPr>
      <w:r>
        <w:rPr>
          <w:rFonts w:eastAsia="Calibri"/>
          <w:noProof/>
          <w:lang w:val="en-GB"/>
        </w:rPr>
        <w:t xml:space="preserve">The proposal complies with the subsidiarity principle. </w:t>
      </w:r>
      <w:r>
        <w:rPr>
          <w:noProof/>
          <w:lang w:val="en-US"/>
        </w:rPr>
        <w:t>The proposal does not modify the delivery mode of the FEAD, which remains under shared management.</w:t>
      </w:r>
    </w:p>
    <w:p w:rsidR="007571C5" w:rsidRDefault="009E4A9A">
      <w:pPr>
        <w:pStyle w:val="Body"/>
        <w:spacing w:after="240"/>
        <w:rPr>
          <w:noProof/>
          <w:lang w:val="en-US"/>
        </w:rPr>
      </w:pPr>
      <w:r>
        <w:rPr>
          <w:noProof/>
          <w:lang w:val="en-US"/>
        </w:rPr>
        <w:t xml:space="preserve">Shared management is </w:t>
      </w:r>
      <w:r>
        <w:rPr>
          <w:noProof/>
          <w:lang w:val="en-US"/>
        </w:rPr>
        <w:t>underpinned by the subsidiarity principle, as the Commission delegates strategic programming and implementation tasks to Member States. It also limits EU action to what is necessary to achieve its objectives as laid down in the Treaties.</w:t>
      </w:r>
    </w:p>
    <w:p w:rsidR="007571C5" w:rsidRDefault="009E4A9A">
      <w:pPr>
        <w:pStyle w:val="Body"/>
        <w:spacing w:after="240"/>
        <w:rPr>
          <w:noProof/>
          <w:lang w:val="en-GB"/>
        </w:rPr>
      </w:pPr>
      <w:r>
        <w:rPr>
          <w:noProof/>
          <w:lang w:val="en-US"/>
        </w:rPr>
        <w:t>This proposal, tog</w:t>
      </w:r>
      <w:r>
        <w:rPr>
          <w:noProof/>
          <w:lang w:val="en-US"/>
        </w:rPr>
        <w:t>ether with the proposal to amend Regulation (EU) No 1303/2013</w:t>
      </w:r>
      <w:r>
        <w:rPr>
          <w:rStyle w:val="FootnoteReference"/>
          <w:noProof/>
          <w:lang w:val="en-US"/>
        </w:rPr>
        <w:footnoteReference w:id="7"/>
      </w:r>
      <w:r>
        <w:rPr>
          <w:noProof/>
          <w:lang w:val="en-US"/>
        </w:rPr>
        <w:t>, aims to allow for making available additional resources. It also aims to clarify the rules governing the use of those resources in the context of programmes under the 2014-2020 programming per</w:t>
      </w:r>
      <w:r>
        <w:rPr>
          <w:noProof/>
          <w:lang w:val="en-US"/>
        </w:rPr>
        <w:t xml:space="preserve">iod. </w:t>
      </w:r>
    </w:p>
    <w:p w:rsidR="007571C5" w:rsidRDefault="009E4A9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7571C5" w:rsidRDefault="009E4A9A">
      <w:pPr>
        <w:rPr>
          <w:rFonts w:eastAsia="Calibri"/>
          <w:noProof/>
          <w:lang w:val="en-US" w:eastAsia="en-GB"/>
        </w:rPr>
      </w:pPr>
      <w:r>
        <w:rPr>
          <w:rFonts w:eastAsia="Calibri"/>
          <w:noProof/>
          <w:lang w:val="en-US" w:eastAsia="en-GB"/>
        </w:rPr>
        <w:t xml:space="preserve">The proposal is proportionate and does not include provisions which are not necessary to achieve the objectives of the Treaty. It is limited to the amendments considered necessary for establishing the rules to be followed in </w:t>
      </w:r>
      <w:r>
        <w:rPr>
          <w:rFonts w:eastAsia="Calibri"/>
          <w:noProof/>
          <w:lang w:val="en-US" w:eastAsia="en-GB"/>
        </w:rPr>
        <w:t>relation to the additional resources  and for addressing problems faced by Member States during the COVID-19 crisis in the context of the implementation of the FEAD.</w:t>
      </w:r>
    </w:p>
    <w:p w:rsidR="007571C5" w:rsidRDefault="009E4A9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7571C5" w:rsidRDefault="009E4A9A">
      <w:pPr>
        <w:pBdr>
          <w:top w:val="nil"/>
          <w:left w:val="nil"/>
          <w:bottom w:val="nil"/>
          <w:right w:val="nil"/>
          <w:between w:val="nil"/>
          <w:bar w:val="nil"/>
        </w:pBdr>
        <w:spacing w:after="240"/>
        <w:rPr>
          <w:rFonts w:eastAsia="Calibri"/>
          <w:noProof/>
        </w:rPr>
      </w:pPr>
      <w:r>
        <w:rPr>
          <w:rFonts w:eastAsia="Calibri"/>
          <w:noProof/>
        </w:rPr>
        <w:t>The choice of instrument is a Regulation of the European Parlia</w:t>
      </w:r>
      <w:r>
        <w:rPr>
          <w:rFonts w:eastAsia="Calibri"/>
          <w:noProof/>
        </w:rPr>
        <w:t xml:space="preserve">ment and of the Council, in accordance with the ordinary legislative procedure as set out in Article 175(3) of the Treaty. The Commission has explored the scope for manoeuvre provided by the legal framework and considers it necessary to propose amendments </w:t>
      </w:r>
      <w:r>
        <w:rPr>
          <w:rFonts w:eastAsia="Calibri"/>
          <w:noProof/>
        </w:rPr>
        <w:t xml:space="preserve">to Regulation (EU) No 223/2014. </w:t>
      </w:r>
    </w:p>
    <w:p w:rsidR="007571C5" w:rsidRDefault="009E4A9A">
      <w:pPr>
        <w:pStyle w:val="ManualHeading1"/>
        <w:rPr>
          <w:noProof/>
        </w:rPr>
      </w:pPr>
      <w:r>
        <w:rPr>
          <w:noProof/>
        </w:rPr>
        <w:t>3.</w:t>
      </w:r>
      <w:r>
        <w:rPr>
          <w:noProof/>
        </w:rPr>
        <w:tab/>
        <w:t>RESULTS OF EX-POST EVALUATIONS, STAKEHOLDER CONSULTATIONS AND IMPACT ASSESSMENTS</w:t>
      </w:r>
    </w:p>
    <w:p w:rsidR="007571C5" w:rsidRDefault="009E4A9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rsidR="007571C5" w:rsidRDefault="009E4A9A">
      <w:pPr>
        <w:pBdr>
          <w:top w:val="nil"/>
          <w:left w:val="nil"/>
          <w:bottom w:val="nil"/>
          <w:right w:val="nil"/>
          <w:between w:val="nil"/>
          <w:bar w:val="nil"/>
        </w:pBdr>
        <w:spacing w:after="240"/>
        <w:rPr>
          <w:rFonts w:eastAsia="Arial Unicode MS"/>
          <w:noProof/>
        </w:rPr>
      </w:pPr>
      <w:r>
        <w:rPr>
          <w:rFonts w:eastAsia="Calibri"/>
          <w:noProof/>
        </w:rPr>
        <w:t>Given the specific circumstances of this proposal, there was no ex-post evalua</w:t>
      </w:r>
      <w:r>
        <w:rPr>
          <w:rFonts w:eastAsia="Calibri"/>
          <w:noProof/>
        </w:rPr>
        <w:t>tion/or fitness checks of the existing legislation.</w:t>
      </w:r>
    </w:p>
    <w:p w:rsidR="007571C5" w:rsidRDefault="009E4A9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7571C5" w:rsidRDefault="009E4A9A">
      <w:pPr>
        <w:pBdr>
          <w:top w:val="nil"/>
          <w:left w:val="nil"/>
          <w:bottom w:val="nil"/>
          <w:right w:val="nil"/>
          <w:between w:val="nil"/>
          <w:bar w:val="nil"/>
        </w:pBdr>
        <w:spacing w:after="240"/>
        <w:rPr>
          <w:rFonts w:eastAsia="Arial Unicode MS"/>
          <w:noProof/>
        </w:rPr>
      </w:pPr>
      <w:r>
        <w:rPr>
          <w:rFonts w:eastAsia="Calibri"/>
          <w:noProof/>
        </w:rPr>
        <w:t>Given the specific circumstances of this proposal, there was no consultation of external stakeholders.</w:t>
      </w:r>
    </w:p>
    <w:p w:rsidR="007571C5" w:rsidRDefault="009E4A9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7571C5" w:rsidRDefault="009E4A9A">
      <w:pPr>
        <w:pBdr>
          <w:top w:val="nil"/>
          <w:left w:val="nil"/>
          <w:bottom w:val="nil"/>
          <w:right w:val="nil"/>
          <w:between w:val="nil"/>
          <w:bar w:val="nil"/>
        </w:pBdr>
        <w:spacing w:after="240"/>
        <w:rPr>
          <w:rFonts w:eastAsia="Arial Unicode MS"/>
          <w:noProof/>
        </w:rPr>
      </w:pPr>
      <w:r>
        <w:rPr>
          <w:rFonts w:eastAsia="Calibri"/>
          <w:noProof/>
        </w:rPr>
        <w:t xml:space="preserve">Use of external expertise has not been </w:t>
      </w:r>
      <w:r>
        <w:rPr>
          <w:rFonts w:eastAsia="Calibri"/>
          <w:noProof/>
        </w:rPr>
        <w:t>necessary.</w:t>
      </w:r>
    </w:p>
    <w:p w:rsidR="007571C5" w:rsidRDefault="009E4A9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7571C5" w:rsidRDefault="009E4A9A">
      <w:pPr>
        <w:pBdr>
          <w:top w:val="nil"/>
          <w:left w:val="nil"/>
          <w:bottom w:val="nil"/>
          <w:right w:val="nil"/>
          <w:between w:val="nil"/>
          <w:bar w:val="nil"/>
        </w:pBdr>
        <w:spacing w:after="240"/>
        <w:rPr>
          <w:rFonts w:eastAsia="Arial Unicode MS"/>
          <w:noProof/>
        </w:rPr>
      </w:pPr>
      <w:r>
        <w:rPr>
          <w:rFonts w:eastAsia="Arial Unicode MS"/>
          <w:noProof/>
        </w:rPr>
        <w:t>Not applicable.</w:t>
      </w:r>
    </w:p>
    <w:p w:rsidR="007571C5" w:rsidRDefault="009E4A9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rsidR="007571C5" w:rsidRDefault="009E4A9A">
      <w:pPr>
        <w:rPr>
          <w:rFonts w:eastAsia="Calibri"/>
          <w:noProof/>
          <w:lang w:val="en-US" w:eastAsia="en-GB"/>
        </w:rPr>
      </w:pPr>
      <w:r>
        <w:rPr>
          <w:rFonts w:eastAsia="Calibri"/>
          <w:noProof/>
          <w:lang w:val="en-US" w:eastAsia="en-GB"/>
        </w:rPr>
        <w:t>There is not an initiative within the Regulatory Fitness Programme (REFIT)</w:t>
      </w:r>
    </w:p>
    <w:p w:rsidR="007571C5" w:rsidRDefault="009E4A9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7571C5" w:rsidRDefault="009E4A9A">
      <w:pPr>
        <w:pBdr>
          <w:top w:val="nil"/>
          <w:left w:val="nil"/>
          <w:bottom w:val="nil"/>
          <w:right w:val="nil"/>
          <w:between w:val="nil"/>
          <w:bar w:val="nil"/>
        </w:pBdr>
        <w:spacing w:after="240"/>
        <w:rPr>
          <w:rFonts w:eastAsia="Arial Unicode MS"/>
          <w:noProof/>
        </w:rPr>
      </w:pPr>
      <w:r>
        <w:rPr>
          <w:rFonts w:eastAsia="Calibri"/>
          <w:noProof/>
        </w:rPr>
        <w:t>The proposal has no consequences for the protection of fundamental rights</w:t>
      </w:r>
      <w:r>
        <w:rPr>
          <w:rFonts w:eastAsia="Calibri"/>
          <w:noProof/>
        </w:rPr>
        <w:t>.</w:t>
      </w:r>
    </w:p>
    <w:p w:rsidR="007571C5" w:rsidRDefault="009E4A9A">
      <w:pPr>
        <w:pStyle w:val="ManualHeading1"/>
        <w:rPr>
          <w:noProof/>
        </w:rPr>
      </w:pPr>
      <w:r>
        <w:rPr>
          <w:noProof/>
        </w:rPr>
        <w:t>4.</w:t>
      </w:r>
      <w:r>
        <w:rPr>
          <w:noProof/>
        </w:rPr>
        <w:tab/>
        <w:t>BUDGETARY IMPLICATIONS</w:t>
      </w:r>
    </w:p>
    <w:p w:rsidR="007571C5" w:rsidRDefault="009E4A9A">
      <w:pPr>
        <w:rPr>
          <w:rFonts w:eastAsia="Times New Roman"/>
          <w:noProof/>
          <w:color w:val="000000"/>
          <w:szCs w:val="24"/>
          <w:u w:color="000000"/>
          <w:bdr w:val="nil"/>
          <w:lang w:val="en-US" w:eastAsia="nl-BE"/>
          <w14:textOutline w14:w="0" w14:cap="flat" w14:cmpd="sng" w14:algn="ctr">
            <w14:noFill/>
            <w14:prstDash w14:val="solid"/>
            <w14:bevel/>
          </w14:textOutline>
        </w:rPr>
      </w:pPr>
      <w:r>
        <w:rPr>
          <w:noProof/>
        </w:rPr>
        <w:t>The proposal will lead to additional commitments in the year 2020, financed from an increase of the ceiling of the 2014-2020 Multiannual Fina</w:t>
      </w:r>
      <w:r>
        <w:rPr>
          <w:noProof/>
        </w:rPr>
        <w:t>ncial Framework. It will also lead to additional commitments for the years 2021 and 2022, financed from external assigned revenues. It will trigger additional payments in the years 2020 to 2025. The budgetary implications are covered by the Legislative Fin</w:t>
      </w:r>
      <w:r>
        <w:rPr>
          <w:noProof/>
        </w:rPr>
        <w:t>ancial Statement accompanying the REACT-EU Regulation.</w:t>
      </w:r>
    </w:p>
    <w:p w:rsidR="007571C5" w:rsidRDefault="009E4A9A">
      <w:pPr>
        <w:pStyle w:val="ManualHeading1"/>
        <w:rPr>
          <w:noProof/>
        </w:rPr>
      </w:pPr>
      <w:r>
        <w:rPr>
          <w:noProof/>
        </w:rPr>
        <w:t>5.</w:t>
      </w:r>
      <w:r>
        <w:rPr>
          <w:noProof/>
        </w:rPr>
        <w:tab/>
        <w:t>OTHER ELEMENTS</w:t>
      </w:r>
    </w:p>
    <w:p w:rsidR="007571C5" w:rsidRDefault="009E4A9A">
      <w:pPr>
        <w:pStyle w:val="ManualHeading2"/>
        <w:rPr>
          <w:noProof/>
          <w:lang w:eastAsia="en-GB"/>
        </w:rPr>
      </w:pPr>
      <w:r>
        <w:rPr>
          <w:noProof/>
          <w:lang w:eastAsia="en-GB"/>
        </w:rPr>
        <w:t>•</w:t>
      </w:r>
      <w:r>
        <w:rPr>
          <w:noProof/>
          <w:lang w:eastAsia="en-GB"/>
        </w:rPr>
        <w:tab/>
        <w:t>Implementation plans and monitoring, evaluation and reporting arrangements</w:t>
      </w:r>
    </w:p>
    <w:p w:rsidR="007571C5" w:rsidRDefault="009E4A9A">
      <w:pPr>
        <w:rPr>
          <w:noProof/>
        </w:rPr>
      </w:pPr>
      <w:r>
        <w:rPr>
          <w:noProof/>
        </w:rPr>
        <w:t xml:space="preserve">The implementation of the measures will be monitored and reported upon in the framework of the general </w:t>
      </w:r>
      <w:r>
        <w:rPr>
          <w:noProof/>
        </w:rPr>
        <w:t>reporting mechanisms established in Regulation (EU) No 223/2014.</w:t>
      </w:r>
    </w:p>
    <w:p w:rsidR="007571C5" w:rsidRDefault="009E4A9A">
      <w:pPr>
        <w:pStyle w:val="ManualHeading2"/>
        <w:rPr>
          <w:noProof/>
          <w:lang w:eastAsia="en-GB"/>
        </w:rPr>
      </w:pPr>
      <w:r>
        <w:rPr>
          <w:noProof/>
          <w:lang w:eastAsia="en-GB"/>
        </w:rPr>
        <w:t>•</w:t>
      </w:r>
      <w:r>
        <w:rPr>
          <w:noProof/>
          <w:lang w:eastAsia="en-GB"/>
        </w:rPr>
        <w:tab/>
        <w:t>Explanatory documents (for directives)</w:t>
      </w:r>
    </w:p>
    <w:p w:rsidR="007571C5" w:rsidRDefault="009E4A9A">
      <w:pPr>
        <w:rPr>
          <w:noProof/>
        </w:rPr>
      </w:pPr>
      <w:r>
        <w:rPr>
          <w:noProof/>
        </w:rPr>
        <w:t>N/A</w:t>
      </w:r>
    </w:p>
    <w:p w:rsidR="007571C5" w:rsidRDefault="007571C5">
      <w:pPr>
        <w:pBdr>
          <w:top w:val="nil"/>
          <w:left w:val="nil"/>
          <w:bottom w:val="nil"/>
          <w:right w:val="nil"/>
          <w:between w:val="nil"/>
          <w:bar w:val="nil"/>
        </w:pBdr>
        <w:spacing w:after="240"/>
        <w:rPr>
          <w:noProof/>
        </w:rPr>
        <w:sectPr w:rsidR="007571C5" w:rsidSect="009E4A9A">
          <w:footerReference w:type="default" r:id="rId15"/>
          <w:footerReference w:type="first" r:id="rId16"/>
          <w:pgSz w:w="11907" w:h="16839"/>
          <w:pgMar w:top="1134" w:right="1417" w:bottom="1134" w:left="1417" w:header="709" w:footer="709" w:gutter="0"/>
          <w:cols w:space="708"/>
          <w:docGrid w:linePitch="360"/>
        </w:sectPr>
      </w:pPr>
    </w:p>
    <w:p w:rsidR="007571C5" w:rsidRDefault="009E4A9A" w:rsidP="009E4A9A">
      <w:pPr>
        <w:pStyle w:val="Rfrenceinterinstitutionnelle"/>
        <w:rPr>
          <w:noProof/>
        </w:rPr>
      </w:pPr>
      <w:r w:rsidRPr="009E4A9A">
        <w:t>2020/0105 (COD)</w:t>
      </w:r>
    </w:p>
    <w:p w:rsidR="007571C5" w:rsidRDefault="009E4A9A" w:rsidP="009E4A9A">
      <w:pPr>
        <w:pStyle w:val="Statut"/>
        <w:rPr>
          <w:noProof/>
        </w:rPr>
      </w:pPr>
      <w:r w:rsidRPr="009E4A9A">
        <w:t>Proposal for a</w:t>
      </w:r>
    </w:p>
    <w:p w:rsidR="007571C5" w:rsidRDefault="009E4A9A" w:rsidP="009E4A9A">
      <w:pPr>
        <w:pStyle w:val="Typedudocument"/>
        <w:rPr>
          <w:noProof/>
        </w:rPr>
      </w:pPr>
      <w:r w:rsidRPr="009E4A9A">
        <w:t>REGULATION OF THE EUROPEAN PARLIAMENT AND OF THE COUNCIL</w:t>
      </w:r>
    </w:p>
    <w:p w:rsidR="007571C5" w:rsidRDefault="009E4A9A" w:rsidP="009E4A9A">
      <w:pPr>
        <w:pStyle w:val="Titreobjet"/>
        <w:rPr>
          <w:noProof/>
        </w:rPr>
      </w:pPr>
      <w:r w:rsidRPr="009E4A9A">
        <w:t xml:space="preserve">amending Regulation (EU) No 223/2014 as regards the introduction of specific measures for addressing the COVID-19 crisis </w:t>
      </w:r>
      <w:r w:rsidRPr="009E4A9A">
        <w:br/>
      </w:r>
    </w:p>
    <w:p w:rsidR="007571C5" w:rsidRDefault="009E4A9A">
      <w:pPr>
        <w:pStyle w:val="Institutionquiagit"/>
        <w:rPr>
          <w:noProof/>
        </w:rPr>
      </w:pPr>
      <w:r>
        <w:rPr>
          <w:noProof/>
        </w:rPr>
        <w:t>T</w:t>
      </w:r>
      <w:r>
        <w:rPr>
          <w:noProof/>
        </w:rPr>
        <w:t xml:space="preserve">HE EUROPEAN PARLIAMENT AND THE COUNCIL OF THE EUROPEAN </w:t>
      </w:r>
      <w:smartTag w:uri="urn:schemas-microsoft-com:office:smarttags" w:element="place">
        <w:r>
          <w:rPr>
            <w:noProof/>
          </w:rPr>
          <w:t>UNION</w:t>
        </w:r>
      </w:smartTag>
      <w:r>
        <w:rPr>
          <w:noProof/>
        </w:rPr>
        <w:t>,</w:t>
      </w:r>
    </w:p>
    <w:p w:rsidR="007571C5" w:rsidRDefault="009E4A9A">
      <w:pPr>
        <w:rPr>
          <w:noProof/>
        </w:rPr>
      </w:pPr>
      <w:r>
        <w:rPr>
          <w:noProof/>
        </w:rPr>
        <w:t xml:space="preserve">Having regard to the Treaty on the Functioning of the European Union, and in particular Article 175(3) thereof, </w:t>
      </w:r>
    </w:p>
    <w:p w:rsidR="007571C5" w:rsidRDefault="009E4A9A">
      <w:pPr>
        <w:rPr>
          <w:noProof/>
        </w:rPr>
      </w:pPr>
      <w:r>
        <w:rPr>
          <w:noProof/>
        </w:rPr>
        <w:t>Having regard to the proposal from the European Commission,</w:t>
      </w:r>
    </w:p>
    <w:p w:rsidR="007571C5" w:rsidRDefault="009E4A9A">
      <w:pPr>
        <w:rPr>
          <w:noProof/>
        </w:rPr>
      </w:pPr>
      <w:r>
        <w:rPr>
          <w:noProof/>
        </w:rPr>
        <w:t>After transmission of the draft legislative act to the national parliaments,</w:t>
      </w:r>
    </w:p>
    <w:p w:rsidR="007571C5" w:rsidRDefault="009E4A9A">
      <w:pPr>
        <w:rPr>
          <w:noProof/>
        </w:rPr>
      </w:pPr>
      <w:r>
        <w:rPr>
          <w:noProof/>
        </w:rPr>
        <w:t>Havi</w:t>
      </w:r>
      <w:r>
        <w:rPr>
          <w:noProof/>
        </w:rPr>
        <w:t>ng regard to the opinion of the European Economic and Social Committee</w:t>
      </w:r>
      <w:r>
        <w:rPr>
          <w:rStyle w:val="FootnoteReference"/>
          <w:noProof/>
        </w:rPr>
        <w:footnoteReference w:id="8"/>
      </w:r>
      <w:r>
        <w:rPr>
          <w:noProof/>
        </w:rPr>
        <w:t xml:space="preserve">, </w:t>
      </w:r>
    </w:p>
    <w:p w:rsidR="007571C5" w:rsidRDefault="009E4A9A">
      <w:pPr>
        <w:rPr>
          <w:noProof/>
        </w:rPr>
      </w:pPr>
      <w:r>
        <w:rPr>
          <w:noProof/>
        </w:rPr>
        <w:t>Having regard to the opinion of the Committee of the Regions</w:t>
      </w:r>
      <w:r>
        <w:rPr>
          <w:rStyle w:val="FootnoteReference"/>
          <w:noProof/>
        </w:rPr>
        <w:footnoteReference w:id="9"/>
      </w:r>
      <w:r>
        <w:rPr>
          <w:noProof/>
        </w:rPr>
        <w:t xml:space="preserve">, </w:t>
      </w:r>
    </w:p>
    <w:p w:rsidR="007571C5" w:rsidRDefault="009E4A9A">
      <w:pPr>
        <w:rPr>
          <w:noProof/>
        </w:rPr>
      </w:pPr>
      <w:r>
        <w:rPr>
          <w:noProof/>
        </w:rPr>
        <w:t>Acting in accordance with the ordinary legislative procedure,</w:t>
      </w:r>
    </w:p>
    <w:p w:rsidR="007571C5" w:rsidRDefault="009E4A9A">
      <w:pPr>
        <w:rPr>
          <w:noProof/>
        </w:rPr>
      </w:pPr>
      <w:r>
        <w:rPr>
          <w:noProof/>
        </w:rPr>
        <w:t>Whereas:</w:t>
      </w:r>
    </w:p>
    <w:p w:rsidR="007571C5" w:rsidRDefault="009E4A9A">
      <w:pPr>
        <w:pStyle w:val="ManualConsidrant"/>
        <w:rPr>
          <w:noProof/>
        </w:rPr>
      </w:pPr>
      <w:r>
        <w:t>(1)</w:t>
      </w:r>
      <w:r>
        <w:tab/>
      </w:r>
      <w:r>
        <w:rPr>
          <w:noProof/>
        </w:rPr>
        <w:t>Regulation (EU) No 223/2014 of the European</w:t>
      </w:r>
      <w:r>
        <w:rPr>
          <w:noProof/>
        </w:rPr>
        <w:t xml:space="preserve"> Parliament and of the Council</w:t>
      </w:r>
      <w:r>
        <w:rPr>
          <w:rStyle w:val="FootnoteReference"/>
          <w:noProof/>
        </w:rPr>
        <w:footnoteReference w:id="10"/>
      </w:r>
      <w:r>
        <w:rPr>
          <w:noProof/>
        </w:rPr>
        <w:t xml:space="preserve"> lays down rules applicable to the Fund for European Aid to the Most Deprived (‘FEAD’). </w:t>
      </w:r>
    </w:p>
    <w:p w:rsidR="007571C5" w:rsidRDefault="009E4A9A">
      <w:pPr>
        <w:pStyle w:val="ManualConsidrant"/>
        <w:rPr>
          <w:noProof/>
        </w:rPr>
      </w:pPr>
      <w:r>
        <w:t>(2)</w:t>
      </w:r>
      <w:r>
        <w:tab/>
      </w:r>
      <w:r>
        <w:rPr>
          <w:noProof/>
        </w:rPr>
        <w:t>On 17 November 2017, the European Pillar of Social Rights was jointly proclaimed by the European Parliament, the Council and the Com</w:t>
      </w:r>
      <w:r>
        <w:rPr>
          <w:noProof/>
        </w:rPr>
        <w:t xml:space="preserve">mission as a response to social challenges in Europe. The twenty key principles of the pillar are structured around three categories: equal opportunities and access to the labour market; fair working conditions; social protection and inclusion. The twenty </w:t>
      </w:r>
      <w:r>
        <w:rPr>
          <w:noProof/>
        </w:rPr>
        <w:t>principles of the European Pillar of Social Rights should guide the actions in response to the COVID-19 pandemic in order to ensure a socially fair recovery.</w:t>
      </w:r>
    </w:p>
    <w:p w:rsidR="007571C5" w:rsidRDefault="009E4A9A">
      <w:pPr>
        <w:pStyle w:val="ManualConsidrant"/>
        <w:rPr>
          <w:noProof/>
        </w:rPr>
      </w:pPr>
      <w:r>
        <w:t>(3)</w:t>
      </w:r>
      <w:r>
        <w:tab/>
      </w:r>
      <w:r>
        <w:rPr>
          <w:noProof/>
        </w:rPr>
        <w:t>Member States have been affected by the consequences of the COVID-19 pandemic crisis in an unp</w:t>
      </w:r>
      <w:r>
        <w:rPr>
          <w:noProof/>
        </w:rPr>
        <w:t>recedented manner. The crisis has led to severe economic and social consequences. This has created an exceptional situation which needs to be addressed with specific measures in line with the European Pillar of Social Rights.</w:t>
      </w:r>
    </w:p>
    <w:p w:rsidR="007571C5" w:rsidRDefault="009E4A9A">
      <w:pPr>
        <w:pStyle w:val="ManualConsidrant"/>
        <w:rPr>
          <w:noProof/>
        </w:rPr>
      </w:pPr>
      <w:r>
        <w:t>(4)</w:t>
      </w:r>
      <w:r>
        <w:tab/>
      </w:r>
      <w:r>
        <w:rPr>
          <w:noProof/>
        </w:rPr>
        <w:t>This has a particular impa</w:t>
      </w:r>
      <w:r>
        <w:rPr>
          <w:noProof/>
        </w:rPr>
        <w:t xml:space="preserve">ct on the FEAD. Considering that the number of people suffering from food and material deprivation has been increasing due to the COVID-19 pandemic and that the most deprived are exposed to particular risks and further hardships during this crisis, Member </w:t>
      </w:r>
      <w:r>
        <w:rPr>
          <w:noProof/>
        </w:rPr>
        <w:t>States are facing additional funding needs in the delivery of support by the Fund.</w:t>
      </w:r>
    </w:p>
    <w:p w:rsidR="007571C5" w:rsidRDefault="009E4A9A">
      <w:pPr>
        <w:pStyle w:val="ManualConsidrant"/>
        <w:rPr>
          <w:noProof/>
        </w:rPr>
      </w:pPr>
      <w:r>
        <w:t>(5)</w:t>
      </w:r>
      <w:r>
        <w:tab/>
      </w:r>
      <w:r>
        <w:rPr>
          <w:noProof/>
        </w:rPr>
        <w:t xml:space="preserve">In order to redress huge shocks to the economy and serious impacts on the functioning of the Single Market due to exceptional restrictions put in place by Member States </w:t>
      </w:r>
      <w:r>
        <w:rPr>
          <w:noProof/>
        </w:rPr>
        <w:t xml:space="preserve">to contain the COVID-19 spreading, the European Council endorsed on 23 April 2020 the “Roadmap for recovery” with a strong investment component, called for the establishment of the [European Recovery Instrument ] and mandated the Commission to analyse the </w:t>
      </w:r>
      <w:r>
        <w:rPr>
          <w:noProof/>
        </w:rPr>
        <w:t>needs so that the resources are targeted towards the sectors and geographical parts of Europe most affected, while clarifying also the link with the MFF.</w:t>
      </w:r>
    </w:p>
    <w:p w:rsidR="007571C5" w:rsidRDefault="009E4A9A">
      <w:pPr>
        <w:pStyle w:val="ManualConsidrant"/>
        <w:rPr>
          <w:noProof/>
        </w:rPr>
      </w:pPr>
      <w:r>
        <w:t>(6)</w:t>
      </w:r>
      <w:r>
        <w:tab/>
      </w:r>
      <w:r>
        <w:rPr>
          <w:noProof/>
        </w:rPr>
        <w:t>The Commission issued a proposal for a Regulation</w:t>
      </w:r>
      <w:r>
        <w:rPr>
          <w:rStyle w:val="FootnoteReference"/>
          <w:noProof/>
        </w:rPr>
        <w:footnoteReference w:id="11"/>
      </w:r>
      <w:r>
        <w:rPr>
          <w:noProof/>
        </w:rPr>
        <w:t xml:space="preserve"> amending Council Regulation </w:t>
      </w:r>
      <w:r>
        <w:rPr>
          <w:noProof/>
          <w:lang w:val="en-IE"/>
        </w:rPr>
        <w:t>(EU, EURATOM) No 13</w:t>
      </w:r>
      <w:r>
        <w:rPr>
          <w:noProof/>
          <w:lang w:val="en-IE"/>
        </w:rPr>
        <w:t>11/2013</w:t>
      </w:r>
      <w:r>
        <w:rPr>
          <w:rStyle w:val="FootnoteReference"/>
          <w:noProof/>
          <w:lang w:val="en-IE"/>
        </w:rPr>
        <w:footnoteReference w:id="12"/>
      </w:r>
      <w:r>
        <w:rPr>
          <w:noProof/>
          <w:lang w:val="en-IE"/>
        </w:rPr>
        <w:t xml:space="preserve"> </w:t>
      </w:r>
      <w:r>
        <w:rPr>
          <w:noProof/>
        </w:rPr>
        <w:t xml:space="preserve">on 27 May 2020 and unlocked additional resources to support Member States in crisis repair in the context of the COVID-19 pandemic and preparing the recovery of the economy. As part of this package, an additional exceptional amount of EUR  58 272 </w:t>
      </w:r>
      <w:r>
        <w:rPr>
          <w:noProof/>
        </w:rPr>
        <w:t xml:space="preserve">800 000 for budgetary commitment from the Structural Funds under the Investment for growth and jobs goal, for the years 2020, 2021 and 2022 is made available for this purpose, with a view to deploying them quickly for the real economy through the existing </w:t>
      </w:r>
      <w:r>
        <w:rPr>
          <w:noProof/>
        </w:rPr>
        <w:t xml:space="preserve">structures for the 2014-2020 cohesion policy programmes. The Commission should set out the breakdown of the additional resources for each Member State on the basis of an allocation method based on the latest available objective statistical data concerning </w:t>
      </w:r>
      <w:r>
        <w:rPr>
          <w:noProof/>
        </w:rPr>
        <w:t>Member States’ relative prosperity and the extent of the effect of the current crisis on their economies. In order to reflect the evolving nature of the effects of the crisis, the breakdown should be revised in 2021 on the basis of the same allocation meth</w:t>
      </w:r>
      <w:r>
        <w:rPr>
          <w:noProof/>
        </w:rPr>
        <w:t xml:space="preserve">od using the latest statistical data available by 19 October 2021. In order to provide for an effective response to the social impact of the COVID-19 outbreak on the most deprived, it is appropriate that the additional resources may be allocated by Member </w:t>
      </w:r>
      <w:r>
        <w:rPr>
          <w:noProof/>
        </w:rPr>
        <w:t>States to the FEAD, in accordance with their needs. In doing so, Member States should pay due attention to the increases in the number of the most deprived since the COVID-19 pandemic. In addition, it is necessary to establish ceilings concerning the alloc</w:t>
      </w:r>
      <w:r>
        <w:rPr>
          <w:noProof/>
        </w:rPr>
        <w:t>ation of the increased resources to technical assistance of the Member State. Taking account of the expected quick spending of the additional resources, the commitments linked to these additional resources should also be decommitted at the closure of the p</w:t>
      </w:r>
      <w:r>
        <w:rPr>
          <w:noProof/>
        </w:rPr>
        <w:t>rogrammes. Possibilities for financial transfers under the Investment for Growth and Jobs goal between the ERDF, the ESF and the FEAD are also introduced for the additional resources.</w:t>
      </w:r>
    </w:p>
    <w:p w:rsidR="007571C5" w:rsidRDefault="009E4A9A">
      <w:pPr>
        <w:pStyle w:val="ManualConsidrant"/>
        <w:rPr>
          <w:noProof/>
        </w:rPr>
      </w:pPr>
      <w:r>
        <w:t>(7)</w:t>
      </w:r>
      <w:r>
        <w:tab/>
      </w:r>
      <w:r>
        <w:rPr>
          <w:noProof/>
          <w:lang w:val="en-US"/>
        </w:rPr>
        <w:t>Horizontal financial rules adopted by the European Parliament and th</w:t>
      </w:r>
      <w:r>
        <w:rPr>
          <w:noProof/>
          <w:lang w:val="en-US"/>
        </w:rPr>
        <w:t>e Council on the basis of Article 322 of the Treaty on the Functioning of the European Union apply to this Regulation. These rules are laid down in the Financial Regulation and determine in particular the procedure for establishing and implementing the bud</w:t>
      </w:r>
      <w:r>
        <w:rPr>
          <w:noProof/>
          <w:lang w:val="en-US"/>
        </w:rPr>
        <w:t>get through grants, procurement, prizes, indirect implementation, and provide for checks on the responsibility of financial actors. Rules adopted on the basis of Article 322 TFEU also concern the protection of the Union's budget in case of generalised defi</w:t>
      </w:r>
      <w:r>
        <w:rPr>
          <w:noProof/>
          <w:lang w:val="en-US"/>
        </w:rPr>
        <w:t>ciencies as regards the rule of law in the Member States, as the respect for the rule of law is an essential precondition for sound financial management and effective EU funding.</w:t>
      </w:r>
    </w:p>
    <w:p w:rsidR="007571C5" w:rsidRDefault="009E4A9A">
      <w:pPr>
        <w:pStyle w:val="ManualConsidrant"/>
        <w:rPr>
          <w:noProof/>
        </w:rPr>
      </w:pPr>
      <w:r>
        <w:t>(8)</w:t>
      </w:r>
      <w:r>
        <w:tab/>
      </w:r>
      <w:r>
        <w:rPr>
          <w:noProof/>
        </w:rPr>
        <w:t xml:space="preserve">In order to ensure that Member States have sufficient financial means to </w:t>
      </w:r>
      <w:r>
        <w:rPr>
          <w:noProof/>
        </w:rPr>
        <w:t>swiftly implement crisis repair actions in the context of the COVID-19 pandemic and prepare the recovery of the economy, it is necessary to provide a higher level of  pre-financing payment for the quick implementation of actions supported by the additional</w:t>
      </w:r>
      <w:r>
        <w:rPr>
          <w:noProof/>
        </w:rPr>
        <w:t xml:space="preserve"> resources. The magnitude of the pre-financing should ensure that Member States have the means to arrange for advance payments to beneficiaries where necessary and to reimburse beneficiaries quickly following the submission of payment claims. </w:t>
      </w:r>
    </w:p>
    <w:p w:rsidR="007571C5" w:rsidRDefault="009E4A9A">
      <w:pPr>
        <w:pStyle w:val="ManualConsidrant"/>
        <w:rPr>
          <w:noProof/>
        </w:rPr>
      </w:pPr>
      <w:r>
        <w:t>(9)</w:t>
      </w:r>
      <w:r>
        <w:tab/>
      </w:r>
      <w:r>
        <w:rPr>
          <w:noProof/>
        </w:rPr>
        <w:t>With a v</w:t>
      </w:r>
      <w:r>
        <w:rPr>
          <w:noProof/>
        </w:rPr>
        <w:t>iew to alleviating the burden on public budgets regarding crisis repair in the context of the COVID-19 pandemic and preparing the recovery of the economy, it is appropriate that the additional resources are not subject to co-financing.</w:t>
      </w:r>
    </w:p>
    <w:p w:rsidR="007571C5" w:rsidRDefault="009E4A9A">
      <w:pPr>
        <w:pStyle w:val="ManualConsidrant"/>
        <w:rPr>
          <w:noProof/>
        </w:rPr>
      </w:pPr>
      <w:r>
        <w:t>(10)</w:t>
      </w:r>
      <w:r>
        <w:tab/>
      </w:r>
      <w:r>
        <w:rPr>
          <w:noProof/>
        </w:rPr>
        <w:t>In order to ens</w:t>
      </w:r>
      <w:r>
        <w:rPr>
          <w:noProof/>
        </w:rPr>
        <w:t>ure that Member States can quickly adjust the measures under the FEAD in response to COVID-19 crisis, it is appropriate to set out specific provisions clarifying the scope of technical assistance.</w:t>
      </w:r>
    </w:p>
    <w:p w:rsidR="007571C5" w:rsidRDefault="009E4A9A">
      <w:pPr>
        <w:pStyle w:val="ManualConsidrant"/>
        <w:rPr>
          <w:noProof/>
        </w:rPr>
      </w:pPr>
      <w:r>
        <w:t>(11)</w:t>
      </w:r>
      <w:r>
        <w:tab/>
      </w:r>
      <w:r>
        <w:rPr>
          <w:noProof/>
        </w:rPr>
        <w:t xml:space="preserve">Since the objective of this Regulation, namely to </w:t>
      </w:r>
      <w:r>
        <w:rPr>
          <w:noProof/>
        </w:rPr>
        <w:t>respond to the impact of the public health crisis on the most deprived, cannot be sufficiently achieved by the Member States alone and can therefore, by reason of the scale and effects of the proposed action, be better achieved at Union level, the Union ma</w:t>
      </w:r>
      <w:r>
        <w:rPr>
          <w:noProof/>
        </w:rPr>
        <w:t>y adopt measures, in accordance with the principle of subsidiarity as set out in Article 5 of the Treaty on European Union. In accordance with the principle of proportionality, as set out in that Article, this Regulation does not go beyond what is necessar</w:t>
      </w:r>
      <w:r>
        <w:rPr>
          <w:noProof/>
        </w:rPr>
        <w:t>y to achieve this objective.</w:t>
      </w:r>
    </w:p>
    <w:p w:rsidR="007571C5" w:rsidRDefault="009E4A9A">
      <w:pPr>
        <w:pStyle w:val="ManualConsidrant"/>
        <w:rPr>
          <w:noProof/>
        </w:rPr>
      </w:pPr>
      <w:r>
        <w:t>(12)</w:t>
      </w:r>
      <w:r>
        <w:tab/>
      </w:r>
      <w:r>
        <w:rPr>
          <w:noProof/>
        </w:rPr>
        <w:t>Regulation (EU) No 223/2014 should therefore be amended accordingly.</w:t>
      </w:r>
    </w:p>
    <w:p w:rsidR="007571C5" w:rsidRDefault="009E4A9A">
      <w:pPr>
        <w:pStyle w:val="ManualConsidrant"/>
        <w:rPr>
          <w:noProof/>
        </w:rPr>
      </w:pPr>
      <w:r>
        <w:t>(13)</w:t>
      </w:r>
      <w:r>
        <w:tab/>
      </w:r>
      <w:r>
        <w:rPr>
          <w:noProof/>
        </w:rPr>
        <w:t>Given the urgency of the situation related to the COVID-19 pandemic, it is appropriate that this Regulation enters into force on the day following t</w:t>
      </w:r>
      <w:r>
        <w:rPr>
          <w:noProof/>
        </w:rPr>
        <w:t>hat of its publication in the Official Journal of the European Union.</w:t>
      </w:r>
    </w:p>
    <w:p w:rsidR="007571C5" w:rsidRDefault="009E4A9A">
      <w:pPr>
        <w:pStyle w:val="ManualConsidrant"/>
        <w:rPr>
          <w:noProof/>
        </w:rPr>
      </w:pPr>
      <w:r>
        <w:t>(14)</w:t>
      </w:r>
      <w:r>
        <w:tab/>
      </w:r>
      <w:r>
        <w:rPr>
          <w:noProof/>
        </w:rPr>
        <w:t>In view of the COVID-19 pandemic and the urgency to address the associated public health crisis, it is considered necessary to use the exception to the eight-week period referred to</w:t>
      </w:r>
      <w:r>
        <w:rPr>
          <w:noProof/>
        </w:rPr>
        <w:t xml:space="preserve"> in Article 4 of Protocol No 1 on the role of national Parliaments in the European Union, annexed to the Treaty on European Union, to the Treaty on the Functioning of the European Union and to the Treaty establishing the European Atomic Energy Community,</w:t>
      </w:r>
    </w:p>
    <w:p w:rsidR="007571C5" w:rsidRDefault="009E4A9A">
      <w:pPr>
        <w:pStyle w:val="ManualConsidrant"/>
        <w:rPr>
          <w:noProof/>
        </w:rPr>
      </w:pPr>
      <w:r>
        <w:t>(</w:t>
      </w:r>
      <w:r>
        <w:t>15)</w:t>
      </w:r>
      <w:r>
        <w:tab/>
      </w:r>
      <w:r>
        <w:rPr>
          <w:noProof/>
        </w:rPr>
        <w:t>Article 135(2) of the Agreement on the withdrawal of the United Kingdom of Great Britain and Northern Ireland from the European Union and the European Atomic Energy Community  provides that amendments to Council Regulation (EU, Euratom) No 1311/2013</w:t>
      </w:r>
      <w:r>
        <w:rPr>
          <w:rStyle w:val="FootnoteReference"/>
          <w:noProof/>
        </w:rPr>
        <w:footnoteReference w:id="13"/>
      </w:r>
      <w:r>
        <w:rPr>
          <w:noProof/>
        </w:rPr>
        <w:t xml:space="preserve"> o</w:t>
      </w:r>
      <w:r>
        <w:rPr>
          <w:noProof/>
        </w:rPr>
        <w:t>r to Council Decision 2014/335/EU, Euratom  that are adopted on or after the date of entry into force of that Agreement shall not apply to the United Kingdom insofar as those amendments have an impact on the United Kingdom's financial obligations. The supp</w:t>
      </w:r>
      <w:r>
        <w:rPr>
          <w:noProof/>
        </w:rPr>
        <w:t>ort under Article 6a of Regulation (EU) No 223/2014 is financed, for 2020, from an increased ceiling of the Multiannual Financial Framework and, for 2021 and 2022, from an increase of the own resources ceiling of the Union, which would have an impact on Un</w:t>
      </w:r>
      <w:r>
        <w:rPr>
          <w:noProof/>
        </w:rPr>
        <w:t>ited Kingdom's financial obligation. Therefore, this Regulation should not apply to and in the United Kingdom,</w:t>
      </w:r>
    </w:p>
    <w:p w:rsidR="007571C5" w:rsidRDefault="009E4A9A">
      <w:pPr>
        <w:pStyle w:val="Formuledadoption"/>
        <w:rPr>
          <w:noProof/>
        </w:rPr>
      </w:pPr>
      <w:r>
        <w:rPr>
          <w:noProof/>
        </w:rPr>
        <w:t>HAVE ADOPTED THIS REGULATION:</w:t>
      </w:r>
    </w:p>
    <w:p w:rsidR="007571C5" w:rsidRDefault="009E4A9A">
      <w:pPr>
        <w:pStyle w:val="Titrearticle"/>
        <w:rPr>
          <w:noProof/>
        </w:rPr>
      </w:pPr>
      <w:r>
        <w:rPr>
          <w:noProof/>
        </w:rPr>
        <w:t>Article 1</w:t>
      </w:r>
    </w:p>
    <w:p w:rsidR="007571C5" w:rsidRDefault="009E4A9A">
      <w:pPr>
        <w:rPr>
          <w:rFonts w:eastAsia="Calibri"/>
          <w:noProof/>
        </w:rPr>
      </w:pPr>
      <w:r>
        <w:rPr>
          <w:rFonts w:eastAsia="Calibri"/>
          <w:noProof/>
        </w:rPr>
        <w:t>Regulation (EU) No 223/2014 is amended as follows:</w:t>
      </w:r>
    </w:p>
    <w:p w:rsidR="007571C5" w:rsidRDefault="009E4A9A">
      <w:pPr>
        <w:pStyle w:val="Point0"/>
        <w:rPr>
          <w:noProof/>
        </w:rPr>
      </w:pPr>
      <w:r>
        <w:t>(1)</w:t>
      </w:r>
      <w:r>
        <w:tab/>
      </w:r>
      <w:r>
        <w:rPr>
          <w:noProof/>
        </w:rPr>
        <w:t>Article 6(2) is replaced by the following:</w:t>
      </w:r>
    </w:p>
    <w:p w:rsidR="007571C5" w:rsidRDefault="009E4A9A">
      <w:pPr>
        <w:pBdr>
          <w:top w:val="nil"/>
          <w:left w:val="nil"/>
          <w:bottom w:val="nil"/>
          <w:right w:val="nil"/>
          <w:between w:val="nil"/>
          <w:bar w:val="nil"/>
        </w:pBdr>
        <w:spacing w:after="240"/>
        <w:ind w:left="720" w:hanging="11"/>
        <w:rPr>
          <w:rFonts w:eastAsia="Calibri"/>
          <w:noProof/>
        </w:rPr>
      </w:pPr>
      <w:r>
        <w:rPr>
          <w:rFonts w:eastAsia="Calibri"/>
          <w:noProof/>
        </w:rPr>
        <w:t>“2. The</w:t>
      </w:r>
      <w:r>
        <w:rPr>
          <w:rFonts w:eastAsia="Calibri"/>
          <w:noProof/>
        </w:rPr>
        <w:t xml:space="preserve"> allocation of the Fund for the period 2014–2020 for every Member State is set out in Annex III except for the increased resources in response to the COVID-19 pandemic referred to in Article 6a. The minimum amount for each Member State is EUR 3 500 000 for</w:t>
      </w:r>
      <w:r>
        <w:rPr>
          <w:rFonts w:eastAsia="Calibri"/>
          <w:noProof/>
        </w:rPr>
        <w:t xml:space="preserve"> the whole period.”</w:t>
      </w:r>
    </w:p>
    <w:p w:rsidR="007571C5" w:rsidRDefault="009E4A9A">
      <w:pPr>
        <w:pStyle w:val="Point0"/>
        <w:rPr>
          <w:noProof/>
        </w:rPr>
      </w:pPr>
      <w:r>
        <w:t>(2)</w:t>
      </w:r>
      <w:r>
        <w:tab/>
      </w:r>
      <w:r>
        <w:rPr>
          <w:noProof/>
        </w:rPr>
        <w:t>The following new Article 6a is inserted:</w:t>
      </w:r>
    </w:p>
    <w:p w:rsidR="007571C5" w:rsidRDefault="009E4A9A">
      <w:pPr>
        <w:pBdr>
          <w:top w:val="nil"/>
          <w:left w:val="nil"/>
          <w:bottom w:val="nil"/>
          <w:right w:val="nil"/>
          <w:between w:val="nil"/>
          <w:bar w:val="nil"/>
        </w:pBdr>
        <w:spacing w:after="240"/>
        <w:ind w:left="720"/>
        <w:contextualSpacing/>
        <w:jc w:val="center"/>
        <w:rPr>
          <w:rFonts w:eastAsia="Calibri"/>
          <w:i/>
          <w:noProof/>
        </w:rPr>
      </w:pPr>
      <w:r>
        <w:rPr>
          <w:rFonts w:eastAsia="Calibri"/>
          <w:noProof/>
        </w:rPr>
        <w:t>“</w:t>
      </w:r>
      <w:r>
        <w:rPr>
          <w:rFonts w:eastAsia="Calibri"/>
          <w:i/>
          <w:noProof/>
        </w:rPr>
        <w:t>Article 6a</w:t>
      </w:r>
    </w:p>
    <w:p w:rsidR="007571C5" w:rsidRDefault="009E4A9A">
      <w:pPr>
        <w:pBdr>
          <w:top w:val="nil"/>
          <w:left w:val="nil"/>
          <w:bottom w:val="nil"/>
          <w:right w:val="nil"/>
          <w:between w:val="nil"/>
          <w:bar w:val="nil"/>
        </w:pBdr>
        <w:spacing w:after="240"/>
        <w:ind w:left="720"/>
        <w:contextualSpacing/>
        <w:jc w:val="center"/>
        <w:rPr>
          <w:rFonts w:eastAsia="Calibri"/>
          <w:b/>
          <w:i/>
          <w:noProof/>
        </w:rPr>
      </w:pPr>
      <w:r>
        <w:rPr>
          <w:rFonts w:eastAsia="Calibri"/>
          <w:b/>
          <w:i/>
          <w:noProof/>
        </w:rPr>
        <w:t>Voluntary increase of resources in response to the COVID-19 outbreak</w:t>
      </w:r>
    </w:p>
    <w:p w:rsidR="007571C5" w:rsidRDefault="007571C5">
      <w:pPr>
        <w:pBdr>
          <w:top w:val="nil"/>
          <w:left w:val="nil"/>
          <w:bottom w:val="nil"/>
          <w:right w:val="nil"/>
          <w:between w:val="nil"/>
          <w:bar w:val="nil"/>
        </w:pBdr>
        <w:spacing w:after="240"/>
        <w:ind w:left="720"/>
        <w:contextualSpacing/>
        <w:rPr>
          <w:rFonts w:eastAsia="Calibri"/>
          <w:b/>
          <w:noProof/>
        </w:rPr>
      </w:pPr>
    </w:p>
    <w:p w:rsidR="007571C5" w:rsidRDefault="009E4A9A">
      <w:pPr>
        <w:pBdr>
          <w:top w:val="nil"/>
          <w:left w:val="nil"/>
          <w:bottom w:val="nil"/>
          <w:right w:val="nil"/>
          <w:between w:val="nil"/>
          <w:bar w:val="nil"/>
        </w:pBdr>
        <w:spacing w:after="240"/>
        <w:ind w:left="720"/>
        <w:contextualSpacing/>
        <w:rPr>
          <w:rFonts w:eastAsia="Calibri"/>
          <w:noProof/>
        </w:rPr>
      </w:pPr>
      <w:r>
        <w:rPr>
          <w:rFonts w:eastAsia="Calibri"/>
          <w:noProof/>
        </w:rPr>
        <w:t>1. The resources referred to in Article 6 may be increased by Member States on a voluntary basis in response</w:t>
      </w:r>
      <w:r>
        <w:rPr>
          <w:rFonts w:eastAsia="Calibri"/>
          <w:noProof/>
        </w:rPr>
        <w:t xml:space="preserve"> to the COVID-19 pandemic, in accordance with the seventh subparagraph of point 5 of Article 92b of Regulation (EU) No 1303/2013. The increase may affect the budgetary commitments for 2020, 2021 and 2022.</w:t>
      </w:r>
    </w:p>
    <w:p w:rsidR="007571C5" w:rsidRDefault="009E4A9A">
      <w:pPr>
        <w:pBdr>
          <w:top w:val="nil"/>
          <w:left w:val="nil"/>
          <w:bottom w:val="nil"/>
          <w:right w:val="nil"/>
          <w:between w:val="nil"/>
          <w:bar w:val="nil"/>
        </w:pBdr>
        <w:spacing w:after="240"/>
        <w:ind w:left="720"/>
        <w:contextualSpacing/>
        <w:rPr>
          <w:rFonts w:eastAsia="Calibri"/>
          <w:noProof/>
        </w:rPr>
      </w:pPr>
      <w:r>
        <w:rPr>
          <w:rFonts w:eastAsia="Calibri"/>
          <w:noProof/>
        </w:rPr>
        <w:t>2. By way of derogation from Article 7(1) the perio</w:t>
      </w:r>
      <w:r>
        <w:rPr>
          <w:rFonts w:eastAsia="Calibri"/>
          <w:noProof/>
        </w:rPr>
        <w:t xml:space="preserve">d for operational programmes benefitting from additional resources in accordance with paragraph 1 shall be until 31 December 2022. </w:t>
      </w:r>
    </w:p>
    <w:p w:rsidR="007571C5" w:rsidRDefault="009E4A9A">
      <w:pPr>
        <w:pBdr>
          <w:top w:val="nil"/>
          <w:left w:val="nil"/>
          <w:bottom w:val="nil"/>
          <w:right w:val="nil"/>
          <w:between w:val="nil"/>
          <w:bar w:val="nil"/>
        </w:pBdr>
        <w:spacing w:after="240"/>
        <w:ind w:left="720"/>
        <w:contextualSpacing/>
        <w:rPr>
          <w:rFonts w:eastAsia="Calibri"/>
          <w:noProof/>
        </w:rPr>
      </w:pPr>
      <w:r>
        <w:rPr>
          <w:rFonts w:eastAsia="Calibri"/>
          <w:noProof/>
        </w:rPr>
        <w:t xml:space="preserve">3. By way of derogation from the first sub-paragraph of Article 38, the budget commitments for the additional resources in respect of each programme shall be made in the years 2020, 2021 and 2022.  </w:t>
      </w:r>
    </w:p>
    <w:p w:rsidR="007571C5" w:rsidRDefault="009E4A9A">
      <w:pPr>
        <w:pBdr>
          <w:top w:val="nil"/>
          <w:left w:val="nil"/>
          <w:bottom w:val="nil"/>
          <w:right w:val="nil"/>
          <w:between w:val="nil"/>
          <w:bar w:val="nil"/>
        </w:pBdr>
        <w:spacing w:after="240"/>
        <w:ind w:left="720"/>
        <w:contextualSpacing/>
        <w:rPr>
          <w:rFonts w:eastAsia="Calibri"/>
          <w:noProof/>
        </w:rPr>
      </w:pPr>
      <w:r>
        <w:rPr>
          <w:rFonts w:eastAsia="Calibri"/>
          <w:noProof/>
        </w:rPr>
        <w:t>By way of derogation from Article 59(1), the additional c</w:t>
      </w:r>
      <w:r>
        <w:rPr>
          <w:rFonts w:eastAsia="Calibri"/>
          <w:noProof/>
        </w:rPr>
        <w:t>ommitments shall be decommitted in accordance with the rules to be followed for the closure of the programmes.</w:t>
      </w:r>
    </w:p>
    <w:p w:rsidR="007571C5" w:rsidRDefault="009E4A9A">
      <w:pPr>
        <w:pBdr>
          <w:top w:val="nil"/>
          <w:left w:val="nil"/>
          <w:bottom w:val="nil"/>
          <w:right w:val="nil"/>
          <w:between w:val="nil"/>
          <w:bar w:val="nil"/>
        </w:pBdr>
        <w:spacing w:after="240"/>
        <w:ind w:left="720"/>
        <w:contextualSpacing/>
        <w:rPr>
          <w:rFonts w:eastAsia="Calibri"/>
          <w:noProof/>
        </w:rPr>
      </w:pPr>
      <w:r>
        <w:rPr>
          <w:rFonts w:eastAsia="Calibri"/>
          <w:noProof/>
        </w:rPr>
        <w:t>4. In addition to the pre-financing referred to in Article 44(1), the Commission shall pay a pre-financing amount of 50% of the additional resour</w:t>
      </w:r>
      <w:r>
        <w:rPr>
          <w:rFonts w:eastAsia="Calibri"/>
          <w:noProof/>
        </w:rPr>
        <w:t xml:space="preserve">ces allocated for the year 2020 following the Commission decision approving the amendment to a programme for the allocation of the additional resources. </w:t>
      </w:r>
    </w:p>
    <w:p w:rsidR="007571C5" w:rsidRDefault="007571C5">
      <w:pPr>
        <w:pBdr>
          <w:top w:val="nil"/>
          <w:left w:val="nil"/>
          <w:bottom w:val="nil"/>
          <w:right w:val="nil"/>
          <w:between w:val="nil"/>
          <w:bar w:val="nil"/>
        </w:pBdr>
        <w:spacing w:after="240"/>
        <w:ind w:left="720"/>
        <w:contextualSpacing/>
        <w:rPr>
          <w:rFonts w:eastAsia="Calibri"/>
          <w:noProof/>
        </w:rPr>
      </w:pPr>
    </w:p>
    <w:p w:rsidR="007571C5" w:rsidRDefault="009E4A9A">
      <w:pPr>
        <w:pBdr>
          <w:top w:val="nil"/>
          <w:left w:val="nil"/>
          <w:bottom w:val="nil"/>
          <w:right w:val="nil"/>
          <w:between w:val="nil"/>
          <w:bar w:val="nil"/>
        </w:pBdr>
        <w:spacing w:after="240"/>
        <w:ind w:left="720"/>
        <w:contextualSpacing/>
        <w:rPr>
          <w:rFonts w:eastAsia="Calibri"/>
          <w:noProof/>
        </w:rPr>
      </w:pPr>
      <w:r>
        <w:rPr>
          <w:rFonts w:eastAsia="Calibri"/>
          <w:noProof/>
        </w:rPr>
        <w:t>The amount paid as pre-financing as referred to in the first sub-paragraph shall be totally cleared f</w:t>
      </w:r>
      <w:r>
        <w:rPr>
          <w:rFonts w:eastAsia="Calibri"/>
          <w:noProof/>
        </w:rPr>
        <w:t>rom the Commission accounts not later than when the programme is closed.</w:t>
      </w:r>
    </w:p>
    <w:p w:rsidR="007571C5" w:rsidRDefault="009E4A9A">
      <w:pPr>
        <w:pBdr>
          <w:top w:val="nil"/>
          <w:left w:val="nil"/>
          <w:bottom w:val="nil"/>
          <w:right w:val="nil"/>
          <w:between w:val="nil"/>
          <w:bar w:val="nil"/>
        </w:pBdr>
        <w:spacing w:after="240"/>
        <w:ind w:left="720"/>
        <w:contextualSpacing/>
        <w:rPr>
          <w:noProof/>
        </w:rPr>
      </w:pPr>
      <w:r>
        <w:rPr>
          <w:rFonts w:eastAsia="Calibri"/>
          <w:noProof/>
        </w:rPr>
        <w:t>5. By way of derogation to Article 20, the additional resources under paragraph 1 are not subject to co-financing.”</w:t>
      </w:r>
      <w:r>
        <w:rPr>
          <w:noProof/>
        </w:rPr>
        <w:t xml:space="preserve"> </w:t>
      </w:r>
    </w:p>
    <w:p w:rsidR="007571C5" w:rsidRDefault="009E4A9A">
      <w:pPr>
        <w:pStyle w:val="Point0"/>
        <w:rPr>
          <w:noProof/>
        </w:rPr>
      </w:pPr>
      <w:r>
        <w:t>(3)</w:t>
      </w:r>
      <w:r>
        <w:tab/>
      </w:r>
      <w:r>
        <w:rPr>
          <w:noProof/>
        </w:rPr>
        <w:t>In Article 27, paragraph 4 is replaced by the following:</w:t>
      </w:r>
    </w:p>
    <w:p w:rsidR="007571C5" w:rsidRDefault="009E4A9A">
      <w:pPr>
        <w:ind w:left="720"/>
        <w:rPr>
          <w:noProof/>
        </w:rPr>
      </w:pPr>
      <w:r>
        <w:rPr>
          <w:noProof/>
        </w:rPr>
        <w:t>“4. A</w:t>
      </w:r>
      <w:r>
        <w:rPr>
          <w:noProof/>
        </w:rPr>
        <w:t>t the initiative of the Member States, and subject to a ceiling of 5 % of the Fund allocation at the time of the adoption of the operational programme and 5% on the additional resources referred to in Article 6a(1), the operational programme may finance pr</w:t>
      </w:r>
      <w:r>
        <w:rPr>
          <w:noProof/>
        </w:rPr>
        <w:t>eparation, management, monitoring, administrative and technical assistance, audit, information, control and evaluation measures necessary for implementation of the Fund, including the preparation and operating costs of voucher schemes in case these costs a</w:t>
      </w:r>
      <w:r>
        <w:rPr>
          <w:noProof/>
        </w:rPr>
        <w:t>re borne by the managing authority or another public body, that is not a partner organisation. It may also finance technical assistance and capacity building of partner organisations and any other actors involved in the implementation of the Fund, includin</w:t>
      </w:r>
      <w:r>
        <w:rPr>
          <w:noProof/>
        </w:rPr>
        <w:t>g for fostering crisis response capacity to the COVID-19 pandemic. The actions referred to in this paragraph may concern the subsequent programming period, including to ensure the continuation of the support by this Fund through other Funds.”</w:t>
      </w:r>
    </w:p>
    <w:p w:rsidR="007571C5" w:rsidRDefault="009E4A9A">
      <w:pPr>
        <w:pStyle w:val="Point0"/>
        <w:rPr>
          <w:noProof/>
        </w:rPr>
      </w:pPr>
      <w:r>
        <w:t>(4)</w:t>
      </w:r>
      <w:r>
        <w:tab/>
      </w:r>
      <w:r>
        <w:rPr>
          <w:noProof/>
        </w:rPr>
        <w:t>The follo</w:t>
      </w:r>
      <w:r>
        <w:rPr>
          <w:noProof/>
        </w:rPr>
        <w:t>wing new Article 63a is inserted:</w:t>
      </w:r>
    </w:p>
    <w:p w:rsidR="007571C5" w:rsidRDefault="009E4A9A">
      <w:pPr>
        <w:pBdr>
          <w:top w:val="nil"/>
          <w:left w:val="nil"/>
          <w:bottom w:val="nil"/>
          <w:right w:val="nil"/>
          <w:between w:val="nil"/>
          <w:bar w:val="nil"/>
        </w:pBdr>
        <w:spacing w:after="240"/>
        <w:ind w:left="1440" w:hanging="720"/>
        <w:contextualSpacing/>
        <w:jc w:val="center"/>
        <w:rPr>
          <w:rFonts w:eastAsia="Calibri"/>
          <w:i/>
          <w:noProof/>
        </w:rPr>
      </w:pPr>
      <w:r>
        <w:rPr>
          <w:rFonts w:eastAsia="Calibri"/>
          <w:noProof/>
        </w:rPr>
        <w:t>“</w:t>
      </w:r>
      <w:r>
        <w:rPr>
          <w:rFonts w:eastAsia="Calibri"/>
          <w:i/>
          <w:noProof/>
        </w:rPr>
        <w:t>Article 63a</w:t>
      </w:r>
    </w:p>
    <w:p w:rsidR="007571C5" w:rsidRDefault="009E4A9A">
      <w:pPr>
        <w:pBdr>
          <w:top w:val="nil"/>
          <w:left w:val="nil"/>
          <w:bottom w:val="nil"/>
          <w:right w:val="nil"/>
          <w:between w:val="nil"/>
          <w:bar w:val="nil"/>
        </w:pBdr>
        <w:spacing w:after="240"/>
        <w:ind w:left="1440" w:hanging="720"/>
        <w:contextualSpacing/>
        <w:jc w:val="center"/>
        <w:rPr>
          <w:rFonts w:eastAsia="Calibri"/>
          <w:i/>
          <w:noProof/>
        </w:rPr>
      </w:pPr>
      <w:r>
        <w:rPr>
          <w:rFonts w:eastAsia="Calibri"/>
          <w:i/>
          <w:noProof/>
        </w:rPr>
        <w:t>Transitional provisions</w:t>
      </w:r>
    </w:p>
    <w:p w:rsidR="007571C5" w:rsidRDefault="009E4A9A">
      <w:pPr>
        <w:ind w:left="720"/>
        <w:rPr>
          <w:i/>
          <w:noProof/>
        </w:rPr>
      </w:pPr>
      <w:r>
        <w:rPr>
          <w:noProof/>
        </w:rPr>
        <w:t>Article 6a shall not apply to and in the United Kingdom. References to Member States in those provisions shall be understood as not including the United Kingdom.”</w:t>
      </w:r>
    </w:p>
    <w:p w:rsidR="007571C5" w:rsidRDefault="007571C5">
      <w:pPr>
        <w:pBdr>
          <w:top w:val="nil"/>
          <w:left w:val="nil"/>
          <w:bottom w:val="nil"/>
          <w:right w:val="nil"/>
          <w:between w:val="nil"/>
          <w:bar w:val="nil"/>
        </w:pBdr>
        <w:spacing w:after="240"/>
        <w:ind w:left="851" w:hanging="131"/>
        <w:rPr>
          <w:rFonts w:eastAsia="Calibri"/>
          <w:noProof/>
        </w:rPr>
      </w:pPr>
    </w:p>
    <w:p w:rsidR="007571C5" w:rsidRDefault="009E4A9A">
      <w:pPr>
        <w:pStyle w:val="Titrearticle"/>
        <w:rPr>
          <w:noProof/>
        </w:rPr>
      </w:pPr>
      <w:r>
        <w:rPr>
          <w:noProof/>
        </w:rPr>
        <w:t xml:space="preserve">Article 2 </w:t>
      </w:r>
    </w:p>
    <w:p w:rsidR="007571C5" w:rsidRDefault="009E4A9A">
      <w:pPr>
        <w:rPr>
          <w:rFonts w:eastAsia="Calibri"/>
          <w:noProof/>
        </w:rPr>
      </w:pPr>
      <w:r>
        <w:rPr>
          <w:rFonts w:eastAsia="Calibri"/>
          <w:noProof/>
        </w:rPr>
        <w:t xml:space="preserve">This Regulation shall enter into force on the day following that of its publication in the </w:t>
      </w:r>
      <w:r>
        <w:rPr>
          <w:rFonts w:eastAsia="Calibri"/>
          <w:i/>
          <w:iCs/>
          <w:noProof/>
        </w:rPr>
        <w:t>Official Journal of the European Union</w:t>
      </w:r>
      <w:r>
        <w:rPr>
          <w:rFonts w:eastAsia="Calibri"/>
          <w:noProof/>
        </w:rPr>
        <w:t>.</w:t>
      </w:r>
    </w:p>
    <w:p w:rsidR="007571C5" w:rsidRDefault="009E4A9A">
      <w:pPr>
        <w:pStyle w:val="Applicationdirecte"/>
        <w:rPr>
          <w:noProof/>
        </w:rPr>
      </w:pPr>
      <w:r>
        <w:rPr>
          <w:noProof/>
        </w:rPr>
        <w:t>This Regulation shall be binding in its entirety and directly applicable in all Member States.</w:t>
      </w:r>
    </w:p>
    <w:p w:rsidR="007571C5" w:rsidRDefault="009E4A9A" w:rsidP="009E4A9A">
      <w:pPr>
        <w:pStyle w:val="Fait"/>
        <w:rPr>
          <w:noProof/>
        </w:rPr>
      </w:pPr>
      <w:r w:rsidRPr="009E4A9A">
        <w:t>Done at Brussels,</w:t>
      </w:r>
    </w:p>
    <w:p w:rsidR="007571C5" w:rsidRDefault="009E4A9A">
      <w:pPr>
        <w:pStyle w:val="Institutionquisigne"/>
        <w:rPr>
          <w:noProof/>
        </w:rPr>
      </w:pPr>
      <w:r>
        <w:rPr>
          <w:noProof/>
        </w:rPr>
        <w:t>F</w:t>
      </w:r>
      <w:r>
        <w:rPr>
          <w:noProof/>
        </w:rPr>
        <w:t>or the Euro</w:t>
      </w:r>
      <w:r>
        <w:rPr>
          <w:noProof/>
        </w:rPr>
        <w:t>pean Parliament</w:t>
      </w:r>
      <w:r>
        <w:rPr>
          <w:noProof/>
        </w:rPr>
        <w:tab/>
        <w:t>For the Council</w:t>
      </w:r>
    </w:p>
    <w:p w:rsidR="007571C5" w:rsidRDefault="009E4A9A">
      <w:pPr>
        <w:pStyle w:val="Personnequisigne"/>
        <w:rPr>
          <w:noProof/>
        </w:rPr>
      </w:pPr>
      <w:r>
        <w:rPr>
          <w:noProof/>
        </w:rPr>
        <w:t>The President</w:t>
      </w:r>
      <w:r>
        <w:rPr>
          <w:noProof/>
        </w:rPr>
        <w:tab/>
        <w:t>The President</w:t>
      </w:r>
    </w:p>
    <w:sectPr w:rsidR="007571C5" w:rsidSect="009E4A9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1C5" w:rsidRDefault="009E4A9A">
      <w:pPr>
        <w:spacing w:before="0" w:after="0"/>
      </w:pPr>
      <w:r>
        <w:separator/>
      </w:r>
    </w:p>
  </w:endnote>
  <w:endnote w:type="continuationSeparator" w:id="0">
    <w:p w:rsidR="007571C5" w:rsidRDefault="009E4A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A9A" w:rsidRPr="009E4A9A" w:rsidRDefault="009E4A9A" w:rsidP="009E4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1C5" w:rsidRPr="009E4A9A" w:rsidRDefault="009E4A9A" w:rsidP="009E4A9A">
    <w:pPr>
      <w:pStyle w:val="Footer"/>
      <w:rPr>
        <w:rFonts w:ascii="Arial" w:hAnsi="Arial" w:cs="Arial"/>
        <w:b/>
        <w:sz w:val="48"/>
      </w:rPr>
    </w:pPr>
    <w:r w:rsidRPr="009E4A9A">
      <w:rPr>
        <w:rFonts w:ascii="Arial" w:hAnsi="Arial" w:cs="Arial"/>
        <w:b/>
        <w:sz w:val="48"/>
      </w:rPr>
      <w:t>EN</w:t>
    </w:r>
    <w:r w:rsidRPr="009E4A9A">
      <w:rPr>
        <w:rFonts w:ascii="Arial" w:hAnsi="Arial" w:cs="Arial"/>
        <w:b/>
        <w:sz w:val="48"/>
      </w:rPr>
      <w:tab/>
    </w:r>
    <w:r w:rsidRPr="009E4A9A">
      <w:rPr>
        <w:rFonts w:ascii="Arial" w:hAnsi="Arial" w:cs="Arial"/>
        <w:b/>
        <w:sz w:val="48"/>
      </w:rPr>
      <w:tab/>
    </w:r>
    <w:r w:rsidRPr="009E4A9A">
      <w:tab/>
    </w:r>
    <w:r w:rsidRPr="009E4A9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A9A" w:rsidRPr="009E4A9A" w:rsidRDefault="009E4A9A" w:rsidP="009E4A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A9A" w:rsidRPr="009E4A9A" w:rsidRDefault="009E4A9A" w:rsidP="009E4A9A">
    <w:pPr>
      <w:pStyle w:val="Footer"/>
      <w:rPr>
        <w:rFonts w:ascii="Arial" w:hAnsi="Arial" w:cs="Arial"/>
        <w:b/>
        <w:sz w:val="48"/>
      </w:rPr>
    </w:pPr>
    <w:r w:rsidRPr="009E4A9A">
      <w:rPr>
        <w:rFonts w:ascii="Arial" w:hAnsi="Arial" w:cs="Arial"/>
        <w:b/>
        <w:sz w:val="48"/>
      </w:rPr>
      <w:t>EN</w:t>
    </w:r>
    <w:r w:rsidRPr="009E4A9A">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9E4A9A">
      <w:tab/>
    </w:r>
    <w:r w:rsidRPr="009E4A9A">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A9A" w:rsidRPr="009E4A9A" w:rsidRDefault="009E4A9A" w:rsidP="009E4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1C5" w:rsidRDefault="009E4A9A">
      <w:pPr>
        <w:spacing w:before="0" w:after="0"/>
      </w:pPr>
      <w:r>
        <w:separator/>
      </w:r>
    </w:p>
  </w:footnote>
  <w:footnote w:type="continuationSeparator" w:id="0">
    <w:p w:rsidR="007571C5" w:rsidRDefault="009E4A9A">
      <w:pPr>
        <w:spacing w:before="0" w:after="0"/>
      </w:pPr>
      <w:r>
        <w:continuationSeparator/>
      </w:r>
    </w:p>
  </w:footnote>
  <w:footnote w:id="1">
    <w:p w:rsidR="007571C5" w:rsidRDefault="009E4A9A">
      <w:pPr>
        <w:pStyle w:val="FootnoteText"/>
        <w:rPr>
          <w:lang w:val="en-IE"/>
        </w:rPr>
      </w:pPr>
      <w:r>
        <w:rPr>
          <w:rStyle w:val="FootnoteReference"/>
        </w:rPr>
        <w:footnoteRef/>
      </w:r>
      <w:r>
        <w:tab/>
        <w:t>Regulation (EU) 2020/460 of the European Parliament and of the Council of 30 March 2020 amending Regulations (EU) No 1301/2013, (EU) No 1303/2013 and (EU) No 508/2014 as regards specific mea</w:t>
      </w:r>
      <w:r>
        <w:t>sures to mobilise investments in the healthcare systems of Member States and in other sectors of their economies in response to the COVID-19 outbreak (Coronavirus Response Investment Initiative) (OJ L 99, 31.03.2020, p. 5)</w:t>
      </w:r>
    </w:p>
  </w:footnote>
  <w:footnote w:id="2">
    <w:p w:rsidR="007571C5" w:rsidRDefault="009E4A9A">
      <w:pPr>
        <w:pStyle w:val="FootnoteText"/>
        <w:rPr>
          <w:lang w:val="en-IE"/>
        </w:rPr>
      </w:pPr>
      <w:r>
        <w:rPr>
          <w:rStyle w:val="FootnoteReference"/>
        </w:rPr>
        <w:footnoteRef/>
      </w:r>
      <w:r>
        <w:tab/>
        <w:t>Regulation (EU) 2020/558 of the</w:t>
      </w:r>
      <w:r>
        <w:t xml:space="preserve"> European Parliament and of the Council of 23 April 2020 amending Regulations (EU) No 1301/2013 and (EU) No 1303/2013 as regards specific measures to provide exceptional flexibility for the use of the European Structural and Investments Funds in response t</w:t>
      </w:r>
      <w:r>
        <w:t>o the COVID-19 outbreak (OJ L 130, 24.04.2020, p. 1).</w:t>
      </w:r>
    </w:p>
  </w:footnote>
  <w:footnote w:id="3">
    <w:p w:rsidR="007571C5" w:rsidRDefault="009E4A9A">
      <w:pPr>
        <w:pStyle w:val="FootnoteText"/>
        <w:rPr>
          <w:lang w:val="en-US"/>
        </w:rPr>
      </w:pPr>
      <w:r>
        <w:rPr>
          <w:rStyle w:val="FootnoteReference"/>
        </w:rPr>
        <w:footnoteRef/>
      </w:r>
      <w:r>
        <w:t xml:space="preserve"> </w:t>
      </w:r>
      <w:r>
        <w:tab/>
      </w:r>
      <w:r>
        <w:rPr>
          <w:lang w:val="en-US"/>
        </w:rPr>
        <w:t>Regulation (EU) No 223/2014 of the European Parliament and of the Council of 11 March 2014 on the Fund for European Aid to the Most Deprived (OJ L 72, 12.3.2014, p. 1-41)</w:t>
      </w:r>
    </w:p>
  </w:footnote>
  <w:footnote w:id="4">
    <w:p w:rsidR="007571C5" w:rsidRDefault="009E4A9A">
      <w:pPr>
        <w:pStyle w:val="FootnoteText"/>
        <w:rPr>
          <w:lang w:val="pt-PT"/>
        </w:rPr>
      </w:pPr>
      <w:r>
        <w:rPr>
          <w:rStyle w:val="FootnoteReference"/>
        </w:rPr>
        <w:footnoteRef/>
      </w:r>
      <w:r>
        <w:rPr>
          <w:lang w:val="pt-PT"/>
        </w:rPr>
        <w:tab/>
        <w:t>OJ L 130, 24.04.2020, p. 7</w:t>
      </w:r>
      <w:r>
        <w:rPr>
          <w:lang w:val="pt-PT"/>
        </w:rPr>
        <w:t>.</w:t>
      </w:r>
    </w:p>
  </w:footnote>
  <w:footnote w:id="5">
    <w:p w:rsidR="007571C5" w:rsidRDefault="009E4A9A">
      <w:pPr>
        <w:pStyle w:val="FootnoteText"/>
        <w:rPr>
          <w:lang w:val="pt-PT"/>
        </w:rPr>
      </w:pPr>
      <w:r>
        <w:rPr>
          <w:rStyle w:val="FootnoteReference"/>
        </w:rPr>
        <w:footnoteRef/>
      </w:r>
      <w:r>
        <w:rPr>
          <w:lang w:val="pt-PT"/>
        </w:rPr>
        <w:tab/>
        <w:t>COM(2020)451 final.</w:t>
      </w:r>
    </w:p>
  </w:footnote>
  <w:footnote w:id="6">
    <w:p w:rsidR="007571C5" w:rsidRDefault="009E4A9A">
      <w:pPr>
        <w:pStyle w:val="FootnoteText"/>
        <w:rPr>
          <w:lang w:val="pt-PT"/>
        </w:rPr>
      </w:pPr>
      <w:r>
        <w:rPr>
          <w:rStyle w:val="FootnoteReference"/>
        </w:rPr>
        <w:footnoteRef/>
      </w:r>
      <w:r>
        <w:rPr>
          <w:lang w:val="pt-PT"/>
        </w:rPr>
        <w:tab/>
        <w:t>COM(2020)451 final.</w:t>
      </w:r>
    </w:p>
  </w:footnote>
  <w:footnote w:id="7">
    <w:p w:rsidR="007571C5" w:rsidRDefault="009E4A9A">
      <w:pPr>
        <w:pStyle w:val="FootnoteText"/>
        <w:rPr>
          <w:lang w:val="pt-PT"/>
        </w:rPr>
      </w:pPr>
      <w:r>
        <w:rPr>
          <w:rStyle w:val="FootnoteReference"/>
        </w:rPr>
        <w:footnoteRef/>
      </w:r>
      <w:r>
        <w:rPr>
          <w:lang w:val="pt-PT"/>
        </w:rPr>
        <w:tab/>
        <w:t>COM (2020) 251 final.</w:t>
      </w:r>
    </w:p>
  </w:footnote>
  <w:footnote w:id="8">
    <w:p w:rsidR="007571C5" w:rsidRDefault="009E4A9A">
      <w:pPr>
        <w:pStyle w:val="FootnoteText"/>
        <w:rPr>
          <w:lang w:val="pt-PT"/>
        </w:rPr>
      </w:pPr>
      <w:r>
        <w:rPr>
          <w:rStyle w:val="FootnoteReference"/>
        </w:rPr>
        <w:footnoteRef/>
      </w:r>
      <w:r>
        <w:rPr>
          <w:lang w:val="pt-PT"/>
        </w:rPr>
        <w:tab/>
        <w:t>OJ C , , p. .</w:t>
      </w:r>
    </w:p>
  </w:footnote>
  <w:footnote w:id="9">
    <w:p w:rsidR="007571C5" w:rsidRDefault="009E4A9A">
      <w:pPr>
        <w:pStyle w:val="FootnoteText"/>
      </w:pPr>
      <w:r>
        <w:rPr>
          <w:rStyle w:val="FootnoteReference"/>
        </w:rPr>
        <w:footnoteRef/>
      </w:r>
      <w:r>
        <w:tab/>
        <w:t>OJ C , , p. .</w:t>
      </w:r>
    </w:p>
  </w:footnote>
  <w:footnote w:id="10">
    <w:p w:rsidR="007571C5" w:rsidRDefault="009E4A9A">
      <w:pPr>
        <w:pStyle w:val="FootnoteText"/>
        <w:ind w:left="708" w:hanging="708"/>
        <w:rPr>
          <w:lang w:val="en-US"/>
        </w:rPr>
      </w:pPr>
      <w:r>
        <w:rPr>
          <w:rStyle w:val="FootnoteReference"/>
        </w:rPr>
        <w:footnoteRef/>
      </w:r>
      <w:r>
        <w:rPr>
          <w:lang w:val="en-US"/>
        </w:rPr>
        <w:tab/>
        <w:t xml:space="preserve">Regulation (EU) No 223/2014 of the European Parliament and of the Council of 11 March 2014 on the Fund for European Aid to the Most Deprived (OJ L 72, </w:t>
      </w:r>
      <w:r>
        <w:rPr>
          <w:lang w:val="en-US"/>
        </w:rPr>
        <w:t>12.03.2014, p. 1).</w:t>
      </w:r>
    </w:p>
  </w:footnote>
  <w:footnote w:id="11">
    <w:p w:rsidR="007571C5" w:rsidRDefault="009E4A9A">
      <w:pPr>
        <w:pStyle w:val="FootnoteText"/>
      </w:pPr>
      <w:r>
        <w:rPr>
          <w:rStyle w:val="FootnoteReference"/>
        </w:rPr>
        <w:footnoteRef/>
      </w:r>
      <w:r>
        <w:t xml:space="preserve">  </w:t>
      </w:r>
      <w:r>
        <w:tab/>
      </w:r>
      <w:hyperlink r:id="rId1" w:history="1">
        <w:r>
          <w:rPr>
            <w:color w:val="0000FF"/>
            <w:u w:val="single"/>
          </w:rPr>
          <w:t>COM(2020) 446</w:t>
        </w:r>
      </w:hyperlink>
      <w:r>
        <w:rPr>
          <w:color w:val="0000FF"/>
          <w:u w:val="single"/>
        </w:rPr>
        <w:t>.</w:t>
      </w:r>
    </w:p>
  </w:footnote>
  <w:footnote w:id="12">
    <w:p w:rsidR="007571C5" w:rsidRDefault="009E4A9A">
      <w:pPr>
        <w:pStyle w:val="FootnoteText"/>
      </w:pPr>
      <w:r>
        <w:rPr>
          <w:rStyle w:val="FootnoteReference"/>
        </w:rPr>
        <w:footnoteRef/>
      </w:r>
      <w:r>
        <w:t xml:space="preserve"> </w:t>
      </w:r>
      <w:r>
        <w:tab/>
        <w:t xml:space="preserve">Council Regulation </w:t>
      </w:r>
      <w:r>
        <w:rPr>
          <w:lang w:val="en-IE"/>
        </w:rPr>
        <w:t>(EU, EURATOM) No 1311/2013 laying down the multiannual financial framework for the years 2014</w:t>
      </w:r>
      <w:r>
        <w:t xml:space="preserve">-2020 (OJ L 347, </w:t>
      </w:r>
      <w:r>
        <w:t>20.12.2013, p. 884).</w:t>
      </w:r>
    </w:p>
  </w:footnote>
  <w:footnote w:id="13">
    <w:p w:rsidR="007571C5" w:rsidRDefault="009E4A9A">
      <w:pPr>
        <w:pStyle w:val="FootnoteText"/>
        <w:rPr>
          <w:lang w:val="cs-CZ"/>
        </w:rPr>
      </w:pPr>
      <w:r>
        <w:rPr>
          <w:rStyle w:val="FootnoteReference"/>
        </w:rPr>
        <w:footnoteRef/>
      </w:r>
      <w:r>
        <w:tab/>
        <w:t>Council Regulation (EU, Euratom) No 1311/2013 of 2 December 2013 laying down the multiannual financial framework for the years 2014-2020 (OJ L 347, 20.12.2013, p. 884).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A9A" w:rsidRPr="009E4A9A" w:rsidRDefault="009E4A9A" w:rsidP="009E4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A9A" w:rsidRPr="009E4A9A" w:rsidRDefault="009E4A9A" w:rsidP="009E4A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A9A" w:rsidRPr="009E4A9A" w:rsidRDefault="009E4A9A" w:rsidP="009E4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AF29F8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B284BA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C56D8B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31C264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E96CDD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414F45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5B4A29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D9CAD1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76773F"/>
    <w:multiLevelType w:val="hybridMultilevel"/>
    <w:tmpl w:val="1758CCB2"/>
    <w:styleLink w:val="ImportedStyle3"/>
    <w:lvl w:ilvl="0" w:tplc="40FEC6F6">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7646D906">
      <w:start w:val="1"/>
      <w:numFmt w:val="lowerLetter"/>
      <w:lvlText w:val="(%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3FCE327E">
      <w:start w:val="1"/>
      <w:numFmt w:val="decimal"/>
      <w:lvlText w:val="(%3)"/>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63CE336C">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0756D076">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BE46F476">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F4389FAE">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4C826E6A">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0F8A26E">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3A970053"/>
    <w:multiLevelType w:val="multilevel"/>
    <w:tmpl w:val="0AEEAB14"/>
    <w:styleLink w:val="ImportedStyle4"/>
    <w:lvl w:ilvl="0">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3"/>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20"/>
  </w:num>
  <w:num w:numId="14">
    <w:abstractNumId w:val="14"/>
  </w:num>
  <w:num w:numId="15">
    <w:abstractNumId w:val="22"/>
  </w:num>
  <w:num w:numId="16">
    <w:abstractNumId w:val="12"/>
  </w:num>
  <w:num w:numId="17">
    <w:abstractNumId w:val="15"/>
  </w:num>
  <w:num w:numId="18">
    <w:abstractNumId w:val="9"/>
  </w:num>
  <w:num w:numId="19">
    <w:abstractNumId w:val="21"/>
  </w:num>
  <w:num w:numId="20">
    <w:abstractNumId w:val="8"/>
  </w:num>
  <w:num w:numId="21">
    <w:abstractNumId w:val="16"/>
  </w:num>
  <w:num w:numId="22">
    <w:abstractNumId w:val="18"/>
  </w:num>
  <w:num w:numId="23">
    <w:abstractNumId w:val="19"/>
  </w:num>
  <w:num w:numId="24">
    <w:abstractNumId w:val="11"/>
  </w:num>
  <w:num w:numId="25">
    <w:abstractNumId w:val="17"/>
  </w:num>
  <w:num w:numId="26">
    <w:abstractNumId w:val="23"/>
  </w:num>
  <w:num w:numId="27">
    <w:abstractNumId w:val="20"/>
  </w:num>
  <w:num w:numId="28">
    <w:abstractNumId w:val="14"/>
  </w:num>
  <w:num w:numId="29">
    <w:abstractNumId w:val="22"/>
  </w:num>
  <w:num w:numId="30">
    <w:abstractNumId w:val="12"/>
  </w:num>
  <w:num w:numId="31">
    <w:abstractNumId w:val="15"/>
  </w:num>
  <w:num w:numId="32">
    <w:abstractNumId w:val="9"/>
  </w:num>
  <w:num w:numId="33">
    <w:abstractNumId w:val="21"/>
  </w:num>
  <w:num w:numId="34">
    <w:abstractNumId w:val="8"/>
  </w:num>
  <w:num w:numId="35">
    <w:abstractNumId w:val="16"/>
  </w:num>
  <w:num w:numId="36">
    <w:abstractNumId w:val="18"/>
  </w:num>
  <w:num w:numId="37">
    <w:abstractNumId w:val="19"/>
  </w:num>
  <w:num w:numId="38">
    <w:abstractNumId w:val="11"/>
  </w:num>
  <w:num w:numId="39">
    <w:abstractNumId w:val="17"/>
  </w:num>
  <w:num w:numId="40">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7 09:38:3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8"/>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3"/>
    <w:docVar w:name="DQCStatus" w:val="Yellow"/>
    <w:docVar w:name="DQCVersion" w:val="3"/>
    <w:docVar w:name="DQCWithWarnings" w:val="0"/>
    <w:docVar w:name="LW_CORRIGENDUM" w:val="&lt;UNUSED&gt;"/>
    <w:docVar w:name="LW_COVERPAGE_EXISTS" w:val="True"/>
    <w:docVar w:name="LW_COVERPAGE_GUID" w:val="6E8C8C9F-6F75-4E50-B99B-DAA070DBA235"/>
    <w:docVar w:name="LW_COVERPAGE_TYPE" w:val="1"/>
    <w:docVar w:name="LW_CROSSREFERENCE" w:val="&lt;UNUSED&gt;"/>
    <w:docVar w:name="LW_DocType" w:val="COM"/>
    <w:docVar w:name="LW_EMISSION" w:val="28.5.2020"/>
    <w:docVar w:name="LW_EMISSION_ISODATE" w:val="2020-05-28"/>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05"/>
    <w:docVar w:name="LW_REF.II.NEW.CP_YEAR" w:val="2020"/>
    <w:docVar w:name="LW_REF.INST.NEW" w:val="COM"/>
    <w:docVar w:name="LW_REF.INST.NEW_ADOPTED" w:val="final"/>
    <w:docVar w:name="LW_REF.INST.NEW_TEXT" w:val="(2020) 2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No 223/2014 as regards the introduction of specific measures for addressing the COVID-19 crisis _x000b_"/>
    <w:docVar w:name="LW_TYPE.DOC.CP" w:val="REGULATION OF THE EUROPEAN PARLIAMENT AND OF THE COUNCIL"/>
  </w:docVars>
  <w:rsids>
    <w:rsidRoot w:val="007571C5"/>
    <w:rsid w:val="007571C5"/>
    <w:rsid w:val="009E4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5841"/>
    <o:shapelayout v:ext="edit">
      <o:idmap v:ext="edit" data="1"/>
    </o:shapelayout>
  </w:shapeDefaults>
  <w:decimalSymbol w:val=","/>
  <w:listSeparator w:val=";"/>
  <w15:docId w15:val="{FB6B62C5-31D7-44B5-8269-5649915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numbering" w:customStyle="1" w:styleId="ImportedStyle3">
    <w:name w:val="Imported Style 3"/>
    <w:pPr>
      <w:numPr>
        <w:numId w:val="11"/>
      </w:numPr>
    </w:pPr>
  </w:style>
  <w:style w:type="numbering" w:customStyle="1" w:styleId="ImportedStyle4">
    <w:name w:val="Imported Style 4"/>
    <w:pPr>
      <w:numPr>
        <w:numId w:val="12"/>
      </w:numPr>
    </w:pPr>
  </w:style>
  <w:style w:type="paragraph" w:customStyle="1" w:styleId="Body">
    <w:name w:val="Body"/>
    <w:uiPriority w:val="99"/>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nl-BE" w:eastAsia="nl-BE"/>
      <w14:textOutline w14:w="0" w14:cap="flat" w14:cmpd="sng" w14:algn="ctr">
        <w14:noFill/>
        <w14:prstDash w14:val="solid"/>
        <w14:bevel/>
      </w14:textOutlin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E4A9A"/>
    <w:pPr>
      <w:tabs>
        <w:tab w:val="center" w:pos="4535"/>
        <w:tab w:val="right" w:pos="9071"/>
      </w:tabs>
      <w:spacing w:before="0"/>
    </w:pPr>
  </w:style>
  <w:style w:type="character" w:customStyle="1" w:styleId="HeaderChar">
    <w:name w:val="Header Char"/>
    <w:basedOn w:val="DefaultParagraphFont"/>
    <w:link w:val="Header"/>
    <w:uiPriority w:val="99"/>
    <w:rsid w:val="009E4A9A"/>
    <w:rPr>
      <w:rFonts w:ascii="Times New Roman" w:hAnsi="Times New Roman" w:cs="Times New Roman"/>
      <w:sz w:val="24"/>
      <w:lang w:val="en-GB"/>
    </w:rPr>
  </w:style>
  <w:style w:type="paragraph" w:styleId="Footer">
    <w:name w:val="footer"/>
    <w:basedOn w:val="Normal"/>
    <w:link w:val="FooterChar"/>
    <w:uiPriority w:val="99"/>
    <w:unhideWhenUsed/>
    <w:rsid w:val="009E4A9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E4A9A"/>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E4A9A"/>
    <w:pPr>
      <w:tabs>
        <w:tab w:val="center" w:pos="7285"/>
        <w:tab w:val="right" w:pos="14003"/>
      </w:tabs>
      <w:spacing w:before="0"/>
    </w:pPr>
  </w:style>
  <w:style w:type="paragraph" w:customStyle="1" w:styleId="FooterLandscape">
    <w:name w:val="FooterLandscape"/>
    <w:basedOn w:val="Normal"/>
    <w:rsid w:val="009E4A9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E4A9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E4A9A"/>
    <w:pPr>
      <w:spacing w:before="0"/>
      <w:jc w:val="right"/>
    </w:pPr>
    <w:rPr>
      <w:sz w:val="28"/>
    </w:rPr>
  </w:style>
  <w:style w:type="paragraph" w:customStyle="1" w:styleId="FooterSensitivity">
    <w:name w:val="Footer Sensitivity"/>
    <w:basedOn w:val="Normal"/>
    <w:rsid w:val="009E4A9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cc.cec/sg/vista/home?documentDetails&amp;DocRef=COM/2020/04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61905-40C7-4EE9-9435-EA6515B5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10</TotalTime>
  <Pages>10</Pages>
  <Words>3661</Words>
  <Characters>19811</Characters>
  <Application>Microsoft Office Word</Application>
  <DocSecurity>0</DocSecurity>
  <Lines>335</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TORRE UNGUREANU Ana-Claudia (SG)</cp:lastModifiedBy>
  <cp:revision>21</cp:revision>
  <cp:lastPrinted>2020-05-23T09:53:00Z</cp:lastPrinted>
  <dcterms:created xsi:type="dcterms:W3CDTF">2020-05-27T19:47:00Z</dcterms:created>
  <dcterms:modified xsi:type="dcterms:W3CDTF">2020-05-27T21:28:00Z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