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2EC7A09-1DC6-48CE-99FA-D42B701C354D" style="width:451.35pt;height:365.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keepNext/>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keepNext/>
        <w:tabs>
          <w:tab w:val="left" w:pos="0"/>
        </w:tabs>
        <w:outlineLvl w:val="1"/>
        <w:rPr>
          <w:rFonts w:eastAsia="Calibri"/>
          <w:noProof/>
        </w:rPr>
      </w:pPr>
      <w:r>
        <w:rPr>
          <w:noProof/>
        </w:rPr>
        <w:t>Преките и косвените последици от пандемията от COVID-19 продължават да се изострят във всички държави членки. Настоящата ситуация е безпрецедентна, като при тези обстоятелства е необходимо да се прилагат адаптирани спрямо ситуацията извънредни мерки, включително по отношение на подкрепата за най-нуждаещите се лица, предоставяна от Фонда за европейско подпомагане на най-нуждаещите се лица (ФЕПНЛ). По-специално, кризата поражда не само специфични рискове за най-нуждаещите се, но и задълбочава икономическите затруднения. Очаква се, че най-уязвимите членове на обществото ще бъдат най-тежко засегнати от социално-икономическите последици от кризата. Освен това поради социалните и икономическите последици от пандемията от COVID-19 броят на най-нуждаещите се лица се увеличава.</w:t>
      </w:r>
    </w:p>
    <w:p>
      <w:pPr>
        <w:keepNext/>
        <w:tabs>
          <w:tab w:val="left" w:pos="0"/>
        </w:tabs>
        <w:outlineLvl w:val="1"/>
        <w:rPr>
          <w:rFonts w:eastAsia="Calibri"/>
          <w:noProof/>
        </w:rPr>
      </w:pPr>
      <w:r>
        <w:rPr>
          <w:noProof/>
        </w:rPr>
        <w:t>Първата „Инвестиционна инициатива в отговор на коронавируса“ (ИИОК)</w:t>
      </w:r>
      <w:r>
        <w:rPr>
          <w:rStyle w:val="FootnoteReference"/>
          <w:rFonts w:eastAsia="Calibri"/>
          <w:noProof/>
        </w:rPr>
        <w:footnoteReference w:id="1"/>
      </w:r>
      <w:r>
        <w:rPr>
          <w:noProof/>
        </w:rPr>
        <w:t> — пакет от мерки, който влезе в сила на 1 април 2020 г., въведе редица важни промени в законодателната уредба, приложима за европейските структурни и инвестиционни фондове, които дават възможност за по-ефективен отговор в настоящата ситуация. Чрез „Инвестиционна инициатива в отговор на коронавируса — плюс“ (ИИОК — плюс)</w:t>
      </w:r>
      <w:r>
        <w:rPr>
          <w:rStyle w:val="FootnoteReference"/>
          <w:rFonts w:eastAsia="Calibri"/>
          <w:noProof/>
        </w:rPr>
        <w:footnoteReference w:id="2"/>
      </w:r>
      <w:r>
        <w:rPr>
          <w:noProof/>
        </w:rPr>
        <w:t xml:space="preserve"> бяха приети допълнителни мерки. Пакетът включваше и изменения на Регламент (ЕС) № 223/2014</w:t>
      </w:r>
      <w:r>
        <w:rPr>
          <w:rStyle w:val="FootnoteReference"/>
          <w:rFonts w:eastAsia="Calibri"/>
          <w:noProof/>
        </w:rPr>
        <w:footnoteReference w:id="3"/>
      </w:r>
      <w:r>
        <w:rPr>
          <w:noProof/>
        </w:rPr>
        <w:t xml:space="preserve"> (Регламентът за ФЕПНЛ), внесени с Регламент (ЕС) 2020/559 на Европейския парламент и на Съвета от 23 април 2020 г.</w:t>
      </w:r>
      <w:r>
        <w:rPr>
          <w:rStyle w:val="FootnoteReference"/>
          <w:rFonts w:eastAsia="Calibri"/>
          <w:noProof/>
        </w:rPr>
        <w:footnoteReference w:id="4"/>
      </w:r>
      <w:r>
        <w:rPr>
          <w:noProof/>
        </w:rPr>
        <w:t>, който влезе в сила на 25 април 2020 г., за въвеждане на специални мерки за допълнителна гъвкавост и ликвидност на държавите членки за справяне с пандемията от COVID-19, по линия на ФЕПНЛ.</w:t>
      </w:r>
    </w:p>
    <w:p>
      <w:pPr>
        <w:keepNext/>
        <w:tabs>
          <w:tab w:val="left" w:pos="0"/>
        </w:tabs>
        <w:outlineLvl w:val="1"/>
        <w:rPr>
          <w:rFonts w:eastAsia="Calibri"/>
          <w:noProof/>
        </w:rPr>
      </w:pPr>
      <w:r>
        <w:rPr>
          <w:noProof/>
        </w:rPr>
        <w:t>Ситуацията бавно се променя и много региони и държави членки се подготвят за предпазливо облекчаване на ограниченията, които са наложили на своите общества и предприятия, и за възобновяване на работата на икономиките си. Независимо от това преките и косвените последици от кризата вече са засегнали неблагоприятно редица сектори. Процесът на възстановяване ще отнеме време, като не може да се изключи и необходимостта от налагане на допълнителни ограничителни мерки. В този контекст има сериозен риск броят на хората, страдащи от недостиг на храна и материални лишения, да се увеличи, поради което са необходими допълнителни действия в отговор на социалните последици от пандемията от COVID-19, за да се гарантира възстановяване, което е справедливо в социално отношение, в съответствие с Европейския стълб на социалните права.</w:t>
      </w:r>
    </w:p>
    <w:p>
      <w:pPr>
        <w:keepNext/>
        <w:tabs>
          <w:tab w:val="left" w:pos="0"/>
        </w:tabs>
        <w:outlineLvl w:val="1"/>
        <w:rPr>
          <w:rFonts w:eastAsia="Calibri"/>
          <w:noProof/>
        </w:rPr>
      </w:pPr>
      <w:r>
        <w:rPr>
          <w:noProof/>
        </w:rPr>
        <w:lastRenderedPageBreak/>
        <w:t xml:space="preserve">Въпреки че Комисията предложи извънредни мерки, предоставящи възможно най-голяма гъвкавост и подкрепа за публичните органи, партньорските организации и другите участници в усвояването на ФЕПНЛ, държавите членки са изправени пред проблеми с ликвидностите за осигуряване на отговор на породената от COVID-19 криза и нарастващите нужди по места. </w:t>
      </w:r>
    </w:p>
    <w:p>
      <w:pPr>
        <w:keepNext/>
        <w:tabs>
          <w:tab w:val="left" w:pos="0"/>
        </w:tabs>
        <w:outlineLvl w:val="1"/>
        <w:rPr>
          <w:rFonts w:eastAsia="Calibri"/>
          <w:noProof/>
        </w:rPr>
      </w:pPr>
      <w:r>
        <w:rPr>
          <w:noProof/>
        </w:rPr>
        <w:t>По тази причина, за да се помогне на държавите членки да реагират ефективно на пандемията от COVID-19, в това число и на социалните и икономическите последици от нея, е целесъобразно да се приемат допълнителни мерки, включително увеличаване на наличните средства за Европейския фонд за регионално развитие (ЕФФР), Европейския социален фонд (ЕСФ) и ФЕПНЛ. В тази връзка Комисията предлага ново изменение на Регламента за общоприложимите разпоредби (РОР) (REACT-EU)</w:t>
      </w:r>
      <w:r>
        <w:rPr>
          <w:rStyle w:val="FootnoteReference"/>
          <w:rFonts w:eastAsia="Calibri"/>
          <w:noProof/>
        </w:rPr>
        <w:footnoteReference w:id="5"/>
      </w:r>
      <w:r>
        <w:rPr>
          <w:noProof/>
        </w:rPr>
        <w:t xml:space="preserve"> и на Регламента за ФЕПНЛ в отговор на пандемията от COVID-19, за да се предвиди предоставяне на допълнителни средства за 2020, 2021 и 2022 г. за тези фондове. </w:t>
      </w:r>
    </w:p>
    <w:p>
      <w:pPr>
        <w:pBdr>
          <w:top w:val="nil"/>
          <w:left w:val="nil"/>
          <w:bottom w:val="nil"/>
          <w:right w:val="nil"/>
          <w:between w:val="nil"/>
          <w:bar w:val="nil"/>
        </w:pBdr>
        <w:spacing w:before="0" w:after="240"/>
        <w:rPr>
          <w:noProof/>
        </w:rPr>
      </w:pPr>
      <w:r>
        <w:rPr>
          <w:noProof/>
        </w:rPr>
        <w:t xml:space="preserve">Допълнителните средства за 2020 г. идват от увеличение на глобалните средства за икономическо, социално и териториално сближаване в многогодишната финансова рамка за периода 2014—2020 г. Допълнителните средства за 2021 и 2022 г. представляват външни целеви приходи от [Европейския инструмент за възстановяване]. </w:t>
      </w:r>
    </w:p>
    <w:p>
      <w:pPr>
        <w:pBdr>
          <w:top w:val="nil"/>
          <w:left w:val="nil"/>
          <w:bottom w:val="nil"/>
          <w:right w:val="nil"/>
          <w:between w:val="nil"/>
          <w:bar w:val="nil"/>
        </w:pBdr>
        <w:spacing w:before="0" w:after="240"/>
        <w:rPr>
          <w:rFonts w:eastAsia="Calibri"/>
          <w:noProof/>
        </w:rPr>
      </w:pPr>
      <w:r>
        <w:rPr>
          <w:noProof/>
        </w:rPr>
        <w:t>Тези суми ще бъдат разпределени между държавите членки, като се вземат под внимание относителният им просперитет и мащабът на последиците от настоящата криза върху техните икономики и общества. 0,35 % от допълнителните средства трябва да се разпределят за техническа помощ, предоставяна по инициатива на Комисията. Чрез дерогация от приложимите за външните целеви приходи правила, уредени с Финансовия регламент, за тези допълнителни средства — след като бъдат разпределени за оперативни програми — ще важат приложимите правила на Регламента за общоприложимите разпоредби и Регламента за ФЕПНЛ, включително правилата относно поетите задължения и отмяната на поети задължения.</w:t>
      </w:r>
    </w:p>
    <w:p>
      <w:pPr>
        <w:pBdr>
          <w:top w:val="nil"/>
          <w:left w:val="nil"/>
          <w:bottom w:val="nil"/>
          <w:right w:val="nil"/>
          <w:between w:val="nil"/>
          <w:bar w:val="nil"/>
        </w:pBdr>
        <w:spacing w:before="0" w:after="240"/>
        <w:rPr>
          <w:rFonts w:eastAsia="Calibri"/>
          <w:noProof/>
        </w:rPr>
      </w:pPr>
      <w:r>
        <w:rPr>
          <w:noProof/>
        </w:rPr>
        <w:t>Държавите членки могат да използват тези суми по линия на целта „Инвестиции за растеж и работни места“, за да оказват подкрепа на операции, спомагащи за възстановяването от кризата в контекста на пандемията от COVID-19 в регионите, в които икономиката и работните места са били най-силно засегнати, и подготвящи възстановяването на икономиката чрез средства от ЕФРР или ЕСФ, или за да увеличат предоставените средства за програмите, подпомагани от ФЕПНЛ.</w:t>
      </w:r>
    </w:p>
    <w:p>
      <w:pPr>
        <w:pBdr>
          <w:top w:val="nil"/>
          <w:left w:val="nil"/>
          <w:bottom w:val="nil"/>
          <w:right w:val="nil"/>
          <w:between w:val="nil"/>
          <w:bar w:val="nil"/>
        </w:pBdr>
        <w:spacing w:before="0" w:after="240"/>
        <w:rPr>
          <w:rFonts w:eastAsia="Calibri"/>
          <w:noProof/>
        </w:rPr>
      </w:pPr>
      <w:r>
        <w:rPr>
          <w:noProof/>
        </w:rPr>
        <w:t>Отпускането на допълнителни средства за ФЕПНЛ се извършва на доброволни начала за държавите членки и зависи от специфичните им потребности. При разглеждането на този въпрос държавите членки следва да обърнат необходимото внимание на увеличаването на броя на най-нуждаещите се лица след избухването на пандемията от COVID-19.</w:t>
      </w:r>
    </w:p>
    <w:p>
      <w:pPr>
        <w:pBdr>
          <w:top w:val="nil"/>
          <w:left w:val="nil"/>
          <w:bottom w:val="nil"/>
          <w:right w:val="nil"/>
          <w:between w:val="nil"/>
          <w:bar w:val="nil"/>
        </w:pBdr>
        <w:spacing w:before="0" w:after="240"/>
        <w:rPr>
          <w:rFonts w:eastAsia="Calibri"/>
          <w:noProof/>
        </w:rPr>
      </w:pPr>
      <w:r>
        <w:rPr>
          <w:noProof/>
        </w:rPr>
        <w:t>Наред с това, в съответствие с предлаганите изменения за Регламента за общоприложимите разпоредби (REACT-EU)</w:t>
      </w:r>
      <w:r>
        <w:rPr>
          <w:rStyle w:val="FootnoteReference"/>
          <w:rFonts w:eastAsia="Calibri"/>
          <w:noProof/>
        </w:rPr>
        <w:footnoteReference w:id="6"/>
      </w:r>
      <w:r>
        <w:rPr>
          <w:noProof/>
        </w:rPr>
        <w:t xml:space="preserve">, Комисията предлага да се въведат допълнителни мерки, осигуряващи повече ликвидности на държавите членки, по-специално чрез предоставяне на възможност на държавите членки да получат значително плащане под формата на предварително финансиране, в случай че средствата по линия на ФЕПНЛ бъдат увеличени, и чрез освобождаване на държавите членки от задължението за плащане на национален принос към увеличените средства. </w:t>
      </w:r>
      <w:r>
        <w:rPr>
          <w:noProof/>
        </w:rPr>
        <w:lastRenderedPageBreak/>
        <w:t>Наред с това и по подобие на предлаганото за Регламента за общоприложимите разпоредби (REACT-EU), предвид необходимостта да се гарантира, че тези допълнителни средства се предоставят бързо за инвестиране по места и се вливат в реалната икономика, не се предлага удължаване на крайния срок за допустимост, който остава — както и за допълнителните средства — 31 декември 2023 г. (за разходите, направени на равнище бенефициери). Въпреки това се пояснява, че поетите задължения, свързани с допълнителните средства, ще бъдат отменени съгласно правилата, които трябва да се спазват при приключването на програмите (т.е. през 2025 г. след представянето на необходимите документи съгласно член 52). Предвижда се също така корекция на електронната система за обмен на данни, използвана за официалния обмен на информация между Комисията и държавите членки съгласно член 30, параграф 4, за да се даде възможност на държавите членки да внасят без забавяне искания за изменения на оперативната програма за разпределяне на допълнителните средства за 2020, 2021 и 2022 г.</w:t>
      </w:r>
    </w:p>
    <w:p>
      <w:pPr>
        <w:keepNext/>
        <w:tabs>
          <w:tab w:val="left" w:pos="0"/>
        </w:tabs>
        <w:outlineLvl w:val="1"/>
        <w:rPr>
          <w:rFonts w:eastAsia="Calibri"/>
          <w:noProof/>
        </w:rPr>
      </w:pPr>
      <w:r>
        <w:rPr>
          <w:noProof/>
        </w:rPr>
        <w:t>Пандемията от COVID-19 оказа освен това непропорционално социално-икономическо въздействие върху жените. Поради това държавите членки следва надлежно да следят за стриктното спазване при операциите на хоризонталния принцип за равенство между половете, както е предвидено в член 5, параграф 11 от Регламента за ФЕПНЛ.</w:t>
      </w:r>
    </w:p>
    <w:p>
      <w:pPr>
        <w:keepNext/>
        <w:tabs>
          <w:tab w:val="left" w:pos="0"/>
        </w:tabs>
        <w:outlineLvl w:val="1"/>
        <w:rPr>
          <w:rFonts w:eastAsia="Calibri"/>
          <w:noProof/>
        </w:rPr>
      </w:pPr>
      <w:r>
        <w:rPr>
          <w:noProof/>
        </w:rPr>
        <w:t>Накрая, Комисията предлага също така допълнителни разпоредби за гъвкавост на държавите членки за използване на техническа помощ.</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after="240"/>
        <w:rPr>
          <w:rFonts w:eastAsia="Calibri"/>
          <w:noProof/>
        </w:rPr>
      </w:pPr>
      <w:r>
        <w:rPr>
          <w:noProof/>
        </w:rPr>
        <w:t>Настоящото предложение е в съответствие със съществуващите разпоредби в тази област на политиката, по-специално с разпоредбите, предложени от Комисията за Регламента за общоприложимите разпоредби (REACT-EU) в отговор на избухването на COVID-19 като част от предложението на Комисията за предоставяне на изключителна гъвкавост за използване на ЕФФР и ЕСФ в отговор на избухването на COVID-19.</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after="240"/>
        <w:rPr>
          <w:rFonts w:eastAsia="Calibri"/>
          <w:noProof/>
        </w:rPr>
      </w:pPr>
      <w:r>
        <w:rPr>
          <w:noProof/>
        </w:rPr>
        <w:t xml:space="preserve">Предложението е в съответствие с други предложения и инициативи, приети от Комисията, по-специално с предложенията, приети от Комисията за ЕФФР и ЕСФ в отговор на пандемията от COVID-19.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after="240"/>
        <w:rPr>
          <w:rFonts w:eastAsia="Calibri"/>
          <w:noProof/>
        </w:rPr>
      </w:pPr>
      <w:r>
        <w:rPr>
          <w:noProof/>
        </w:rPr>
        <w:t>Предложението се основава на член 175, трета алинея от Договора за функционирането на Европейския съюз. С него се предоставя възможност на държавите членки да увеличават средствата по линия на ФЕПНЛ и да получават допълнително плащане под формата на предварително финансиране и те се освобождават от задължението за национален принос във връзка с допълнителните средства. Тези извънредни промени не засягат правилата, които се прилагат при нормални обстоятелства.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Style w:val="Body"/>
        <w:spacing w:after="240"/>
        <w:rPr>
          <w:noProof/>
        </w:rPr>
      </w:pPr>
      <w:r>
        <w:rPr>
          <w:noProof/>
        </w:rPr>
        <w:t>Предложението е съобразено с принципа на субсидиарност. То не променя начина на работа на ФЕПНЛ, който остава под споделено управление.</w:t>
      </w:r>
    </w:p>
    <w:p>
      <w:pPr>
        <w:pStyle w:val="Body"/>
        <w:spacing w:after="240"/>
        <w:rPr>
          <w:noProof/>
        </w:rPr>
      </w:pPr>
      <w:r>
        <w:rPr>
          <w:noProof/>
        </w:rPr>
        <w:t xml:space="preserve">Споделеното управление почива на принципа на субсидиарност, тъй като Комисията делегира на държавите членки задачи, свързани със стратегическото програмиране и </w:t>
      </w:r>
      <w:r>
        <w:rPr>
          <w:noProof/>
        </w:rPr>
        <w:lastRenderedPageBreak/>
        <w:t>изпълнението. Освен това при него действията на ЕС се ограничават до необходимото за постигане на заложените в Договорите цели.</w:t>
      </w:r>
    </w:p>
    <w:p>
      <w:pPr>
        <w:pStyle w:val="Body"/>
        <w:spacing w:after="240"/>
        <w:rPr>
          <w:noProof/>
        </w:rPr>
      </w:pPr>
      <w:r>
        <w:rPr>
          <w:noProof/>
        </w:rPr>
        <w:t>С настоящото предложение, заедно с предложението за изменение на Регламент (ЕС) № 1303/2013</w:t>
      </w:r>
      <w:r>
        <w:rPr>
          <w:rStyle w:val="FootnoteReference"/>
          <w:noProof/>
        </w:rPr>
        <w:footnoteReference w:id="7"/>
      </w:r>
      <w:r>
        <w:rPr>
          <w:noProof/>
        </w:rPr>
        <w:t xml:space="preserve">, се цели да се даде възможност за поставяне на разположение на допълнителни средства. То има за цел също така да изясни правилата относно използването на тези средства в контекста на програмите за програмния период 2014—2020 г.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rFonts w:eastAsia="Calibri"/>
          <w:noProof/>
        </w:rPr>
      </w:pPr>
      <w:r>
        <w:rPr>
          <w:noProof/>
        </w:rPr>
        <w:t>Предложението е пропорционално и не включва разпоредби, които не са необходими за постигането на целите на Договора. То се ограничава до измененията, считани за необходими за установяването на правилата, които трябва да се следват във връзка с допълнителните средства, и за разрешаване на проблемите, пред които са изправени държавите членки по време на кризата, породена от COVID-19, в контекста на изпълнението на ФЕПНЛ.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after="240"/>
        <w:rPr>
          <w:rFonts w:eastAsia="Calibri"/>
          <w:noProof/>
        </w:rPr>
      </w:pPr>
      <w:r>
        <w:rPr>
          <w:noProof/>
        </w:rPr>
        <w:t xml:space="preserve">Избраният инструмент е регламент на Европейския парламент и на Съвета, приеман чрез обикновената законодателна процедура съгласно предвиденото в член 175, параграф 3 от Договора. Комисията проучи възможните варианти за действие, които предлага правната уредба, и счита, че е необходимо да предложи изменения на Регламент (ЕС) № 223/2014.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съществуващото законодателство</w:t>
      </w:r>
    </w:p>
    <w:p>
      <w:pPr>
        <w:pBdr>
          <w:top w:val="nil"/>
          <w:left w:val="nil"/>
          <w:bottom w:val="nil"/>
          <w:right w:val="nil"/>
          <w:between w:val="nil"/>
          <w:bar w:val="nil"/>
        </w:pBdr>
        <w:spacing w:after="240"/>
        <w:rPr>
          <w:rFonts w:eastAsia="Arial Unicode MS"/>
          <w:noProof/>
        </w:rPr>
      </w:pPr>
      <w:r>
        <w:rPr>
          <w:noProof/>
        </w:rPr>
        <w:t>Предвид специфичните обстоятелства, наложили изготвянето на настоящото предложение, не бяха направени нито последваща оценка, нито проверки за пригодност на съществуващото законодателство.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after="240"/>
        <w:rPr>
          <w:rFonts w:eastAsia="Arial Unicode MS"/>
          <w:noProof/>
        </w:rPr>
      </w:pPr>
      <w:r>
        <w:rPr>
          <w:noProof/>
        </w:rPr>
        <w:t>Предвид специфичните обстоятелства, наложили изготвянето на настоящото предложение, не бяха проведени консултации с външни заинтересовани страни.</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after="240"/>
        <w:rPr>
          <w:rFonts w:eastAsia="Arial Unicode MS"/>
          <w:noProof/>
        </w:rPr>
      </w:pPr>
      <w:r>
        <w:rPr>
          <w:noProof/>
        </w:rPr>
        <w:t>Не беше необходимо да се използват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rPr>
          <w:rFonts w:eastAsia="Calibri"/>
          <w:noProof/>
        </w:rPr>
      </w:pPr>
      <w:r>
        <w:rPr>
          <w:noProof/>
        </w:rPr>
        <w:t>Предложението не е инициатива по линия на Програмата за пригодност и резултатност на регулаторната рамка (REFIT).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Основни права</w:t>
      </w:r>
    </w:p>
    <w:p>
      <w:pPr>
        <w:pBdr>
          <w:top w:val="nil"/>
          <w:left w:val="nil"/>
          <w:bottom w:val="nil"/>
          <w:right w:val="nil"/>
          <w:between w:val="nil"/>
          <w:bar w:val="nil"/>
        </w:pBdr>
        <w:spacing w:after="240"/>
        <w:rPr>
          <w:rFonts w:eastAsia="Arial Unicode MS"/>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rFonts w:eastAsia="Times New Roman"/>
          <w:noProof/>
          <w:color w:val="000000"/>
          <w:szCs w:val="24"/>
          <w:u w:color="000000"/>
          <w:bdr w:val="nil"/>
          <w14:textOutline w14:w="0" w14:cap="flat" w14:cmpd="sng" w14:algn="ctr">
            <w14:noFill/>
            <w14:prstDash w14:val="solid"/>
            <w14:bevel/>
          </w14:textOutline>
        </w:rPr>
      </w:pPr>
      <w:r>
        <w:rPr>
          <w:noProof/>
        </w:rPr>
        <w:t>Предложението ще доведе до поемането на допълнителни задължения през 2020 г., които ще се финансират от увеличение на тавана на Многогодишната финансова рамка за периода 2014—2020 г. То ще доведе също така до поемането на допълнителни задължения за 2021 и 2022 г., които ще се финансират от външни целеви приходи. То ще породи допълнителни плащания през периода 2020—2025 г. Отражението върху бюджета е описано в Законодателната финансова обосновка, придружаваща Регламента за REACT-EU.</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Планове за изпълнение и механизми за мониторинг, оценка и докладване</w:t>
      </w:r>
    </w:p>
    <w:p>
      <w:pPr>
        <w:rPr>
          <w:noProof/>
        </w:rPr>
      </w:pPr>
      <w:r>
        <w:rPr>
          <w:noProof/>
        </w:rPr>
        <w:t>По отношение на изпълнението на мерките ще бъдат извършвани мониторинг и докладване в рамките на общите механизми за докладване, установени в Регламент (ЕС) № 223/2014.</w:t>
      </w:r>
    </w:p>
    <w:p>
      <w:pPr>
        <w:pStyle w:val="ManualHeading2"/>
        <w:rPr>
          <w:noProof/>
        </w:rPr>
      </w:pPr>
      <w:r>
        <w:rPr>
          <w:noProof/>
        </w:rPr>
        <w:t>•</w:t>
      </w:r>
      <w:r>
        <w:rPr>
          <w:noProof/>
        </w:rPr>
        <w:tab/>
        <w:t>Обяснителни документи (за директивите)</w:t>
      </w:r>
    </w:p>
    <w:p>
      <w:pPr>
        <w:rPr>
          <w:noProof/>
        </w:rPr>
      </w:pPr>
      <w:r>
        <w:rPr>
          <w:noProof/>
        </w:rPr>
        <w:t>Не се прилага</w:t>
      </w:r>
    </w:p>
    <w:p>
      <w:pPr>
        <w:pBdr>
          <w:top w:val="nil"/>
          <w:left w:val="nil"/>
          <w:bottom w:val="nil"/>
          <w:right w:val="nil"/>
          <w:between w:val="nil"/>
          <w:bar w:val="nil"/>
        </w:pBdr>
        <w:spacing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2020/0105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223/2014 във връзка с въвеждането на специални мерки за преодоляване на кризата, породена от COVID-19</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175, трета алинея от него, </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8"/>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9"/>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Регламент (ЕС) № 223/2014 на Европейския парламент и на Съвета</w:t>
      </w:r>
      <w:r>
        <w:rPr>
          <w:rStyle w:val="FootnoteReference"/>
          <w:noProof/>
        </w:rPr>
        <w:footnoteReference w:id="10"/>
      </w:r>
      <w:r>
        <w:rPr>
          <w:noProof/>
        </w:rPr>
        <w:t xml:space="preserve"> установява правилата, приложими за Фонда за европейско подпомагане на най-нуждаещите се лица (наричан по-нататък „ФЕПНЛ“). </w:t>
      </w:r>
    </w:p>
    <w:p>
      <w:pPr>
        <w:pStyle w:val="ManualConsidrant"/>
        <w:rPr>
          <w:noProof/>
        </w:rPr>
      </w:pPr>
      <w:r>
        <w:t>(2)</w:t>
      </w:r>
      <w:r>
        <w:tab/>
      </w:r>
      <w:r>
        <w:rPr>
          <w:noProof/>
        </w:rPr>
        <w:t>На 17 ноември 2017 г. Европейският стълб на социалните права беше съвместно обявен от Европейския парламент, Съвета и Комисията като отговор на социалните предизвикателства в Европа. Двадесетте основни принципа на стълба са структурирани около три категории: равни възможности и достъп до пазара на труда; справедливи условия на труд; социална закрила и приобщаване. Двадесетте принципа на Европейския стълб на социалните права следва да ръководят действията в отговор на пандемията от COVID-19, за да се гарантира възстановяване, което е справедливо в социално отношение.</w:t>
      </w:r>
    </w:p>
    <w:p>
      <w:pPr>
        <w:pStyle w:val="ManualConsidrant"/>
        <w:rPr>
          <w:noProof/>
        </w:rPr>
      </w:pPr>
      <w:r>
        <w:t>(3)</w:t>
      </w:r>
      <w:r>
        <w:tab/>
      </w:r>
      <w:r>
        <w:rPr>
          <w:noProof/>
        </w:rPr>
        <w:t>Последиците от породената от пандемията от COVID-19 криза засегнаха по безпрецедентен начин държавите членки. Кризата доведе до тежки икономически и социални последици. Това породи извънредна ситуация, на която трябва да се отговори чрез специални мерки, съобразени с Европейския стълб на социалните права.</w:t>
      </w:r>
    </w:p>
    <w:p>
      <w:pPr>
        <w:pStyle w:val="ManualConsidrant"/>
        <w:rPr>
          <w:noProof/>
        </w:rPr>
      </w:pPr>
      <w:r>
        <w:t>(4)</w:t>
      </w:r>
      <w:r>
        <w:tab/>
      </w:r>
      <w:r>
        <w:rPr>
          <w:noProof/>
        </w:rPr>
        <w:t xml:space="preserve">Тази ситуация има особено отражение върху ФЕПНЛ. Като се има предвид, че броят на хората, страдащи от недостиг на храна и материални лишения, се увеличава поради пандемията от COVID-19 и че най-нуждаещите се лица са изложени на особени рискове и на допълнителни затруднения по време на тази </w:t>
      </w:r>
      <w:r>
        <w:rPr>
          <w:noProof/>
        </w:rPr>
        <w:lastRenderedPageBreak/>
        <w:t>криза, държавите членки са изправени пред допълнителни нужди от финансиране при предоставянето на подкрепа от Фонда.</w:t>
      </w:r>
    </w:p>
    <w:p>
      <w:pPr>
        <w:pStyle w:val="ManualConsidrant"/>
        <w:rPr>
          <w:noProof/>
        </w:rPr>
      </w:pPr>
      <w:r>
        <w:t>(5)</w:t>
      </w:r>
      <w:r>
        <w:tab/>
      </w:r>
      <w:r>
        <w:rPr>
          <w:noProof/>
        </w:rPr>
        <w:t>За да се преодолеят огромните сътресения на икономиката и тежките отражения върху функционирането на единния пазар, породени от извънредните ограничения, въведени от държавите членки за ограничаване на разпространението на COVID-19, на 23 април 2020 г. Европейският съвет одобри „Пътна карта за възстановяване“, включваща силен инвестиционен компонент, призова да се създаде [Европейски инструмент за възстановяване] и възложи на Комисията да анализира нуждите, така че средствата да бъдат насочени към онези сектори и географски части на Европа, които са най-засегнати, като същевременно изясни връзката с МФР.</w:t>
      </w:r>
    </w:p>
    <w:p>
      <w:pPr>
        <w:pStyle w:val="ManualConsidrant"/>
        <w:rPr>
          <w:noProof/>
        </w:rPr>
      </w:pPr>
      <w:r>
        <w:t>(6)</w:t>
      </w:r>
      <w:r>
        <w:tab/>
      </w:r>
      <w:r>
        <w:rPr>
          <w:noProof/>
        </w:rPr>
        <w:t>На 27 май 2020 г. Комисията публикува предложение за регламент</w:t>
      </w:r>
      <w:r>
        <w:rPr>
          <w:rStyle w:val="FootnoteReference"/>
          <w:noProof/>
        </w:rPr>
        <w:footnoteReference w:id="11"/>
      </w:r>
      <w:r>
        <w:rPr>
          <w:noProof/>
        </w:rPr>
        <w:t xml:space="preserve"> за изменение на Регламент на Съвета (ЕС, Евратом) № 1311/2013</w:t>
      </w:r>
      <w:r>
        <w:rPr>
          <w:rStyle w:val="FootnoteReference"/>
          <w:noProof/>
        </w:rPr>
        <w:footnoteReference w:id="12"/>
      </w:r>
      <w:r>
        <w:rPr>
          <w:noProof/>
        </w:rPr>
        <w:t xml:space="preserve"> и освободи допълнителни средства за оказване на подкрепа на държавите членки за отстраняване на последиците от кризата в контекста на пандемията от COVID-19 и като подготовка за възстановяване на икономиката. С настоящия пакет за тази цел се предоставя допълнителна извънредна сума в размер на 58 272 800 000 EUR за поемане на бюджетни задължения от структурните фондове по цел „Инвестиции за растеж и работни места“ за 2020, 2021 и 2022 г., за да може тези средства да се предоставят бързо на реалната икономика чрез съществуващите структури за програмите на политиката на сближаване за периода 2014—2020 г. Комисията следва да определи разбивката на допълнителните средства по държави членки въз основа на метод на разпределение, основаващ се на последните налични обективни статистически данни за относителния просперитет на държавите членки и степента на въздействието, оказано от настоящата криза върху техните икономики. За да се отрази променящото се естество на последиците от кризата, разбивката следва да се преразгледа през 2021 г. въз основа на същия метод на разпределение, като се използват последните статистически данни, налични към 19 октомври 2021 г. За да се осигури ефективен отговор на оказаното социално въздействие на разпространението на COVID-19 върху най-нуждаещите се лица, е целесъобразно допълнителните средства да могат да се разпределят от държавите членки за ФЕПНЛ според техните нужди. Извършвайки това, държавите членки следва да обръщат необходимото внимание на увеличаването на броя на най-нуждаещите се лица след избухването на пандемията от COVID-19. Наред с това е необходимо да се определят тавани за отпускането на увеличените средства за техническа помощ на държавата членка. Като се има предвид очакваното бързо изразходване на допълнителните средства, свързаните с тях поети задължения следва също да бъдат отменени при приключването на програмите. По отношение на допълнителните средства се въвеждат и възможности за прехвърляне на финансови средства по цел „Инвестиции за растеж и работни места“ между ЕФРР, ЕСФ и ФЕПНЛ.</w:t>
      </w:r>
    </w:p>
    <w:p>
      <w:pPr>
        <w:pStyle w:val="ManualConsidrant"/>
        <w:rPr>
          <w:noProof/>
        </w:rPr>
      </w:pPr>
      <w:r>
        <w:t>(7)</w:t>
      </w:r>
      <w:r>
        <w:tab/>
      </w:r>
      <w:r>
        <w:rPr>
          <w:noProof/>
        </w:rPr>
        <w:t xml:space="preserve">По отношение на настоящия регламент се прилагат хоризонтални финансови правила, приети от Европейския парламент и Съвета съгласно член 322 от Договора за функционирането на Европейския съюз. Тези правила са установени във Финансовия регламент, като с тях по-специално се определя процедурата за </w:t>
      </w:r>
      <w:r>
        <w:rPr>
          <w:noProof/>
        </w:rPr>
        <w:lastRenderedPageBreak/>
        <w:t>съставяне и изпълнение на бюджета чрез безвъзмездни средства, обществени поръчки, награди и непряко изпълнение и се предвижда контрол върху отговорността на финансовите оператори. Правилата, приети на основание член 322 от ДФЕС, се отнасят и до защитата на бюджета на Съюза в случай на всеобщи слабости по отношение на прилагането на принципите на правовата държава в държавите членки, тъй като зачитането на принципите на правовата държава е съществена предпоставка за добро финансово управление и ефективно финансиране от ЕС.</w:t>
      </w:r>
    </w:p>
    <w:p>
      <w:pPr>
        <w:pStyle w:val="ManualConsidrant"/>
        <w:rPr>
          <w:noProof/>
        </w:rPr>
      </w:pPr>
      <w:r>
        <w:t>(8)</w:t>
      </w:r>
      <w:r>
        <w:tab/>
      </w:r>
      <w:r>
        <w:rPr>
          <w:noProof/>
        </w:rPr>
        <w:t xml:space="preserve">За да се гарантира, че държавите членки разполагат с достатъчно финансови средства за бързо изпълнение на действията по отстраняване на последиците от кризата в контекста на пандемията от COVID-19 и да се подготви възстановяване на икономиката, е необходимо да се осигури по-високо равнище на плащанията под формата на предварително финансиране за бързото изпълнение на действията, подкрепяни чрез допълнителните средства. Размерът на предварителното финансиране следва да гарантира, че държавите членки разполагат със средства да извършват авансови плащания към бенефициерите, когато това е необходимо, и да възстановяват разходите на бенефициерите бързо след подаването на исканията за плащане. </w:t>
      </w:r>
    </w:p>
    <w:p>
      <w:pPr>
        <w:pStyle w:val="ManualConsidrant"/>
        <w:rPr>
          <w:noProof/>
        </w:rPr>
      </w:pPr>
      <w:r>
        <w:t>(9)</w:t>
      </w:r>
      <w:r>
        <w:tab/>
      </w:r>
      <w:r>
        <w:rPr>
          <w:noProof/>
        </w:rPr>
        <w:t>С цел да се намали тежестта върху публичните бюджети във връзка с преодоляването на кризата в контекста на пандемията от COVID-19 и да се подготвят условията за възстановяване на икономиката, е целесъобразно по отношение на допълнителните средства да не се изисква съфинансиране.</w:t>
      </w:r>
    </w:p>
    <w:p>
      <w:pPr>
        <w:pStyle w:val="ManualConsidrant"/>
        <w:rPr>
          <w:noProof/>
        </w:rPr>
      </w:pPr>
      <w:r>
        <w:t>(10)</w:t>
      </w:r>
      <w:r>
        <w:tab/>
      </w:r>
      <w:r>
        <w:rPr>
          <w:noProof/>
        </w:rPr>
        <w:t>За да се гарантира, че държавите членки могат бързо да адаптират мерките по линия на ФЕПНЛ в отговор на кризата, породена от COVID-19, е целесъобразно да се въведат специални разпоредби, изясняващи обхвата на техническата помощ.</w:t>
      </w:r>
    </w:p>
    <w:p>
      <w:pPr>
        <w:pStyle w:val="ManualConsidrant"/>
        <w:rPr>
          <w:noProof/>
        </w:rPr>
      </w:pPr>
      <w:r>
        <w:t>(11)</w:t>
      </w:r>
      <w:r>
        <w:tab/>
      </w:r>
      <w:r>
        <w:rPr>
          <w:noProof/>
        </w:rPr>
        <w:t>Доколкото целта на настоящия регламент, а именно да се предприемат мерки във връзка с породените от здравната криза последици за най-нуждаещите се лица, не може да бъде постигната в достатъчна степен самостоятелно от държавите членки и съответно, поради мащаба и последиците от предлаганото действие, може да бъде постигната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(12)</w:t>
      </w:r>
      <w:r>
        <w:tab/>
      </w:r>
      <w:r>
        <w:rPr>
          <w:noProof/>
        </w:rPr>
        <w:t>Поради това Регламент (ЕС) № 223/2014 следва да бъде съответно изменен.</w:t>
      </w:r>
    </w:p>
    <w:p>
      <w:pPr>
        <w:pStyle w:val="ManualConsidrant"/>
        <w:rPr>
          <w:noProof/>
        </w:rPr>
      </w:pPr>
      <w:r>
        <w:t>(13)</w:t>
      </w:r>
      <w:r>
        <w:tab/>
      </w:r>
      <w:r>
        <w:rPr>
          <w:noProof/>
        </w:rPr>
        <w:t>Предвид неотложния характер на ситуацията, породена от пандемията от COVID-19, настоящият регламент е целесъобразно да влезе в сила в деня след деня на публикуването му в Официален вестник на Европейския съюз.</w:t>
      </w:r>
    </w:p>
    <w:p>
      <w:pPr>
        <w:pStyle w:val="ManualConsidrant"/>
        <w:rPr>
          <w:noProof/>
        </w:rPr>
      </w:pPr>
      <w:r>
        <w:t>(14)</w:t>
      </w:r>
      <w:r>
        <w:tab/>
      </w:r>
      <w:r>
        <w:rPr>
          <w:noProof/>
        </w:rPr>
        <w:t>Предвид пандемията от COVID-19 и необходимостта от незабавни действия в отговор на настъпилата здравна криза се налага да се използва изключението от осемседмичния срок, посочен в член 4 от Протокол № 1 относно ролята на националните парламенти в Европейския съюз, приложен към Договора за Европейския съюз, към Договора за функционирането на Европейския съюз и към Договора за създаване на Европейската общност за атомна енергия.</w:t>
      </w:r>
    </w:p>
    <w:p>
      <w:pPr>
        <w:pStyle w:val="ManualConsidrant"/>
        <w:rPr>
          <w:noProof/>
        </w:rPr>
      </w:pPr>
      <w:r>
        <w:t>(15)</w:t>
      </w:r>
      <w:r>
        <w:tab/>
      </w:r>
      <w:r>
        <w:rPr>
          <w:noProof/>
        </w:rPr>
        <w:t xml:space="preserve">В член 135, параграф 2 от Споразумението за оттегляне на Обединеното кралство Великобритания и Северна Ирландия от Европейския съюз и </w:t>
      </w:r>
      <w:r>
        <w:rPr>
          <w:noProof/>
        </w:rPr>
        <w:lastRenderedPageBreak/>
        <w:t>Европейската общност за атомна енергия се предвижда, че измененията на Регламент (ЕС, Евратом) № 1311/2013 на Съвета</w:t>
      </w:r>
      <w:r>
        <w:rPr>
          <w:rStyle w:val="FootnoteReference"/>
          <w:noProof/>
        </w:rPr>
        <w:footnoteReference w:id="13"/>
      </w:r>
      <w:r>
        <w:rPr>
          <w:noProof/>
        </w:rPr>
        <w:t xml:space="preserve"> или на Решение 2014/335/ЕС, Евратом на Съвета, които са приети на или след датата на влизане в сила на посоченото споразумение, не се прилагат по отношение на Обединеното кралство, доколкото тези изменения оказват въздействие върху финансовите задължения на Обединеното кралство. Подпомагането съгласно член 6а от Регламент (ЕС) № 223/2014 се финансира за 2020 г. от увеличаване на тавана на Многогодишната финансова рамка, а за 2021 и 2022 г. — от увеличаване на тавана на собствените ресурси на Съюза, което би оказало въздействие върху финансовото задължение на Обединеното кралство. Поради това настоящият регламент не следва да се прилага спрямо и в Обединеното кралство,</w:t>
      </w:r>
    </w:p>
    <w:p>
      <w:pPr>
        <w:pStyle w:val="Formuledadoption"/>
        <w:rPr>
          <w:noProof/>
        </w:rPr>
      </w:pPr>
      <w:r>
        <w:rPr>
          <w:noProof/>
        </w:rPr>
        <w:t>ПРИЕХА НАСТОЯЩИЯ РЕГЛАМЕНТ:</w:t>
      </w:r>
    </w:p>
    <w:p>
      <w:pPr>
        <w:pStyle w:val="Titrearticle"/>
        <w:rPr>
          <w:noProof/>
        </w:rPr>
      </w:pPr>
      <w:r>
        <w:rPr>
          <w:noProof/>
        </w:rPr>
        <w:t>Член 1</w:t>
      </w:r>
    </w:p>
    <w:p>
      <w:pPr>
        <w:rPr>
          <w:rFonts w:eastAsia="Calibri"/>
          <w:noProof/>
        </w:rPr>
      </w:pPr>
      <w:r>
        <w:rPr>
          <w:noProof/>
        </w:rPr>
        <w:t>Регламент (ЕС) № 223/2014 се изменя, както следва:</w:t>
      </w:r>
    </w:p>
    <w:p>
      <w:pPr>
        <w:pStyle w:val="Point0"/>
        <w:rPr>
          <w:noProof/>
        </w:rPr>
      </w:pPr>
      <w:r>
        <w:t>(1)</w:t>
      </w:r>
      <w:r>
        <w:tab/>
      </w:r>
      <w:r>
        <w:rPr>
          <w:noProof/>
        </w:rPr>
        <w:t>Член 6, параграф 2 се заменя със следното:</w:t>
      </w:r>
    </w:p>
    <w:p>
      <w:pPr>
        <w:pBdr>
          <w:top w:val="nil"/>
          <w:left w:val="nil"/>
          <w:bottom w:val="nil"/>
          <w:right w:val="nil"/>
          <w:between w:val="nil"/>
          <w:bar w:val="nil"/>
        </w:pBdr>
        <w:spacing w:after="240"/>
        <w:ind w:left="720" w:hanging="11"/>
        <w:rPr>
          <w:rFonts w:eastAsia="Calibri"/>
          <w:noProof/>
        </w:rPr>
      </w:pPr>
      <w:r>
        <w:rPr>
          <w:noProof/>
        </w:rPr>
        <w:t>„2. Разпределението на средствата от Фонда за периода 2014—2020 г. за всяка държава членка е представено в приложение III, с изключение на увеличените средства в отговор на пандемията от COVID-19, посочени в член 6а. Минималната сума за всяка държава членка е в размер на 3 500 000 EUR за целия период.“</w:t>
      </w:r>
    </w:p>
    <w:p>
      <w:pPr>
        <w:pStyle w:val="Point0"/>
        <w:rPr>
          <w:noProof/>
        </w:rPr>
      </w:pPr>
      <w:r>
        <w:t>(2)</w:t>
      </w:r>
      <w:r>
        <w:tab/>
      </w:r>
      <w:r>
        <w:rPr>
          <w:noProof/>
        </w:rPr>
        <w:t>Вмъква се следният нов член 6а:</w:t>
      </w:r>
    </w:p>
    <w:p>
      <w:pPr>
        <w:pBdr>
          <w:top w:val="nil"/>
          <w:left w:val="nil"/>
          <w:bottom w:val="nil"/>
          <w:right w:val="nil"/>
          <w:between w:val="nil"/>
          <w:bar w:val="nil"/>
        </w:pBdr>
        <w:spacing w:after="240"/>
        <w:ind w:left="720"/>
        <w:contextualSpacing/>
        <w:jc w:val="center"/>
        <w:rPr>
          <w:rFonts w:eastAsia="Calibri"/>
          <w:i/>
          <w:noProof/>
        </w:rPr>
      </w:pPr>
      <w:r>
        <w:rPr>
          <w:noProof/>
        </w:rPr>
        <w:t>„</w:t>
      </w:r>
      <w:r>
        <w:rPr>
          <w:i/>
          <w:noProof/>
        </w:rPr>
        <w:t>Член 6a</w:t>
      </w:r>
    </w:p>
    <w:p>
      <w:pPr>
        <w:pBdr>
          <w:top w:val="nil"/>
          <w:left w:val="nil"/>
          <w:bottom w:val="nil"/>
          <w:right w:val="nil"/>
          <w:between w:val="nil"/>
          <w:bar w:val="nil"/>
        </w:pBdr>
        <w:spacing w:after="240"/>
        <w:ind w:left="720"/>
        <w:contextualSpacing/>
        <w:jc w:val="center"/>
        <w:rPr>
          <w:rFonts w:eastAsia="Calibri"/>
          <w:b/>
          <w:i/>
          <w:noProof/>
        </w:rPr>
      </w:pPr>
      <w:r>
        <w:rPr>
          <w:b/>
          <w:i/>
          <w:noProof/>
        </w:rPr>
        <w:t>Доброволно увеличаване на средствата в отговор на разпространението на COVID-19</w:t>
      </w:r>
    </w:p>
    <w:p>
      <w:pPr>
        <w:pBdr>
          <w:top w:val="nil"/>
          <w:left w:val="nil"/>
          <w:bottom w:val="nil"/>
          <w:right w:val="nil"/>
          <w:between w:val="nil"/>
          <w:bar w:val="nil"/>
        </w:pBdr>
        <w:spacing w:after="240"/>
        <w:ind w:left="720"/>
        <w:contextualSpacing/>
        <w:rPr>
          <w:rFonts w:eastAsia="Calibri"/>
          <w:b/>
          <w:noProof/>
        </w:rPr>
      </w:pPr>
    </w:p>
    <w:p>
      <w:pPr>
        <w:pBdr>
          <w:top w:val="nil"/>
          <w:left w:val="nil"/>
          <w:bottom w:val="nil"/>
          <w:right w:val="nil"/>
          <w:between w:val="nil"/>
          <w:bar w:val="nil"/>
        </w:pBdr>
        <w:spacing w:after="240"/>
        <w:ind w:left="720"/>
        <w:contextualSpacing/>
        <w:rPr>
          <w:rFonts w:eastAsia="Calibri"/>
          <w:noProof/>
        </w:rPr>
      </w:pPr>
      <w:r>
        <w:rPr>
          <w:noProof/>
        </w:rPr>
        <w:t>1. Средствата по член 6 могат да бъдат увеличени от държавите членки на доброволна основа в отговор на пандемията от COVID-19, в съответствие с член 92б, параграф 5, седма алинея от Регламент (ЕС) № 1303/2013. Това увеличение може да се отрази върху бюджетните задължения за 2020, 2021 и 2022 г.</w:t>
      </w:r>
    </w:p>
    <w:p>
      <w:pPr>
        <w:pBdr>
          <w:top w:val="nil"/>
          <w:left w:val="nil"/>
          <w:bottom w:val="nil"/>
          <w:right w:val="nil"/>
          <w:between w:val="nil"/>
          <w:bar w:val="nil"/>
        </w:pBdr>
        <w:spacing w:after="240"/>
        <w:ind w:left="720"/>
        <w:contextualSpacing/>
        <w:rPr>
          <w:rFonts w:eastAsia="Calibri"/>
          <w:noProof/>
        </w:rPr>
      </w:pPr>
      <w:r>
        <w:rPr>
          <w:noProof/>
        </w:rPr>
        <w:t xml:space="preserve">2. Чрез дерогация от член 7, параграф 1 срокът за оперативните програми, които получават допълнителни средства съгласно параграф 1, е до 31 декември 2022 г. </w:t>
      </w:r>
    </w:p>
    <w:p>
      <w:pPr>
        <w:pBdr>
          <w:top w:val="nil"/>
          <w:left w:val="nil"/>
          <w:bottom w:val="nil"/>
          <w:right w:val="nil"/>
          <w:between w:val="nil"/>
          <w:bar w:val="nil"/>
        </w:pBdr>
        <w:spacing w:after="240"/>
        <w:ind w:left="720"/>
        <w:contextualSpacing/>
        <w:rPr>
          <w:rFonts w:eastAsia="Calibri"/>
          <w:noProof/>
        </w:rPr>
      </w:pPr>
      <w:r>
        <w:rPr>
          <w:noProof/>
        </w:rPr>
        <w:t>3. Чрез дерогация от член 38, първа алинея бюджетните задължения за допълнителните средства по отношение на всяка програма се поемат през 2020, 2021 и 2022 г.</w:t>
      </w:r>
    </w:p>
    <w:p>
      <w:pPr>
        <w:pBdr>
          <w:top w:val="nil"/>
          <w:left w:val="nil"/>
          <w:bottom w:val="nil"/>
          <w:right w:val="nil"/>
          <w:between w:val="nil"/>
          <w:bar w:val="nil"/>
        </w:pBdr>
        <w:spacing w:after="240"/>
        <w:ind w:left="720"/>
        <w:contextualSpacing/>
        <w:rPr>
          <w:rFonts w:eastAsia="Calibri"/>
          <w:noProof/>
        </w:rPr>
      </w:pPr>
      <w:r>
        <w:rPr>
          <w:noProof/>
        </w:rPr>
        <w:t>Чрез дерогация от член 59, параграф 1 допълнителните задължения се отменят в съответствие с правилата, които трябва да се спазват при приключването на програмите.</w:t>
      </w:r>
    </w:p>
    <w:p>
      <w:pPr>
        <w:pBdr>
          <w:top w:val="nil"/>
          <w:left w:val="nil"/>
          <w:bottom w:val="nil"/>
          <w:right w:val="nil"/>
          <w:between w:val="nil"/>
          <w:bar w:val="nil"/>
        </w:pBdr>
        <w:spacing w:after="240"/>
        <w:ind w:left="720"/>
        <w:contextualSpacing/>
        <w:rPr>
          <w:rFonts w:eastAsia="Calibri"/>
          <w:noProof/>
        </w:rPr>
      </w:pPr>
      <w:r>
        <w:rPr>
          <w:noProof/>
        </w:rPr>
        <w:t xml:space="preserve">4. В допълнение към предварителното финансиране, посочено в член 44, параграф 1, Комисията изплаща сума за предварително финансиране в размер на 50 % от допълнителните средства, отпуснати за 2020 г., след решението на Комисията за одобряване на изменението на дадена програма за разпределението на допълнителните средства. </w:t>
      </w:r>
    </w:p>
    <w:p>
      <w:pPr>
        <w:pBdr>
          <w:top w:val="nil"/>
          <w:left w:val="nil"/>
          <w:bottom w:val="nil"/>
          <w:right w:val="nil"/>
          <w:between w:val="nil"/>
          <w:bar w:val="nil"/>
        </w:pBdr>
        <w:spacing w:after="240"/>
        <w:ind w:left="720"/>
        <w:contextualSpacing/>
        <w:rPr>
          <w:rFonts w:eastAsia="Calibri"/>
          <w:noProof/>
        </w:rPr>
      </w:pPr>
    </w:p>
    <w:p>
      <w:pPr>
        <w:pBdr>
          <w:top w:val="nil"/>
          <w:left w:val="nil"/>
          <w:bottom w:val="nil"/>
          <w:right w:val="nil"/>
          <w:between w:val="nil"/>
          <w:bar w:val="nil"/>
        </w:pBdr>
        <w:spacing w:after="240"/>
        <w:ind w:left="720"/>
        <w:contextualSpacing/>
        <w:rPr>
          <w:rFonts w:eastAsia="Calibri"/>
          <w:noProof/>
        </w:rPr>
      </w:pPr>
      <w:r>
        <w:rPr>
          <w:noProof/>
        </w:rPr>
        <w:lastRenderedPageBreak/>
        <w:t>Платената като предварително финансиране сума, посочена в алинея първа, се уравнява напълно в сметките на Комисията най-късно при приключването на програмата.</w:t>
      </w:r>
    </w:p>
    <w:p>
      <w:pPr>
        <w:pBdr>
          <w:top w:val="nil"/>
          <w:left w:val="nil"/>
          <w:bottom w:val="nil"/>
          <w:right w:val="nil"/>
          <w:between w:val="nil"/>
          <w:bar w:val="nil"/>
        </w:pBdr>
        <w:spacing w:after="240"/>
        <w:ind w:left="720"/>
        <w:contextualSpacing/>
        <w:rPr>
          <w:noProof/>
        </w:rPr>
      </w:pPr>
      <w:r>
        <w:rPr>
          <w:noProof/>
        </w:rPr>
        <w:t xml:space="preserve">5. Чрез дерогация от член 20 по отношение на допълнителните средства по параграф 1 не се изисква съфинансиране.“ </w:t>
      </w:r>
    </w:p>
    <w:p>
      <w:pPr>
        <w:pStyle w:val="Point0"/>
        <w:rPr>
          <w:noProof/>
        </w:rPr>
      </w:pPr>
      <w:r>
        <w:t>(3)</w:t>
      </w:r>
      <w:r>
        <w:tab/>
      </w:r>
      <w:r>
        <w:rPr>
          <w:noProof/>
        </w:rPr>
        <w:t>В член 27 параграф 4 се заменя със следното:</w:t>
      </w:r>
    </w:p>
    <w:p>
      <w:pPr>
        <w:ind w:left="720"/>
        <w:rPr>
          <w:noProof/>
        </w:rPr>
      </w:pPr>
      <w:r>
        <w:rPr>
          <w:noProof/>
        </w:rPr>
        <w:t>„4. По инициатива на държавите членки и при спазване на таван от 5 % от заделените по Фонда средства към момента на приемане на оперативната програма и 5 % от допълнителните средства, посочени в член 6а, параграф 1, по оперативната програма може да бъдат финансирани мерки за подготовка, управление, мониторинг, административна и техническа помощ, одит, информация, контрол и оценка, необходими за прилагането на фонда, включително разходите за подготовка и оперативните разходи за ваучерни схеми, в случай че тези разходи се поемат от управляващия орган или от друг публичен орган, който не е партньорска организация. По програмата може също така да се финансират техническа помощ и изграждане на капацитет за партньорските организации и други участници в оползотворяването на фонда, включително за засилване на капацитета за реагиране спрямо кризата, предизвикана от пандемията от COVID-19. Действията, посочени в настоящия параграф, могат да се отнасят до следващия програмен период, включително с цел да се гарантира продължаването на оказвана от този фонд подкрепа чрез други фондове.“</w:t>
      </w:r>
    </w:p>
    <w:p>
      <w:pPr>
        <w:pStyle w:val="Point0"/>
        <w:rPr>
          <w:noProof/>
        </w:rPr>
      </w:pPr>
      <w:r>
        <w:t>(4)</w:t>
      </w:r>
      <w:r>
        <w:tab/>
      </w:r>
      <w:r>
        <w:rPr>
          <w:noProof/>
        </w:rPr>
        <w:t>Вмъква се следният нов член 63а:</w:t>
      </w:r>
    </w:p>
    <w:p>
      <w:pPr>
        <w:pBdr>
          <w:top w:val="nil"/>
          <w:left w:val="nil"/>
          <w:bottom w:val="nil"/>
          <w:right w:val="nil"/>
          <w:between w:val="nil"/>
          <w:bar w:val="nil"/>
        </w:pBdr>
        <w:spacing w:after="240"/>
        <w:ind w:left="1440" w:hanging="720"/>
        <w:contextualSpacing/>
        <w:jc w:val="center"/>
        <w:rPr>
          <w:rFonts w:eastAsia="Calibri"/>
          <w:i/>
          <w:noProof/>
        </w:rPr>
      </w:pPr>
      <w:r>
        <w:rPr>
          <w:noProof/>
        </w:rPr>
        <w:t>„</w:t>
      </w:r>
      <w:r>
        <w:rPr>
          <w:i/>
          <w:noProof/>
        </w:rPr>
        <w:t>Член 63a</w:t>
      </w:r>
    </w:p>
    <w:p>
      <w:pPr>
        <w:pBdr>
          <w:top w:val="nil"/>
          <w:left w:val="nil"/>
          <w:bottom w:val="nil"/>
          <w:right w:val="nil"/>
          <w:between w:val="nil"/>
          <w:bar w:val="nil"/>
        </w:pBdr>
        <w:spacing w:after="240"/>
        <w:ind w:left="1440" w:hanging="720"/>
        <w:contextualSpacing/>
        <w:jc w:val="center"/>
        <w:rPr>
          <w:rFonts w:eastAsia="Calibri"/>
          <w:i/>
          <w:noProof/>
        </w:rPr>
      </w:pPr>
      <w:r>
        <w:rPr>
          <w:i/>
          <w:noProof/>
        </w:rPr>
        <w:t>Преходни разпоредби</w:t>
      </w:r>
    </w:p>
    <w:p>
      <w:pPr>
        <w:ind w:left="720"/>
        <w:rPr>
          <w:i/>
          <w:noProof/>
        </w:rPr>
      </w:pPr>
      <w:r>
        <w:rPr>
          <w:noProof/>
        </w:rPr>
        <w:t>Член 6а не се прилага спрямо и в Обединеното кралство. Позоваванията на държавите членки в разпоредбата на този член не включват Обединеното кралство.“</w:t>
      </w:r>
    </w:p>
    <w:p>
      <w:pPr>
        <w:pBdr>
          <w:top w:val="nil"/>
          <w:left w:val="nil"/>
          <w:bottom w:val="nil"/>
          <w:right w:val="nil"/>
          <w:between w:val="nil"/>
          <w:bar w:val="nil"/>
        </w:pBdr>
        <w:spacing w:after="240"/>
        <w:ind w:left="851" w:hanging="131"/>
        <w:rPr>
          <w:rFonts w:eastAsia="Calibri"/>
          <w:noProof/>
        </w:rPr>
      </w:pPr>
    </w:p>
    <w:p>
      <w:pPr>
        <w:pStyle w:val="Titrearticle"/>
        <w:rPr>
          <w:noProof/>
        </w:rPr>
      </w:pPr>
      <w:r>
        <w:rPr>
          <w:noProof/>
        </w:rPr>
        <w:t xml:space="preserve">Член 2 </w:t>
      </w:r>
    </w:p>
    <w:p>
      <w:pPr>
        <w:rPr>
          <w:rFonts w:eastAsia="Calibri"/>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w:t>
      </w:r>
    </w:p>
  </w:footnote>
  <w:footnote w:id="2">
    <w:p>
      <w:pPr>
        <w:pStyle w:val="FootnoteText"/>
      </w:pPr>
      <w:r>
        <w:rPr>
          <w:rStyle w:val="FootnoteReference"/>
        </w:rPr>
        <w:footnoteRef/>
      </w:r>
      <w:r>
        <w:tab/>
        <w:t>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3">
    <w:p>
      <w:pPr>
        <w:pStyle w:val="FootnoteText"/>
      </w:pPr>
      <w:r>
        <w:rPr>
          <w:rStyle w:val="FootnoteReference"/>
        </w:rPr>
        <w:footnoteRef/>
      </w:r>
      <w:r>
        <w:tab/>
        <w:t>Регламент (ЕС) № 223/2014 на Европейския парламент и на Съвета от 11 март 2014 г. относно Фонда за европейско подпомагане на най-нуждаещите се лица (ОВ L 72, 12.3.2014 г., стр. 1).</w:t>
      </w:r>
    </w:p>
  </w:footnote>
  <w:footnote w:id="4">
    <w:p>
      <w:pPr>
        <w:pStyle w:val="FootnoteText"/>
      </w:pPr>
      <w:r>
        <w:rPr>
          <w:rStyle w:val="FootnoteReference"/>
        </w:rPr>
        <w:footnoteRef/>
      </w:r>
      <w:r>
        <w:tab/>
        <w:t>ОВ L 130, 24.4.2020 г., стр. 7.</w:t>
      </w:r>
    </w:p>
  </w:footnote>
  <w:footnote w:id="5">
    <w:p>
      <w:pPr>
        <w:pStyle w:val="FootnoteText"/>
      </w:pPr>
      <w:r>
        <w:rPr>
          <w:rStyle w:val="FootnoteReference"/>
        </w:rPr>
        <w:footnoteRef/>
      </w:r>
      <w:r>
        <w:tab/>
        <w:t>COM(2020)451 final.</w:t>
      </w:r>
    </w:p>
  </w:footnote>
  <w:footnote w:id="6">
    <w:p>
      <w:pPr>
        <w:pStyle w:val="FootnoteText"/>
      </w:pPr>
      <w:r>
        <w:rPr>
          <w:rStyle w:val="FootnoteReference"/>
        </w:rPr>
        <w:footnoteRef/>
      </w:r>
      <w:r>
        <w:tab/>
        <w:t>COM(2020)451 final.</w:t>
      </w:r>
    </w:p>
  </w:footnote>
  <w:footnote w:id="7">
    <w:p>
      <w:pPr>
        <w:pStyle w:val="FootnoteText"/>
      </w:pPr>
      <w:r>
        <w:rPr>
          <w:rStyle w:val="FootnoteReference"/>
        </w:rPr>
        <w:footnoteRef/>
      </w:r>
      <w:r>
        <w:tab/>
        <w:t>COM(2020)251 final.</w:t>
      </w:r>
    </w:p>
  </w:footnote>
  <w:footnote w:id="8">
    <w:p>
      <w:pPr>
        <w:pStyle w:val="FootnoteText"/>
      </w:pPr>
      <w:r>
        <w:rPr>
          <w:rStyle w:val="FootnoteReference"/>
        </w:rPr>
        <w:footnoteRef/>
      </w:r>
      <w:r>
        <w:tab/>
        <w:t>ОВ C ,  г., стр. .</w:t>
      </w:r>
    </w:p>
  </w:footnote>
  <w:footnote w:id="9">
    <w:p>
      <w:pPr>
        <w:pStyle w:val="FootnoteText"/>
      </w:pPr>
      <w:r>
        <w:rPr>
          <w:rStyle w:val="FootnoteReference"/>
        </w:rPr>
        <w:footnoteRef/>
      </w:r>
      <w:r>
        <w:tab/>
        <w:t>ОВ C ,  г., стр. .</w:t>
      </w:r>
    </w:p>
  </w:footnote>
  <w:footnote w:id="10">
    <w:p>
      <w:pPr>
        <w:pStyle w:val="FootnoteText"/>
        <w:ind w:left="708" w:hanging="708"/>
      </w:pPr>
      <w:r>
        <w:rPr>
          <w:rStyle w:val="FootnoteReference"/>
        </w:rPr>
        <w:footnoteRef/>
      </w:r>
      <w:r>
        <w:tab/>
        <w:t>Регламент (ЕС) № 223/2014 на Европейския парламент и на Съвета от 11 март 2014 г. относно Фонда за европейско подпомагане на най-нуждаещите се лица (ОВ L 72, 12.3.2014 г., стр. 1).</w:t>
      </w:r>
    </w:p>
  </w:footnote>
  <w:footnote w:id="11">
    <w:p>
      <w:pPr>
        <w:pStyle w:val="FootnoteText"/>
      </w:pPr>
      <w:r>
        <w:rPr>
          <w:rStyle w:val="FootnoteReference"/>
        </w:rPr>
        <w:footnoteRef/>
      </w:r>
      <w:r>
        <w:tab/>
      </w:r>
      <w:hyperlink r:id="rId1" w:history="1">
        <w:r>
          <w:rPr>
            <w:color w:val="0000FF"/>
            <w:u w:val="single"/>
          </w:rPr>
          <w:t>COM(2020) 446</w:t>
        </w:r>
      </w:hyperlink>
      <w:r>
        <w:rPr>
          <w:color w:val="0000FF"/>
          <w:u w:val="single"/>
        </w:rPr>
        <w:t>.</w:t>
      </w:r>
    </w:p>
  </w:footnote>
  <w:footnote w:id="12">
    <w:p>
      <w:pPr>
        <w:pStyle w:val="FootnoteText"/>
      </w:pPr>
      <w:r>
        <w:rPr>
          <w:rStyle w:val="FootnoteReference"/>
        </w:rPr>
        <w:footnoteRef/>
      </w:r>
      <w:r>
        <w:tab/>
        <w:t>Регламент (ЕС, Евратом) № 1311/2013 на Съвета за определяне на многогодишната финансова рамка за годините 2014—2020 (ОВ L 347, 20.12.2013 г., стр. 884).</w:t>
      </w:r>
    </w:p>
  </w:footnote>
  <w:footnote w:id="13">
    <w:p>
      <w:pPr>
        <w:pStyle w:val="FootnoteText"/>
      </w:pPr>
      <w:r>
        <w:rPr>
          <w:rStyle w:val="FootnoteReference"/>
        </w:rPr>
        <w:footnoteRef/>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F29F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284B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56D8B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31C2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96CD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14F4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B4A298"/>
    <w:lvl w:ilvl="0">
      <w:start w:val="1"/>
      <w:numFmt w:val="decimal"/>
      <w:pStyle w:val="ListNumber"/>
      <w:lvlText w:val="%1."/>
      <w:lvlJc w:val="left"/>
      <w:pPr>
        <w:tabs>
          <w:tab w:val="num" w:pos="360"/>
        </w:tabs>
        <w:ind w:left="360" w:hanging="360"/>
      </w:pPr>
    </w:lvl>
  </w:abstractNum>
  <w:abstractNum w:abstractNumId="7">
    <w:nsid w:val="FFFFFF89"/>
    <w:multiLevelType w:val="singleLevel"/>
    <w:tmpl w:val="5D9CAD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76773F"/>
    <w:multiLevelType w:val="hybridMultilevel"/>
    <w:tmpl w:val="1758CCB2"/>
    <w:styleLink w:val="ImportedStyle3"/>
    <w:lvl w:ilvl="0" w:tplc="40FEC6F6">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7646D906">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3FCE327E">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63CE336C">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756D076">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E46F476">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F4389FAE">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C826E6A">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0F8A26E">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3A970053"/>
    <w:multiLevelType w:val="multilevel"/>
    <w:tmpl w:val="0AEEAB14"/>
    <w:styleLink w:val="ImportedStyle4"/>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20"/>
  </w:num>
  <w:num w:numId="14">
    <w:abstractNumId w:val="14"/>
  </w:num>
  <w:num w:numId="15">
    <w:abstractNumId w:val="22"/>
  </w:num>
  <w:num w:numId="16">
    <w:abstractNumId w:val="12"/>
  </w:num>
  <w:num w:numId="17">
    <w:abstractNumId w:val="15"/>
  </w:num>
  <w:num w:numId="18">
    <w:abstractNumId w:val="9"/>
  </w:num>
  <w:num w:numId="19">
    <w:abstractNumId w:val="21"/>
  </w:num>
  <w:num w:numId="20">
    <w:abstractNumId w:val="8"/>
  </w:num>
  <w:num w:numId="21">
    <w:abstractNumId w:val="16"/>
  </w:num>
  <w:num w:numId="22">
    <w:abstractNumId w:val="18"/>
  </w:num>
  <w:num w:numId="23">
    <w:abstractNumId w:val="19"/>
  </w:num>
  <w:num w:numId="24">
    <w:abstractNumId w:val="11"/>
  </w:num>
  <w:num w:numId="25">
    <w:abstractNumId w:val="17"/>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3:25: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32EC7A09-1DC6-48CE-99FA-D42B701C354D"/>
    <w:docVar w:name="LW_COVERPAGE_TYPE" w:val="1"/>
    <w:docVar w:name="LW_CROSSREFERENCE" w:val="&lt;UNUSED&gt;"/>
    <w:docVar w:name="LW_DocType" w:val="COM"/>
    <w:docVar w:name="LW_EMISSION" w:val="28.5.2020"/>
    <w:docVar w:name="LW_EMISSION_ISODATE" w:val="2020-05-28"/>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5"/>
    <w:docVar w:name="LW_REF.II.NEW.CP_YEAR" w:val="2020"/>
    <w:docVar w:name="LW_REF.INST.NEW" w:val="COM"/>
    <w:docVar w:name="LW_REF.INST.NEW_ADOPTED" w:val="final"/>
    <w:docVar w:name="LW_REF.INST.NEW_TEXT" w:val="(2020)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223/2014 \u1074?\u1098?\u1074? \u1074?\u1088?\u1098?\u1079?\u1082?\u1072? \u1089? \u1074?\u1098?\u1074?\u1077?\u1078?\u1076?\u1072?\u1085?\u1077?\u1090?\u1086? \u1085?\u1072? \u1089?\u1087?\u1077?\u1094?\u1080?\u1072?\u1083?\u1085?\u1080? \u1084?\u1077?\u1088?\u1082?\u1080? \u1079?\u1072? \u1087?\u1088?\u1077?\u1086?\u1076?\u1086?\u1083?\u1103?\u1074?\u1072?\u1085?\u1077? \u1085?\u1072? \u1082?\u1088?\u1080?\u1079?\u1072?\u1090?\u1072?, \u1087?\u1086?\u1088?\u1086?\u1076?\u1077?\u1085?\u1072? \u1086?\u1090? COVID-19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paragraph" w:customStyle="1" w:styleId="Body">
    <w:name w:val="Body"/>
    <w:uiPriority w:val="99"/>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nl-BE"/>
      <w14:textOutline w14:w="0" w14:cap="flat" w14:cmpd="sng" w14:algn="ctr">
        <w14:noFill/>
        <w14:prstDash w14:val="solid"/>
        <w14:bevel/>
      </w14:textOutli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paragraph" w:customStyle="1" w:styleId="Body">
    <w:name w:val="Body"/>
    <w:uiPriority w:val="99"/>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eastAsia="nl-BE"/>
      <w14:textOutline w14:w="0" w14:cap="flat" w14:cmpd="sng" w14:algn="ctr">
        <w14:noFill/>
        <w14:prstDash w14:val="solid"/>
        <w14:bevel/>
      </w14:textOutli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20/04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68A2-223F-4E43-A748-773757C3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3598</Words>
  <Characters>21268</Characters>
  <Application>Microsoft Office Word</Application>
  <DocSecurity>0</DocSecurity>
  <Lines>393</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cp:lastPrinted>2020-05-23T09:53:00Z</cp:lastPrinted>
  <dcterms:created xsi:type="dcterms:W3CDTF">2020-06-01T17:01:00Z</dcterms:created>
  <dcterms:modified xsi:type="dcterms:W3CDTF">2020-06-02T11:25:00Z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