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132169B9-527F-45D1-A9D2-761EFA162ED7" style="width:450.35pt;height:410.9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autoSpaceDE w:val="0"/>
        <w:autoSpaceDN w:val="0"/>
        <w:adjustRightInd w:val="0"/>
        <w:spacing w:before="360"/>
        <w:ind w:left="397" w:hanging="397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СПИСЪК НА ВЪЗМОЖНИТЕ ДОПУСТИМИ ДЕЙСТВИЯ, ПРЕДВИДЕНИ В ЧЛЕН 13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Инвестиции в:</w:t>
      </w:r>
    </w:p>
    <w:p>
      <w:pPr>
        <w:pStyle w:val="Point1"/>
        <w:rPr>
          <w:noProof/>
        </w:rPr>
      </w:pPr>
      <w:r>
        <w:rPr>
          <w:noProof/>
        </w:rPr>
        <w:t>i)</w:t>
      </w:r>
      <w:r>
        <w:rPr>
          <w:noProof/>
        </w:rPr>
        <w:tab/>
        <w:t>предварителни проекти за инициативи с висока добавена стойност, чието внедряване се предвижда да може да е по-мащабно;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критично важна здравна инфраструктура, която е от значение при здравни кризи, инструменти, структури, процеси, производствен и лабораторен капацитет, включително инструменти за наблюдение, моделиране, прогнозиране, предотвратяване и справяне с огнищата.</w:t>
      </w:r>
    </w:p>
    <w:p>
      <w:pPr>
        <w:pStyle w:val="Point0"/>
        <w:rPr>
          <w:noProof/>
          <w:szCs w:val="24"/>
        </w:rPr>
      </w:pPr>
      <w:r>
        <w:rPr>
          <w:noProof/>
        </w:rPr>
        <w:t>б)</w:t>
      </w:r>
      <w:r>
        <w:rPr>
          <w:noProof/>
        </w:rPr>
        <w:tab/>
        <w:t xml:space="preserve">Трансфер, адаптиране и въвеждане в държавите членки на </w:t>
      </w:r>
      <w:r>
        <w:rPr>
          <w:b/>
          <w:bCs/>
          <w:noProof/>
        </w:rPr>
        <w:t>най-добри практики</w:t>
      </w:r>
      <w:r>
        <w:rPr>
          <w:noProof/>
        </w:rPr>
        <w:t xml:space="preserve"> и новаторски решения с установена добавена стойност на равнището на Съюза и конкретни за отделните държави средства за подкрепа на държави или групи от държави, които имат най-голяма потребност от нея, чрез финансиране на конкретни проекти, включително туининг, експертни консултации и партньорска подкрепа.</w:t>
      </w:r>
    </w:p>
    <w:p>
      <w:pPr>
        <w:pStyle w:val="Point0"/>
        <w:rPr>
          <w:noProof/>
          <w:szCs w:val="24"/>
        </w:rPr>
      </w:pPr>
      <w:r>
        <w:rPr>
          <w:noProof/>
        </w:rPr>
        <w:t>в)</w:t>
      </w:r>
      <w:r>
        <w:rPr>
          <w:noProof/>
        </w:rPr>
        <w:tab/>
        <w:t xml:space="preserve">Подкрепа за </w:t>
      </w:r>
      <w:r>
        <w:rPr>
          <w:b/>
          <w:bCs/>
          <w:noProof/>
        </w:rPr>
        <w:t>аналитични дейности и експертни консултации</w:t>
      </w:r>
      <w:r>
        <w:rPr>
          <w:noProof/>
        </w:rPr>
        <w:t>, по-конкретно:</w:t>
      </w:r>
    </w:p>
    <w:p>
      <w:pPr>
        <w:pStyle w:val="Point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изследвания, проучвания, събиране на данни и статистическа информация, методологии, класификации, микросимулации, показатели, посредничество при обмен на познания и използване на съпоставителни показатели;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създаване и управление на инфраструктура за информираността и познанията в областта на здравеопазването;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експертни групи и комисии, предоставящи консултации, данни и информация в подкрепа на разработването и прилагането на здравната политика;</w:t>
      </w:r>
    </w:p>
    <w:p>
      <w:pPr>
        <w:pStyle w:val="Point1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 xml:space="preserve">проучвания, анализи и научни консултации в подкрепа на изготвянето на политики и подкрепа за Научния комитет по безопасността на потребителите и Научния комитет по здравни, екологични и възникващи рискове. </w:t>
      </w:r>
    </w:p>
    <w:p>
      <w:pPr>
        <w:pStyle w:val="Point0"/>
        <w:rPr>
          <w:noProof/>
          <w:szCs w:val="24"/>
        </w:rPr>
      </w:pPr>
      <w:r>
        <w:rPr>
          <w:noProof/>
        </w:rPr>
        <w:t>г)</w:t>
      </w:r>
      <w:r>
        <w:rPr>
          <w:noProof/>
        </w:rPr>
        <w:tab/>
      </w:r>
      <w:r>
        <w:rPr>
          <w:b/>
          <w:bCs/>
          <w:noProof/>
        </w:rPr>
        <w:t>Развитие и прилагане на законодателството и действията на Съюза в областта на здравеопазването</w:t>
      </w:r>
      <w:r>
        <w:rPr>
          <w:noProof/>
        </w:rPr>
        <w:t>, по-специално чрез подкрепа за:</w:t>
      </w:r>
    </w:p>
    <w:p>
      <w:pPr>
        <w:pStyle w:val="Point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прилагане, правоприлагане и мониторинг на законодателството и действията на Съюза в областта на здравеопазването и техническа подкрепа за прилагането на правните изисквания;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трансгранично сътрудничество и партньорства, включително в трансграничните региони, с оглед на обмена и по-мащабното внедряване на новаторските решения;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междусекторно сътрудничество и координация;</w:t>
      </w:r>
    </w:p>
    <w:p>
      <w:pPr>
        <w:pStyle w:val="Point1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 xml:space="preserve">разработване и боравене с бази данни и цифрови инструменти и тяхната оперативна съвместимост, включително, когато е целесъобразно, с други технологии за наблюдение от разстояние, като например космически технологии; </w:t>
      </w:r>
    </w:p>
    <w:p>
      <w:pPr>
        <w:pStyle w:val="Point1"/>
        <w:rPr>
          <w:noProof/>
          <w:szCs w:val="24"/>
        </w:rPr>
      </w:pPr>
      <w:r>
        <w:rPr>
          <w:noProof/>
        </w:rPr>
        <w:lastRenderedPageBreak/>
        <w:t>v)</w:t>
      </w:r>
      <w:r>
        <w:rPr>
          <w:noProof/>
        </w:rPr>
        <w:tab/>
        <w:t>одит и оценка в съответствие със законодателството на Съюза;</w:t>
      </w:r>
    </w:p>
    <w:p>
      <w:pPr>
        <w:pStyle w:val="Point1"/>
        <w:rPr>
          <w:noProof/>
          <w:szCs w:val="24"/>
        </w:rPr>
      </w:pPr>
      <w:r>
        <w:rPr>
          <w:noProof/>
        </w:rPr>
        <w:t>vi)</w:t>
      </w:r>
      <w:r>
        <w:rPr>
          <w:noProof/>
        </w:rPr>
        <w:tab/>
        <w:t>сътрудничество между институциите на Съюза, неговите агенции и международните организации и мрежи, както и принос на Съюза към глобалните инициативи;</w:t>
      </w:r>
    </w:p>
    <w:p>
      <w:pPr>
        <w:pStyle w:val="Point1"/>
        <w:rPr>
          <w:noProof/>
          <w:szCs w:val="24"/>
        </w:rPr>
      </w:pPr>
      <w:r>
        <w:rPr>
          <w:noProof/>
        </w:rPr>
        <w:t>vii)</w:t>
      </w:r>
      <w:r>
        <w:rPr>
          <w:noProof/>
        </w:rPr>
        <w:tab/>
        <w:t xml:space="preserve">консултации със заинтересованите страни; </w:t>
      </w:r>
    </w:p>
    <w:p>
      <w:pPr>
        <w:pStyle w:val="Point1"/>
        <w:rPr>
          <w:noProof/>
          <w:szCs w:val="24"/>
        </w:rPr>
      </w:pPr>
      <w:r>
        <w:rPr>
          <w:noProof/>
        </w:rPr>
        <w:t>viii)</w:t>
      </w:r>
      <w:r>
        <w:rPr>
          <w:noProof/>
        </w:rPr>
        <w:tab/>
        <w:t>изграждане на мрежи от неправителствени организации и тяхното участие в проекти, обхванати от програмата;</w:t>
      </w:r>
    </w:p>
    <w:p>
      <w:pPr>
        <w:pStyle w:val="Point1"/>
        <w:rPr>
          <w:noProof/>
          <w:szCs w:val="24"/>
        </w:rPr>
      </w:pPr>
      <w:r>
        <w:rPr>
          <w:noProof/>
        </w:rPr>
        <w:t>ix)</w:t>
      </w:r>
      <w:r>
        <w:rPr>
          <w:noProof/>
        </w:rPr>
        <w:tab/>
        <w:t>сътрудничество с трети държави в областите, обхванати от настоящата програма;</w:t>
      </w:r>
    </w:p>
    <w:p>
      <w:pPr>
        <w:pStyle w:val="Point1"/>
        <w:rPr>
          <w:noProof/>
          <w:szCs w:val="24"/>
        </w:rPr>
      </w:pPr>
      <w:r>
        <w:rPr>
          <w:noProof/>
        </w:rPr>
        <w:t>x)</w:t>
      </w:r>
      <w:r>
        <w:rPr>
          <w:noProof/>
        </w:rPr>
        <w:tab/>
        <w:t>националните звена за контакт, предоставящи насоки, информация и помощ, свързани с прилагането на законодателството на Съюза, което е в областта на здравеопазването, и на програмата;</w:t>
      </w:r>
    </w:p>
    <w:p>
      <w:pPr>
        <w:pStyle w:val="Point1"/>
        <w:rPr>
          <w:noProof/>
          <w:szCs w:val="24"/>
        </w:rPr>
      </w:pPr>
      <w:r>
        <w:rPr>
          <w:noProof/>
        </w:rPr>
        <w:t>xi)</w:t>
      </w:r>
      <w:r>
        <w:rPr>
          <w:noProof/>
        </w:rPr>
        <w:tab/>
        <w:t>заинтересованите страни с оглед на транснационално сътрудничество;</w:t>
      </w:r>
    </w:p>
    <w:p>
      <w:pPr>
        <w:pStyle w:val="Point0"/>
        <w:rPr>
          <w:noProof/>
          <w:szCs w:val="24"/>
        </w:rPr>
      </w:pPr>
      <w:r>
        <w:rPr>
          <w:noProof/>
        </w:rPr>
        <w:t>д)</w:t>
      </w:r>
      <w:r>
        <w:rPr>
          <w:noProof/>
        </w:rPr>
        <w:tab/>
      </w:r>
      <w:r>
        <w:rPr>
          <w:b/>
          <w:bCs/>
          <w:noProof/>
        </w:rPr>
        <w:t>Поддържане на структурни запаси и подготовка за кризи</w:t>
      </w:r>
      <w:r>
        <w:rPr>
          <w:noProof/>
        </w:rPr>
        <w:t>:</w:t>
      </w:r>
    </w:p>
    <w:p>
      <w:pPr>
        <w:pStyle w:val="Point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 xml:space="preserve">установяване и поддръжка на механизъм за разработване, възлагане на обществени поръчки и управление на въпроси, свързани с продукти от особено значение при криза; 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създаване и управление на резерв и на запаси на ЕС от продукти от особено значение при криза, в допълнение към други инструменти на Съюза;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изграждане и подпомагане на механизми за ефективното наблюдение и разпределение на наличните структури за полагане на грижи (напр. болнични легла и места в отделенията за интензивно лечение), за разпространението или разпределението на стоките и услугите, необходими при здравна криза, както и за гарантиране на снабдяването и безопасното използване на лекарства, изпитвани лекарства и медицински изделия;</w:t>
      </w:r>
    </w:p>
    <w:p>
      <w:pPr>
        <w:pStyle w:val="Point1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>възлагане на обществени поръчки за стоки и услуги, необходими за предотвратяване и справяне със здравни кризи и действия за осигуряване на достъп до тези основни стоки и услуги;</w:t>
      </w:r>
    </w:p>
    <w:p>
      <w:pPr>
        <w:pStyle w:val="Point1"/>
        <w:rPr>
          <w:noProof/>
          <w:szCs w:val="24"/>
        </w:rPr>
      </w:pPr>
      <w:r>
        <w:rPr>
          <w:noProof/>
        </w:rPr>
        <w:t>v)</w:t>
      </w:r>
      <w:r>
        <w:rPr>
          <w:noProof/>
        </w:rPr>
        <w:tab/>
        <w:t>създаване и управление на резерв на Съюза от медицински и здравен персонал и експерти и на механизъм за задействане на услугите на такъв персонал и експерти, когато това е необходимо за предотвратяване или реагиране при здравна криза в целия Съюз; сформиране и управление на екип на Съюза за извънредни ситуации в областта на здравеопазването с цел предоставяне на експертни консултации и техническа помощ при поискване от страна на Комисията при здравна криза.</w:t>
      </w:r>
    </w:p>
    <w:p>
      <w:pPr>
        <w:pStyle w:val="Point0"/>
        <w:rPr>
          <w:noProof/>
          <w:szCs w:val="24"/>
        </w:rPr>
      </w:pPr>
      <w:r>
        <w:rPr>
          <w:noProof/>
        </w:rPr>
        <w:t>е)</w:t>
      </w:r>
      <w:r>
        <w:rPr>
          <w:noProof/>
        </w:rPr>
        <w:tab/>
      </w:r>
      <w:r>
        <w:rPr>
          <w:b/>
          <w:bCs/>
          <w:noProof/>
        </w:rPr>
        <w:t>Подготвеност, предотвратяване и реакция при сериозни трансгранични заплахи за здравето</w:t>
      </w:r>
      <w:r>
        <w:rPr>
          <w:noProof/>
        </w:rPr>
        <w:t>:</w:t>
      </w:r>
    </w:p>
    <w:p>
      <w:pPr>
        <w:pStyle w:val="Point1"/>
        <w:rPr>
          <w:noProof/>
          <w:szCs w:val="24"/>
          <w:u w:val="single"/>
        </w:rPr>
      </w:pPr>
      <w:r>
        <w:rPr>
          <w:noProof/>
        </w:rPr>
        <w:t>i)</w:t>
      </w:r>
      <w:r>
        <w:rPr>
          <w:noProof/>
        </w:rPr>
        <w:tab/>
        <w:t xml:space="preserve">действия за насърчаване — в общоевропейски и междусекторен план — на капацитета за предотвратяване, подготвеност, справяне и реакция при здравни кризи на всички действащи лица на равнището на Съюза и на национално, регионално и местно равнище, в т.ч. учения за планиране и подготвеност за извънредни ситуации и повишаване на квалификацията на здравните работници и служителите в областта на опазването на общественото здраве; 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изграждане на рамка за интегрирана хоризонтална комуникация във връзка с рисковете, която да обхваща всички етапи от дадена здравна криза — предотвратяване, подготвеност и реакция;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 xml:space="preserve">подкрепа и/или възлагане на обществени поръчки за спешно производство на медицински средства за противодействие, включително основни химически вещества и активни вещества, и финансиране на сътрудничеството по спешни оценки на здравните технологии и клиничните изпитвания; </w:t>
      </w:r>
    </w:p>
    <w:p>
      <w:pPr>
        <w:pStyle w:val="Point1"/>
        <w:rPr>
          <w:noProof/>
          <w:szCs w:val="24"/>
          <w:u w:val="single"/>
        </w:rPr>
      </w:pPr>
      <w:r>
        <w:rPr>
          <w:noProof/>
        </w:rPr>
        <w:t>iv)</w:t>
      </w:r>
      <w:r>
        <w:rPr>
          <w:noProof/>
        </w:rPr>
        <w:tab/>
        <w:t>превантивни действия за защита на уязвимите групи от населението от заплахи за здравето и действия за приспособяване към нуждите на тези уязвими групи на реакцията  при кризи и на начините за справяне с тях ;</w:t>
      </w:r>
    </w:p>
    <w:p>
      <w:pPr>
        <w:pStyle w:val="Point1"/>
        <w:rPr>
          <w:noProof/>
          <w:szCs w:val="24"/>
          <w:u w:val="single"/>
        </w:rPr>
      </w:pPr>
      <w:r>
        <w:rPr>
          <w:noProof/>
        </w:rPr>
        <w:t>v)</w:t>
      </w:r>
      <w:r>
        <w:rPr>
          <w:noProof/>
        </w:rPr>
        <w:tab/>
        <w:t xml:space="preserve">действия за справяне с косвените последици за здравето от здравна криза, по-специално тези за психичното здраве, за пациенти, страдащи от хронични заболявания, и за други уязвими групи; </w:t>
      </w:r>
    </w:p>
    <w:p>
      <w:pPr>
        <w:pStyle w:val="Point1"/>
        <w:rPr>
          <w:noProof/>
          <w:szCs w:val="24"/>
          <w:u w:val="single"/>
        </w:rPr>
      </w:pPr>
      <w:r>
        <w:rPr>
          <w:noProof/>
        </w:rPr>
        <w:t>vi)</w:t>
      </w:r>
      <w:r>
        <w:rPr>
          <w:noProof/>
        </w:rPr>
        <w:tab/>
        <w:t xml:space="preserve">действия за укрепване на капацитета за бързо реагиране, както и на научните изследвания, разработването, капацитета на лабораториите, производството и внедряването на специализирани продукти от особено значение при криза; </w:t>
      </w:r>
    </w:p>
    <w:p>
      <w:pPr>
        <w:pStyle w:val="Point1"/>
        <w:rPr>
          <w:noProof/>
          <w:szCs w:val="24"/>
          <w:u w:val="single"/>
        </w:rPr>
      </w:pPr>
      <w:r>
        <w:rPr>
          <w:noProof/>
        </w:rPr>
        <w:t>vii)</w:t>
      </w:r>
      <w:r>
        <w:rPr>
          <w:noProof/>
        </w:rPr>
        <w:tab/>
        <w:t>създаване и управление на механизъм за междусекторна координация на „Едно здраве“;</w:t>
      </w:r>
    </w:p>
    <w:p>
      <w:pPr>
        <w:pStyle w:val="Point1"/>
        <w:rPr>
          <w:noProof/>
          <w:szCs w:val="24"/>
          <w:u w:val="single"/>
        </w:rPr>
      </w:pPr>
      <w:r>
        <w:rPr>
          <w:noProof/>
        </w:rPr>
        <w:t>viii)</w:t>
      </w:r>
      <w:r>
        <w:rPr>
          <w:noProof/>
        </w:rPr>
        <w:tab/>
        <w:t xml:space="preserve">действия в подкрепа на работата по разследване, оценка на риска и управление на риска по отношение на връзката между здравето на животните, факторите на околната среда и болестите при хората, включително по време на здравни кризи. </w:t>
      </w:r>
    </w:p>
    <w:p>
      <w:pPr>
        <w:pStyle w:val="Point0"/>
        <w:rPr>
          <w:noProof/>
          <w:szCs w:val="24"/>
        </w:rPr>
      </w:pPr>
      <w:r>
        <w:rPr>
          <w:noProof/>
        </w:rPr>
        <w:t>ж)</w:t>
      </w:r>
      <w:r>
        <w:rPr>
          <w:noProof/>
        </w:rPr>
        <w:tab/>
      </w:r>
      <w:r>
        <w:rPr>
          <w:b/>
          <w:noProof/>
          <w:szCs w:val="24"/>
        </w:rPr>
        <w:t>Укрепване на националните здравни системи</w:t>
      </w:r>
      <w:r>
        <w:rPr>
          <w:noProof/>
        </w:rPr>
        <w:t>:</w:t>
      </w:r>
    </w:p>
    <w:p>
      <w:pPr>
        <w:pStyle w:val="Point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подкрепа за действия по трансфер на знания и сътрудничество на равнището на Съюза за подпомагане на процесите на национални реформи с цел подобряване на ефективността, достъпността, устойчивостта и гъвкавостта, по-специално за справяне с предизвикателствата, установени с европейския семестър, и за подобряване на първичното здравно обслужване, за укрепване на интеграцията на здравните грижи и постигане на целта за всеобщо здравно осигуряване и равен достъп до здравеопазване;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програми за обучение на медицински и здравни работници и програми за временен обмен на персонал;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подкрепа за подобряване на географското разпределение на работната сила в областта на здравеопазването и избягване на т.нар. „медицински пустини“;</w:t>
      </w:r>
    </w:p>
    <w:p>
      <w:pPr>
        <w:pStyle w:val="Point1"/>
        <w:ind w:left="1418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>подкрепа за създаването и координирането на референтни лаборатории и центрове на Съюза и на центрове за високи постижения;</w:t>
      </w:r>
    </w:p>
    <w:p>
      <w:pPr>
        <w:pStyle w:val="Point1"/>
        <w:rPr>
          <w:noProof/>
          <w:szCs w:val="24"/>
        </w:rPr>
      </w:pPr>
      <w:r>
        <w:rPr>
          <w:noProof/>
        </w:rPr>
        <w:t>v)</w:t>
      </w:r>
      <w:r>
        <w:rPr>
          <w:noProof/>
        </w:rPr>
        <w:tab/>
        <w:t xml:space="preserve">одит на договореностите по отношение на подготвеността и реакцията на държавите членки (като напр. справяне с кризи, антимикробна резистентност, ваксинация); </w:t>
      </w:r>
    </w:p>
    <w:p>
      <w:pPr>
        <w:pStyle w:val="Point1"/>
        <w:rPr>
          <w:noProof/>
          <w:szCs w:val="24"/>
        </w:rPr>
      </w:pPr>
      <w:r>
        <w:rPr>
          <w:noProof/>
        </w:rPr>
        <w:t>vi)</w:t>
      </w:r>
      <w:r>
        <w:rPr>
          <w:noProof/>
        </w:rPr>
        <w:tab/>
        <w:t>подкрепа за по-голямо сближаване на резултатите на националните системи посредством разработване на показатели, анализи и посредничество при обмен на познания и организиране на тестове за устойчивост на националните системи за здравеопазване;</w:t>
      </w:r>
    </w:p>
    <w:p>
      <w:pPr>
        <w:pStyle w:val="Point1"/>
        <w:rPr>
          <w:noProof/>
          <w:szCs w:val="24"/>
        </w:rPr>
      </w:pPr>
      <w:r>
        <w:rPr>
          <w:noProof/>
        </w:rPr>
        <w:t>vii)</w:t>
      </w:r>
      <w:r>
        <w:rPr>
          <w:noProof/>
        </w:rPr>
        <w:tab/>
        <w:t>подкрепа за изграждането на капацитет за инвестиране в реформи на здравната система и за тяхното изпълнение (стратегическо планиране и достъп до финансиране от множество източници);</w:t>
      </w:r>
    </w:p>
    <w:p>
      <w:pPr>
        <w:pStyle w:val="Point1"/>
        <w:rPr>
          <w:rFonts w:eastAsia="Calibri"/>
          <w:b/>
          <w:i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viii)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подкрепа за изграждането на капацитет на националните системи за прилагане на законодателството относно веществата от човешки произход и за насърчаване на устойчивото и безопасно снабдяване с такива вещества чрез дейности в мрежи;</w:t>
      </w:r>
    </w:p>
    <w:p>
      <w:pPr>
        <w:pStyle w:val="Point1"/>
        <w:rPr>
          <w:noProof/>
          <w:szCs w:val="24"/>
        </w:rPr>
      </w:pPr>
      <w:r>
        <w:rPr>
          <w:noProof/>
        </w:rPr>
        <w:t>ix)</w:t>
      </w:r>
      <w:r>
        <w:rPr>
          <w:noProof/>
        </w:rPr>
        <w:tab/>
        <w:t xml:space="preserve">подкрепа за създаването и изпълнението на програми за подпомагане на държавите членки и техните действия за подпомагане на промоцията на здравето и профилактиката на болести (за заразни и незаразни болести); 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x)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 xml:space="preserve">подкрепа за действията на държавите членки за създаване на здравословна и безопасна градска, работна и училищна среда, която да създаде условия за здравословен начин на живот и да насърчи здравословното хранене съобразно потребностите на уязвимите групи; </w:t>
      </w:r>
    </w:p>
    <w:p>
      <w:pPr>
        <w:pStyle w:val="Point1"/>
        <w:rPr>
          <w:noProof/>
          <w:szCs w:val="24"/>
        </w:rPr>
      </w:pPr>
      <w:r>
        <w:rPr>
          <w:noProof/>
        </w:rPr>
        <w:t>xi)</w:t>
      </w:r>
      <w:r>
        <w:rPr>
          <w:noProof/>
        </w:rPr>
        <w:tab/>
        <w:t xml:space="preserve">подкрепа за работата на европейските референтни мрежи и за създаването и управлението на нови транснационални мрежи, изградени в съответствие със законодателството на Съюза в областта на здравеопазването, и за подпомагане на действията на държавите членки за координиране на дейностите на тези мрежи с работата на националните здравни системи; </w:t>
      </w:r>
    </w:p>
    <w:p>
      <w:pPr>
        <w:pStyle w:val="Point1"/>
        <w:rPr>
          <w:noProof/>
          <w:szCs w:val="24"/>
        </w:rPr>
      </w:pPr>
      <w:r>
        <w:rPr>
          <w:noProof/>
        </w:rPr>
        <w:t>xii)</w:t>
      </w:r>
      <w:r>
        <w:rPr>
          <w:noProof/>
        </w:rPr>
        <w:tab/>
        <w:t>подкрепа за държавите членки за укрепване на административния капацитет на техните здравни системи чрез използване на съпоставителни показатели, сътрудничество и обмен на най-добри практики;</w:t>
      </w:r>
    </w:p>
    <w:p>
      <w:pPr>
        <w:pStyle w:val="Point1"/>
        <w:rPr>
          <w:noProof/>
          <w:szCs w:val="24"/>
        </w:rPr>
      </w:pPr>
      <w:r>
        <w:rPr>
          <w:bCs/>
          <w:iCs/>
          <w:noProof/>
          <w:color w:val="000000"/>
          <w:szCs w:val="24"/>
        </w:rPr>
        <w:t>xiii)</w:t>
      </w:r>
      <w:r>
        <w:rPr>
          <w:noProof/>
        </w:rPr>
        <w:tab/>
        <w:t>подкрепа за уредба на Съюза и съответните оперативно съвместими цифрови инструменти за сътрудничество между държавите членки и в мрежи, включително тези, които са необходими, за да се даде възможност на държавите членки да провеждат съвместни клинични оценки и съвместни научни консултации с цел обмен на резултати от сътрудничеството в областта на оценката на здравните технологии.</w:t>
      </w:r>
    </w:p>
    <w:p>
      <w:pPr>
        <w:pStyle w:val="Point0"/>
        <w:rPr>
          <w:noProof/>
        </w:rPr>
      </w:pPr>
      <w:r>
        <w:rPr>
          <w:noProof/>
        </w:rPr>
        <w:t>з)</w:t>
      </w:r>
      <w:r>
        <w:rPr>
          <w:noProof/>
        </w:rPr>
        <w:tab/>
      </w:r>
      <w:r>
        <w:rPr>
          <w:b/>
          <w:bCs/>
          <w:noProof/>
        </w:rPr>
        <w:t>Действия в областта на рака</w:t>
      </w:r>
      <w:r>
        <w:rPr>
          <w:noProof/>
        </w:rPr>
        <w:t>:</w:t>
      </w:r>
    </w:p>
    <w:p>
      <w:pPr>
        <w:pStyle w:val="Point1"/>
        <w:rPr>
          <w:noProof/>
          <w:szCs w:val="24"/>
        </w:rPr>
      </w:pPr>
      <w:r>
        <w:rPr>
          <w:noProof/>
          <w:color w:val="000000" w:themeColor="text1"/>
          <w:szCs w:val="24"/>
        </w:rPr>
        <w:t>i)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подкрепа за държавите членки и неправителствените организации за популяризирането и прилагането на препоръките на Европейския кодекс за борба с рака;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ii)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подкрепа за създаването на схеми за осигуряване на качество за центровете, занимаващи се с ракови заболявания;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iii)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 xml:space="preserve">подкрепа за програмите за профилактика по отношение на основните рискови фактори, свързани с рака; 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iv)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действия за подпомагане на вторичната профилактика на рака, като например ранно откриване и скринингова диагностика;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v)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действия в подкрепа на достъпа до услуги във връзка с рака и до иновативни лекарства за лечението му;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vi)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действия в подкрепа на приемствеността на грижите (подходи за интегрирани грижи за профилактика, диагностика, лечение и последващи грижи);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vii)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действия в подкрепа на качеството на профилактиката и грижите за болните от рак, включително диагностика и лечение;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viii)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действия в подкрепа на качеството на живот на преживелите рак хора и лицата, полагащи грижи за тях;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ix)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подкрепа за прилагането на политиката и законодателството на Съюза за контрол на тютюна;</w:t>
      </w:r>
    </w:p>
    <w:p>
      <w:pPr>
        <w:pStyle w:val="Point1"/>
        <w:rPr>
          <w:rFonts w:eastAsia="Calibri"/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x)</w:t>
      </w:r>
      <w:r>
        <w:rPr>
          <w:noProof/>
        </w:rPr>
        <w:tab/>
      </w:r>
      <w:r>
        <w:rPr>
          <w:noProof/>
          <w:color w:val="000000" w:themeColor="text1"/>
          <w:szCs w:val="24"/>
        </w:rPr>
        <w:t>създаване и подпомагане на механизми за изграждане на капацитет в различните специалности и за непрекъснато обучение в областта на грижите за болните от рак.</w:t>
      </w:r>
    </w:p>
    <w:p>
      <w:pPr>
        <w:pStyle w:val="Point0"/>
        <w:rPr>
          <w:noProof/>
          <w:szCs w:val="24"/>
        </w:rPr>
      </w:pPr>
      <w:r>
        <w:rPr>
          <w:noProof/>
        </w:rPr>
        <w:t>и)</w:t>
      </w:r>
      <w:r>
        <w:rPr>
          <w:noProof/>
        </w:rPr>
        <w:tab/>
      </w:r>
      <w:r>
        <w:rPr>
          <w:b/>
          <w:noProof/>
          <w:szCs w:val="24"/>
        </w:rPr>
        <w:t>Действия в областта на лекарствата, ваксините и медицинските изделия:</w:t>
      </w:r>
    </w:p>
    <w:p>
      <w:pPr>
        <w:pStyle w:val="Point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подкрепа за инициативи за подобряване на равнището на ваксинационно покритие в държавите членки;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 xml:space="preserve">подкрепа за борбата с разколебаността по отношение на ваксините; 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подкрепа за клиничните изпитвания за ускоряване на разработването, разрешаването и достъпа до иновативни, безопасни и ефективни лекарства и ваксини;</w:t>
      </w:r>
    </w:p>
    <w:p>
      <w:pPr>
        <w:pStyle w:val="Point1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>подкрепа за гарантиране на по-голяма наличност на лекарства и медицински изделия в Съюза и принос към осигуряването на тяхната финансова достъпност за пациентите и здравните системи;</w:t>
      </w:r>
    </w:p>
    <w:p>
      <w:pPr>
        <w:pStyle w:val="Point1"/>
        <w:rPr>
          <w:noProof/>
          <w:szCs w:val="24"/>
        </w:rPr>
      </w:pPr>
      <w:r>
        <w:rPr>
          <w:noProof/>
        </w:rPr>
        <w:t>v)</w:t>
      </w:r>
      <w:r>
        <w:rPr>
          <w:noProof/>
        </w:rPr>
        <w:tab/>
        <w:t>подкрепа за насърчаване на разработването на иновативни продукти и на по-малко привлекателни от търговска гледна точка продукти, като например антимикробни средства;</w:t>
      </w:r>
    </w:p>
    <w:p>
      <w:pPr>
        <w:pStyle w:val="Point1"/>
        <w:rPr>
          <w:noProof/>
          <w:szCs w:val="24"/>
        </w:rPr>
      </w:pPr>
      <w:r>
        <w:rPr>
          <w:noProof/>
        </w:rPr>
        <w:t>vi)</w:t>
      </w:r>
      <w:r>
        <w:rPr>
          <w:noProof/>
        </w:rPr>
        <w:tab/>
        <w:t xml:space="preserve">подкрепа за наблюдение на недостига на лекарства и медицински изделия в болници и общински аптеки, за справяне с този недостиг и за увеличаване на сигурността на доставките; </w:t>
      </w:r>
    </w:p>
    <w:p>
      <w:pPr>
        <w:pStyle w:val="Point1"/>
        <w:rPr>
          <w:noProof/>
          <w:szCs w:val="24"/>
        </w:rPr>
      </w:pPr>
      <w:r>
        <w:rPr>
          <w:noProof/>
        </w:rPr>
        <w:t>vii)</w:t>
      </w:r>
      <w:r>
        <w:rPr>
          <w:noProof/>
        </w:rPr>
        <w:tab/>
        <w:t>подкрепа за насърчаване на разработването на иновативни лекарства и медицински изделия, които са по-малко вредни за околната среда, и насърчаване на по-екологосъобразно производство;</w:t>
      </w:r>
    </w:p>
    <w:p>
      <w:pPr>
        <w:pStyle w:val="Point1"/>
        <w:rPr>
          <w:noProof/>
          <w:szCs w:val="24"/>
        </w:rPr>
      </w:pPr>
      <w:r>
        <w:rPr>
          <w:noProof/>
        </w:rPr>
        <w:t>viii)</w:t>
      </w:r>
      <w:r>
        <w:rPr>
          <w:noProof/>
        </w:rPr>
        <w:tab/>
        <w:t>действия за укрепване на оценката на риска за околната среда във връзка с лекарствените продукти;</w:t>
      </w:r>
    </w:p>
    <w:p>
      <w:pPr>
        <w:pStyle w:val="Point1"/>
        <w:rPr>
          <w:noProof/>
          <w:szCs w:val="24"/>
        </w:rPr>
      </w:pPr>
      <w:r>
        <w:rPr>
          <w:noProof/>
        </w:rPr>
        <w:t>ix)</w:t>
      </w:r>
      <w:r>
        <w:rPr>
          <w:noProof/>
        </w:rPr>
        <w:tab/>
        <w:t>действия за насърчаване на разумната употреба и обезвреждането на антимикробни средства;</w:t>
      </w:r>
    </w:p>
    <w:p>
      <w:pPr>
        <w:pStyle w:val="Point1"/>
        <w:rPr>
          <w:noProof/>
          <w:szCs w:val="24"/>
        </w:rPr>
      </w:pPr>
      <w:r>
        <w:rPr>
          <w:noProof/>
        </w:rPr>
        <w:t>x)</w:t>
      </w:r>
      <w:r>
        <w:rPr>
          <w:noProof/>
        </w:rPr>
        <w:tab/>
        <w:t xml:space="preserve">подкрепа за насърчаване на международното регулаторно съответствие по отношение на лекарствените продукти и медицинските изделия. </w:t>
      </w:r>
    </w:p>
    <w:p>
      <w:pPr>
        <w:pStyle w:val="Point0"/>
        <w:rPr>
          <w:b/>
          <w:noProof/>
          <w:szCs w:val="24"/>
        </w:rPr>
      </w:pPr>
      <w:r>
        <w:rPr>
          <w:noProof/>
        </w:rPr>
        <w:t>й)</w:t>
      </w:r>
      <w:r>
        <w:rPr>
          <w:noProof/>
        </w:rPr>
        <w:tab/>
      </w:r>
      <w:r>
        <w:rPr>
          <w:b/>
          <w:noProof/>
          <w:szCs w:val="24"/>
        </w:rPr>
        <w:t>Цифрова трансформация в областта на здравеопазването:</w:t>
      </w:r>
    </w:p>
    <w:p>
      <w:pPr>
        <w:pStyle w:val="Point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 xml:space="preserve">подкрепа за въвеждането, експлоатацията и поддръжката на завършена, оперативно съвместима инфраструктура за цифрови услуги и процеси за осигуряване на качеството на данните за обмен, достъп, използване и повторно използване на данни; подкрепа за трансгранични дейности за изграждане на мрежи, включително чрез използване на електронни здравни досиета, регистри и други бази данни; 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подкрепа за цифровата трансформация на здравните грижи и на здравните системи, включително чрез използване на съпоставителни показатели и изграждане на капацитет за внедряване на иновативни инструменти и технологии; повишаване на уменията на здравните специалисти в областта на цифровите технологии;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подкрепа за въвеждането и оперативната съвместимост на цифрови инструменти и инфраструктури в рамките на държавите членки и между тях и с институциите и органите на Съюза; разработване на подходящи структури за управление и устойчиви, оперативно съвместими информационни системи на Съюза в областта на здравеопазването, като част от европейското пространство за здравни данни, и укрепване на достъпа и контрола на гражданите върху техните здравни данни;</w:t>
      </w:r>
    </w:p>
    <w:p>
      <w:pPr>
        <w:pStyle w:val="Point1"/>
        <w:rPr>
          <w:noProof/>
          <w:szCs w:val="24"/>
        </w:rPr>
      </w:pPr>
      <w:r>
        <w:rPr>
          <w:noProof/>
        </w:rPr>
        <w:t>iv)</w:t>
      </w:r>
      <w:r>
        <w:rPr>
          <w:noProof/>
        </w:rPr>
        <w:tab/>
        <w:t xml:space="preserve">подкрепа за оптималното използване на телемедицината/здравните грижи от разстояние, включително чрез сателитна комуникация за отдалечените райони, насърчаване на основаващи се на цифрови технологии организационни иновации в здравните заведения и популяризиране на цифрови инструменти за разширяване на правата на пациентите и за ориентирани към човека грижи. </w:t>
      </w:r>
    </w:p>
    <w:p>
      <w:pPr>
        <w:pStyle w:val="Point0"/>
        <w:rPr>
          <w:noProof/>
          <w:szCs w:val="24"/>
        </w:rPr>
      </w:pPr>
      <w:r>
        <w:rPr>
          <w:noProof/>
        </w:rPr>
        <w:t>к)</w:t>
      </w:r>
      <w:r>
        <w:rPr>
          <w:noProof/>
        </w:rPr>
        <w:tab/>
        <w:t>К</w:t>
      </w:r>
      <w:r>
        <w:rPr>
          <w:b/>
          <w:bCs/>
          <w:noProof/>
        </w:rPr>
        <w:t>омуникация и сътрудничество със заинтересованите страни</w:t>
      </w:r>
      <w:r>
        <w:rPr>
          <w:noProof/>
        </w:rPr>
        <w:t>, по-специално:</w:t>
      </w:r>
    </w:p>
    <w:p>
      <w:pPr>
        <w:pStyle w:val="Point1"/>
        <w:rPr>
          <w:noProof/>
          <w:szCs w:val="24"/>
        </w:rPr>
      </w:pPr>
      <w:r>
        <w:rPr>
          <w:noProof/>
        </w:rPr>
        <w:t>i)</w:t>
      </w:r>
      <w:r>
        <w:rPr>
          <w:noProof/>
        </w:rPr>
        <w:tab/>
        <w:t>комуникация, насочена към гражданите в контекста на управлението на риска и подготвеността при кризи;</w:t>
      </w:r>
    </w:p>
    <w:p>
      <w:pPr>
        <w:pStyle w:val="Point1"/>
        <w:rPr>
          <w:noProof/>
          <w:szCs w:val="24"/>
        </w:rPr>
      </w:pPr>
      <w:r>
        <w:rPr>
          <w:noProof/>
        </w:rPr>
        <w:t>ii)</w:t>
      </w:r>
      <w:r>
        <w:rPr>
          <w:noProof/>
        </w:rPr>
        <w:tab/>
        <w:t>комуникация, насочена към гражданите и заинтересованите страни, за популяризиране на действията на Съюза в областите, посочени в настоящото приложение;</w:t>
      </w:r>
    </w:p>
    <w:p>
      <w:pPr>
        <w:pStyle w:val="Point1"/>
        <w:rPr>
          <w:noProof/>
          <w:szCs w:val="24"/>
        </w:rPr>
      </w:pPr>
      <w:r>
        <w:rPr>
          <w:noProof/>
        </w:rPr>
        <w:t>iii)</w:t>
      </w:r>
      <w:r>
        <w:rPr>
          <w:noProof/>
        </w:rPr>
        <w:tab/>
        <w:t>комуникация за насърчаване на профилактиката на заболяванията и здравословния начин на живот, в сътрудничество с всички действащи лица в международен план, на равнището на Съюза и на национално равнище.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r>
        <w:rPr>
          <w:noProof/>
        </w:rPr>
        <w:t>ПРИЛОЖЕНИЕ II</w:t>
      </w:r>
    </w:p>
    <w:p>
      <w:pPr>
        <w:ind w:left="709" w:hanging="709"/>
        <w:jc w:val="center"/>
        <w:rPr>
          <w:b/>
          <w:bCs/>
          <w:noProof/>
        </w:rPr>
      </w:pPr>
      <w:r>
        <w:rPr>
          <w:b/>
          <w:bCs/>
          <w:noProof/>
        </w:rPr>
        <w:t>ПОКАЗАТЕЛИ ЗА ОЦЕНКА НА ПРОГРАМАТА</w:t>
      </w:r>
    </w:p>
    <w:p>
      <w:pPr>
        <w:pStyle w:val="Point0"/>
        <w:rPr>
          <w:rFonts w:cstheme="minorHAnsi"/>
          <w:noProof/>
          <w:szCs w:val="24"/>
          <w:u w:val="single"/>
        </w:rPr>
      </w:pPr>
      <w:r>
        <w:rPr>
          <w:noProof/>
        </w:rPr>
        <w:t>А.</w:t>
      </w:r>
      <w:r>
        <w:rPr>
          <w:noProof/>
        </w:rPr>
        <w:tab/>
      </w:r>
      <w:r>
        <w:rPr>
          <w:noProof/>
          <w:szCs w:val="24"/>
          <w:u w:val="single"/>
        </w:rPr>
        <w:t>Показатели по програмата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I.</w:t>
      </w:r>
      <w:r>
        <w:rPr>
          <w:noProof/>
        </w:rPr>
        <w:tab/>
        <w:t xml:space="preserve">Качество и изчерпателност на подготвеността и реакцията на ЕС и на държавите членки за сериозни трансгранични заплахи за здравето.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II.</w:t>
      </w:r>
      <w:r>
        <w:rPr>
          <w:noProof/>
        </w:rPr>
        <w:tab/>
        <w:t xml:space="preserve">Достъп до лекарства, разрешени централизирано, които да удовлетворят съответните потребности, напр. брой на разрешенията за лекарства сираци, лекарствени продукти за модерна терапия, педиатрични лекарствени продукти или ваксини.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III.</w:t>
      </w:r>
      <w:r>
        <w:rPr>
          <w:noProof/>
        </w:rPr>
        <w:tab/>
        <w:t xml:space="preserve">Брой на действията и най-добри практики, допринасящи пряко за ЦУР 3.4/държава членка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IV.</w:t>
      </w:r>
      <w:r>
        <w:rPr>
          <w:noProof/>
        </w:rPr>
        <w:tab/>
        <w:t xml:space="preserve">Прилагане на най-добри практики от държавите — членки на ЕС </w:t>
      </w:r>
    </w:p>
    <w:p>
      <w:pPr>
        <w:rPr>
          <w:rFonts w:cstheme="minorHAnsi"/>
          <w:noProof/>
          <w:szCs w:val="24"/>
          <w:u w:val="single"/>
        </w:rPr>
      </w:pPr>
    </w:p>
    <w:p>
      <w:pPr>
        <w:pStyle w:val="Point0"/>
        <w:rPr>
          <w:rFonts w:cstheme="minorHAnsi"/>
          <w:noProof/>
          <w:szCs w:val="24"/>
          <w:u w:val="single"/>
        </w:rPr>
      </w:pPr>
      <w:r>
        <w:rPr>
          <w:noProof/>
        </w:rPr>
        <w:t>Б.</w:t>
      </w:r>
      <w:r>
        <w:rPr>
          <w:noProof/>
        </w:rPr>
        <w:tab/>
      </w:r>
      <w:r>
        <w:rPr>
          <w:noProof/>
          <w:szCs w:val="24"/>
          <w:u w:val="single"/>
        </w:rPr>
        <w:t>Следните показатели ще се използват и за наблюдение на изпълнението на програмата: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1.</w:t>
      </w:r>
      <w:r>
        <w:rPr>
          <w:noProof/>
        </w:rPr>
        <w:tab/>
        <w:t xml:space="preserve">Брой на държавите членки с по-добра подготвеност и планиране на ответни действия.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2.</w:t>
      </w:r>
      <w:r>
        <w:rPr>
          <w:noProof/>
        </w:rPr>
        <w:tab/>
        <w:t xml:space="preserve">Ваксини, лекарства, медицински изделия и други мерки за противодействие по време на кризи [предоставени по вид и по държава членка].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3.</w:t>
      </w:r>
      <w:r>
        <w:rPr>
          <w:noProof/>
        </w:rPr>
        <w:tab/>
        <w:t xml:space="preserve">Брой на разпределените дози ваксини.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4.</w:t>
      </w:r>
      <w:r>
        <w:rPr>
          <w:noProof/>
        </w:rPr>
        <w:tab/>
        <w:t xml:space="preserve">Брой на субектите, които се ползват от лекарствата и медицинските изделия. </w:t>
      </w:r>
    </w:p>
    <w:p>
      <w:pPr>
        <w:pStyle w:val="Point1"/>
        <w:rPr>
          <w:noProof/>
        </w:rPr>
      </w:pPr>
      <w:r>
        <w:rPr>
          <w:noProof/>
        </w:rPr>
        <w:t>5.</w:t>
      </w:r>
      <w:r>
        <w:rPr>
          <w:noProof/>
        </w:rPr>
        <w:tab/>
        <w:t>Индекс на лабораторния капацитет на ЕС (EULabCap).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6.</w:t>
      </w:r>
      <w:r>
        <w:rPr>
          <w:noProof/>
        </w:rPr>
        <w:tab/>
        <w:t xml:space="preserve">Нетен процент на излекуваните за период от пет години, стандартизирано по възраст, от рак на маточната шийка, рак на гърдата и рак на дебелото черво.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7.</w:t>
      </w:r>
      <w:r>
        <w:rPr>
          <w:noProof/>
        </w:rPr>
        <w:tab/>
        <w:t xml:space="preserve">Съотношение между регистрите на раковите заболявания и броя на държавите членки, които съобщават информация за стадия на заболяването в момента на диагнозата по отношение на рака на маточната шийка, рака на гърдата и рака на дебелото черво.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8.</w:t>
      </w:r>
      <w:r>
        <w:rPr>
          <w:noProof/>
        </w:rPr>
        <w:tab/>
        <w:t xml:space="preserve">Разпространение на тютюнопушенето.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9.</w:t>
      </w:r>
      <w:r>
        <w:rPr>
          <w:noProof/>
        </w:rPr>
        <w:tab/>
        <w:t xml:space="preserve">Брой на лекарствените продукти, за които има недостиг в мрежата при единните звена за контакт.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10.</w:t>
      </w:r>
      <w:r>
        <w:rPr>
          <w:noProof/>
        </w:rPr>
        <w:tab/>
        <w:t xml:space="preserve">Достъп до лекарства, разрешени централизирано, които да удовлетворяват съответните потребност.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11.</w:t>
      </w:r>
      <w:r>
        <w:rPr>
          <w:noProof/>
        </w:rPr>
        <w:tab/>
        <w:t xml:space="preserve">Брой на одитите, извършени в ЕС и в трети държави, за гарантиране на добри производствени и клинични практики (контрол от страна на Съюза). </w:t>
      </w:r>
    </w:p>
    <w:p>
      <w:pPr>
        <w:pStyle w:val="Point1"/>
        <w:rPr>
          <w:noProof/>
        </w:rPr>
      </w:pPr>
      <w:r>
        <w:rPr>
          <w:noProof/>
        </w:rPr>
        <w:t>12.</w:t>
      </w:r>
      <w:r>
        <w:rPr>
          <w:noProof/>
        </w:rPr>
        <w:tab/>
        <w:t>Смъртни случаи, които се дължат на резистентни на антимикробни средства инфекции.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13.</w:t>
      </w:r>
      <w:r>
        <w:rPr>
          <w:noProof/>
        </w:rPr>
        <w:tab/>
        <w:t xml:space="preserve">Брой на болничните отделения, участващи в Европейските референтни мрежи (ЕРМ), и брой на пациентите, диагностицирани и лекувани в членуващи в ЕРМ отделения </w:t>
      </w:r>
    </w:p>
    <w:p>
      <w:pPr>
        <w:pStyle w:val="Point1"/>
        <w:rPr>
          <w:rFonts w:cstheme="minorHAnsi"/>
          <w:noProof/>
          <w:szCs w:val="24"/>
        </w:rPr>
      </w:pPr>
      <w:r>
        <w:rPr>
          <w:noProof/>
        </w:rPr>
        <w:t>14.</w:t>
      </w:r>
      <w:r>
        <w:rPr>
          <w:noProof/>
        </w:rPr>
        <w:tab/>
        <w:t>Брой на съвместните доклади за оценка на здравните технологии.</w:t>
      </w: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670ED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B4C4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23E43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21888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6CE53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D3662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3BC32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220D8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09:20: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132169B9-527F-45D1-A9D2-761EFA162ED7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Font=Calibri Cyr&gt;\u1079?\u1072? \u1089?\u1098?\u1079?\u1076?\u1072?\u1074?\u1072?\u1085?\u1077? \u1085?\u1072? \u1087?\u1088?\u1086?\u1075?\u1088?\u1072?\u1084?\u1072? \u1079?\u1072? \u1076?\u1077?\u1081?\u1089?\u1090?\u1074?\u1080?\u1103?\u1090?\u1072? \u1085?\u1072? \u1057?\u1098?\u1102?\u1079?\u1072? \u1074? \u1086?\u1073?\u1083?\u1072?\u1089?\u1090?\u1090?\u1072? \u1085?\u1072? \u1079?\u1076?\u1088?\u1072?\u1074?\u1077?\u1090?\u1086? \u1079?\u1072? \u1087?\u1077?\u1088?\u1080?\u1086?\u1076?\u1072? 2021\u8212?2027 \u1075?. \u1080? \u1079?\u1072? \u1086?\u1090?\u1084?\u1103?\u1085?\u1072? \u1085?\u1072? \u1056?\u1077?\u1075?\u1083?\u1072?\u1084?\u1077?\u1085?\u1090? (\u1045?\u1057?) \u8470? 282/2014 (\u1087?\u1088?\u1086?\u1075?\u1088?\u1072?\u1084?\u1072? \u8222?\u1045?\u1057? \u1074? \u1087?\u1086?\u1076?\u1082?\u1088?\u1077?\u1087?\u1072? \u1085?\u1072? \u1079?\u1076?\u1088?\u1072?\u1074?\u1077?\u1090?\u1086?\u8220?)&lt;/FMT&gt;"/>
    <w:docVar w:name="LW_OBJETACTEPRINCIPAL.CP" w:val="&lt;FMT:Font=Calibri Cyr&gt;\u1079?\u1072? \u1089?\u1098?\u1079?\u1076?\u1072?\u1074?\u1072?\u1085?\u1077? \u1085?\u1072? \u1087?\u1088?\u1086?\u1075?\u1088?\u1072?\u1084?\u1072? \u1079?\u1072? \u1076?\u1077?\u1081?\u1089?\u1090?\u1074?\u1080?\u1103?\u1090?\u1072? \u1085?\u1072? \u1057?\u1098?\u1102?\u1079?\u1072? \u1074? \u1086?\u1073?\u1083?\u1072?\u1089?\u1090?\u1090?\u1072? \u1085?\u1072? \u1079?\u1076?\u1088?\u1072?\u1074?\u1077?\u1090?\u1086? \u1079?\u1072? \u1087?\u1077?\u1088?\u1080?\u1086?\u1076?\u1072? 2021\u8212?2027 \u1075?. \u1080? \u1079?\u1072? \u1086?\u1090?\u1084?\u1103?\u1085?\u1072? \u1085?\u1072? \u1056?\u1077?\u1075?\u1083?\u1072?\u1084?\u1077?\u1085?\u1090? (\u1045?\u1057?) \u8470? 282/2014 (\u1087?\u1088?\u1086?\u1075?\u1088?\u1072?\u1084?\u1072? \u8222?\u1045?\u1057? \u1074? \u1087?\u1086?\u1076?\u1082?\u1088?\u1077?\u1087?\u1072? \u1085?\u1072? \u1079?\u1076?\u1088?\u1072?\u1074?\u1077?\u1090?\u1086?\u8220?)&lt;/FMT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4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SParagraphTitle">
    <w:name w:val="PS_Paragraph_Title"/>
    <w:basedOn w:val="Normal"/>
    <w:link w:val="PSParagraphTitleChar"/>
    <w:qFormat/>
    <w:rPr>
      <w:rFonts w:eastAsia="Times New Roman"/>
      <w:b/>
      <w:i/>
      <w:sz w:val="20"/>
      <w:szCs w:val="20"/>
      <w:lang w:eastAsia="en-GB"/>
    </w:rPr>
  </w:style>
  <w:style w:type="character" w:customStyle="1" w:styleId="PSParagraphTitleChar">
    <w:name w:val="PS_Paragraph_Title Char"/>
    <w:basedOn w:val="DefaultParagraphFont"/>
    <w:link w:val="PSParagraphTitle"/>
    <w:rPr>
      <w:rFonts w:ascii="Times New Roman" w:eastAsia="Times New Roman" w:hAnsi="Times New Roman" w:cs="Times New Roman"/>
      <w:b/>
      <w:i/>
      <w:sz w:val="20"/>
      <w:szCs w:val="20"/>
      <w:lang w:val="bg-BG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customStyle="1" w:styleId="st">
    <w:name w:val="st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SParagraphTitle">
    <w:name w:val="PS_Paragraph_Title"/>
    <w:basedOn w:val="Normal"/>
    <w:link w:val="PSParagraphTitleChar"/>
    <w:qFormat/>
    <w:rPr>
      <w:rFonts w:eastAsia="Times New Roman"/>
      <w:b/>
      <w:i/>
      <w:sz w:val="20"/>
      <w:szCs w:val="20"/>
      <w:lang w:eastAsia="en-GB"/>
    </w:rPr>
  </w:style>
  <w:style w:type="character" w:customStyle="1" w:styleId="PSParagraphTitleChar">
    <w:name w:val="PS_Paragraph_Title Char"/>
    <w:basedOn w:val="DefaultParagraphFont"/>
    <w:link w:val="PSParagraphTitle"/>
    <w:rPr>
      <w:rFonts w:ascii="Times New Roman" w:eastAsia="Times New Roman" w:hAnsi="Times New Roman" w:cs="Times New Roman"/>
      <w:b/>
      <w:i/>
      <w:sz w:val="20"/>
      <w:szCs w:val="20"/>
      <w:lang w:val="bg-BG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customStyle="1" w:styleId="st">
    <w:name w:val="st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9</Pages>
  <Words>2324</Words>
  <Characters>14248</Characters>
  <Application>Microsoft Office Word</Application>
  <DocSecurity>0</DocSecurity>
  <Lines>303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2020-06-01T10:41:00Z</dcterms:created>
  <dcterms:modified xsi:type="dcterms:W3CDTF">2020-06-02T07:20:00Z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First annex">
    <vt:lpwstr>1</vt:lpwstr>
  </property>
  <property fmtid="{D5CDD505-2E9C-101B-9397-08002B2CF9AE}" pid="5" name="Last annex">
    <vt:lpwstr>2</vt:lpwstr>
  </property>
  <property fmtid="{D5CDD505-2E9C-101B-9397-08002B2CF9AE}" pid="6" name="Unique annex">
    <vt:lpwstr>0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SG-017</vt:lpwstr>
  </property>
  <property fmtid="{D5CDD505-2E9C-101B-9397-08002B2CF9AE}" pid="10" name="DQCStatus">
    <vt:lpwstr>Green (DQC version 03)</vt:lpwstr>
  </property>
  <property fmtid="{D5CDD505-2E9C-101B-9397-08002B2CF9AE}" pid="11" name="Category">
    <vt:lpwstr>COM/ANNEX</vt:lpwstr>
  </property>
</Properties>
</file>