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AA497487-F270-41FE-8AA0-7624B65CEB61" style="width:450.75pt;height:338.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Coronavirus disease outbreak ("COVID-19") has been declared as a pandemic by the World Health Organization (WHO) on 11 March 2020. Since then, countries across the world have adopted extraordinary measures to respond to and contain the outbreak.</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COVID-19 pandemic crisis is having a major impact on societies around the globe, starting with health systems, and moving to severe global social and economic consequences. This poses important challenge to third countries with weak institutions and/or facing conflicts or other crises such as natural disasters. Vulnerable groups including refugees and displaced persons may be in particular risk. The response strategy of the Union should be comprehensive, coherent and integrated, tackling the public health and the socio-economic challenges as well as responding to immediate humanitarian needs created or aggravated by the pandemic.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exceptional situation calls for a coherent and unified approach at the level of the Union. Therefore, substantial amounts of public and private investment are needed to find solutions to the challenges of the COVID-19 outbreak.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therefore proposes an ambitious package </w:t>
      </w:r>
      <w:r>
        <w:rPr>
          <w:rFonts w:eastAsia="Arial Unicode MS"/>
          <w:noProof/>
          <w:lang w:val="en-US"/>
        </w:rPr>
        <w:t>including a proposal</w:t>
      </w:r>
      <w:r>
        <w:rPr>
          <w:rFonts w:eastAsia="Arial Unicode MS"/>
          <w:noProof/>
        </w:rPr>
        <w:t xml:space="preserve"> to establish a European Union Recovery Instrument. </w:t>
      </w:r>
      <w:r>
        <w:rPr>
          <w:noProof/>
        </w:rPr>
        <w:t xml:space="preserve">In addition to the support to economies both within the EU as well as in third countries, the instrument should also reinforce EU humanitarian assistance and </w:t>
      </w:r>
      <w:r>
        <w:rPr>
          <w:rFonts w:eastAsia="Arial Unicode MS"/>
          <w:noProof/>
        </w:rPr>
        <w:t xml:space="preserve">support capacity building to enhance future crisis prevention and preparedness.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is proposed that those measures are carried out under specific Union instruments and programmes in accordance with the relevant Union acts laying down rules for those instruments and programmes. </w:t>
      </w:r>
    </w:p>
    <w:p>
      <w:pPr>
        <w:autoSpaceDE w:val="0"/>
        <w:autoSpaceDN w:val="0"/>
        <w:adjustRightInd w:val="0"/>
        <w:spacing w:before="0" w:after="0"/>
        <w:rPr>
          <w:rFonts w:eastAsia="Arial Unicode MS"/>
          <w:bCs/>
          <w:noProof/>
        </w:rPr>
      </w:pPr>
      <w:r>
        <w:rPr>
          <w:rFonts w:eastAsia="Arial Unicode MS"/>
          <w:noProof/>
        </w:rPr>
        <w:t xml:space="preserve">It is therefore necessary to enable the implementation of those measures through the delivery mechanisms under </w:t>
      </w:r>
      <w:r>
        <w:rPr>
          <w:rFonts w:eastAsia="Arial Unicode MS"/>
          <w:bCs/>
          <w:noProof/>
        </w:rPr>
        <w:t>Regulation (</w:t>
      </w:r>
      <w:r>
        <w:rPr>
          <w:rFonts w:eastAsia="Arial Unicode MS"/>
          <w:noProof/>
        </w:rPr>
        <w:t>EC</w:t>
      </w:r>
      <w:r>
        <w:rPr>
          <w:rFonts w:eastAsia="Arial Unicode MS"/>
          <w:bCs/>
          <w:noProof/>
        </w:rPr>
        <w:t>) No 1257/96 of 20 June 1996 concerning humanitarian aid.</w:t>
      </w:r>
    </w:p>
    <w:p>
      <w:pPr>
        <w:autoSpaceDE w:val="0"/>
        <w:autoSpaceDN w:val="0"/>
        <w:adjustRightInd w:val="0"/>
        <w:spacing w:before="0" w:after="0"/>
        <w:jc w:val="left"/>
        <w:rPr>
          <w:rFonts w:eastAsia="Arial Unicode MS"/>
          <w:bCs/>
          <w:noProof/>
        </w:rPr>
      </w:pP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spacing w:before="0" w:after="0"/>
        <w:rPr>
          <w:rFonts w:eastAsia="Arial Unicode MS"/>
          <w:noProof/>
        </w:rPr>
      </w:pPr>
      <w:r>
        <w:rPr>
          <w:rFonts w:eastAsia="Arial Unicode MS"/>
          <w:noProof/>
        </w:rPr>
        <w:t xml:space="preserve">EU action is justified by Article 214(3) of the Treaty on the Functioning of the European Union. </w:t>
      </w:r>
    </w:p>
    <w:p>
      <w:pPr>
        <w:autoSpaceDE w:val="0"/>
        <w:autoSpaceDN w:val="0"/>
        <w:adjustRightInd w:val="0"/>
        <w:spacing w:before="0" w:after="0"/>
        <w:jc w:val="left"/>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and proportionality </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The explanatory memorandum of the proposal for the Regulation establishing the European Union Recovery Instrument details the subsidiarity and proportionality considerations.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autoSpaceDE w:val="0"/>
        <w:autoSpaceDN w:val="0"/>
        <w:adjustRightInd w:val="0"/>
        <w:spacing w:before="0" w:after="0"/>
        <w:rPr>
          <w:rFonts w:eastAsia="Arial Unicode MS"/>
          <w:bCs/>
          <w:noProof/>
        </w:rPr>
      </w:pPr>
      <w:r>
        <w:rPr>
          <w:rFonts w:eastAsia="Arial Unicode MS"/>
          <w:noProof/>
        </w:rPr>
        <w:t xml:space="preserve">This regulation amends </w:t>
      </w:r>
      <w:r>
        <w:rPr>
          <w:rFonts w:eastAsia="Arial Unicode MS"/>
          <w:bCs/>
          <w:noProof/>
        </w:rPr>
        <w:t>Regulation (</w:t>
      </w:r>
      <w:r>
        <w:rPr>
          <w:rFonts w:eastAsia="Arial Unicode MS"/>
          <w:noProof/>
        </w:rPr>
        <w:t>EC</w:t>
      </w:r>
      <w:r>
        <w:rPr>
          <w:rFonts w:eastAsia="Arial Unicode MS"/>
          <w:bCs/>
          <w:noProof/>
        </w:rPr>
        <w:t>) No 1257/96 of 20 June 1996 concerning humanitarian aid.</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ManualHeading2"/>
        <w:tabs>
          <w:tab w:val="clear" w:pos="850"/>
          <w:tab w:val="left" w:pos="0"/>
        </w:tabs>
        <w:ind w:left="0" w:firstLine="0"/>
        <w:rPr>
          <w:rFonts w:eastAsia="Arial Unicode MS"/>
          <w:b w:val="0"/>
          <w:noProof/>
          <w:u w:color="000000"/>
          <w:bdr w:val="nil"/>
          <w:lang w:val="en-US" w:eastAsia="en-GB"/>
        </w:rPr>
      </w:pPr>
      <w:r>
        <w:rPr>
          <w:b w:val="0"/>
          <w:noProof/>
          <w:lang w:val="en-US" w:eastAsia="en-GB"/>
        </w:rPr>
        <w:t xml:space="preserve"> The Annex 8 of the Commission staff working document SWD(2018) 337 final</w:t>
      </w:r>
      <w:r>
        <w:rPr>
          <w:rStyle w:val="FootnoteReference"/>
          <w:b w:val="0"/>
          <w:noProof/>
          <w:lang w:val="en-US" w:eastAsia="en-GB"/>
        </w:rPr>
        <w:footnoteReference w:id="2"/>
      </w:r>
      <w:r>
        <w:rPr>
          <w:b w:val="0"/>
          <w:noProof/>
          <w:lang w:val="en-US" w:eastAsia="en-GB"/>
        </w:rPr>
        <w:t xml:space="preserve"> provides additional information. Additional i</w:t>
      </w:r>
      <w:r>
        <w:rPr>
          <w:rFonts w:eastAsia="Arial Unicode MS"/>
          <w:b w:val="0"/>
          <w:noProof/>
          <w:u w:color="000000"/>
          <w:bdr w:val="nil"/>
          <w:lang w:val="en-US" w:eastAsia="en-GB"/>
        </w:rPr>
        <w:t>nformation on stakeholder consultations on humanitarian aid is also available on internet</w:t>
      </w:r>
      <w:r>
        <w:rPr>
          <w:rStyle w:val="FootnoteReference"/>
          <w:rFonts w:eastAsia="Arial Unicode MS"/>
          <w:b w:val="0"/>
          <w:noProof/>
          <w:u w:color="000000"/>
          <w:bdr w:val="nil"/>
          <w:lang w:val="en-US" w:eastAsia="en-GB"/>
        </w:rPr>
        <w:footnoteReference w:id="3"/>
      </w:r>
      <w:r>
        <w:rPr>
          <w:rFonts w:eastAsia="Arial Unicode MS"/>
          <w:b w:val="0"/>
          <w:noProof/>
          <w:u w:color="000000"/>
          <w:bdr w:val="nil"/>
          <w:lang w:val="en-US" w:eastAsia="en-GB"/>
        </w:rPr>
        <w:t>.</w:t>
      </w:r>
    </w:p>
    <w:p>
      <w:pPr>
        <w:pStyle w:val="ManualHeading2"/>
        <w:rPr>
          <w:rFonts w:eastAsia="Arial Unicode MS"/>
          <w:noProof/>
          <w:u w:color="000000"/>
          <w:bdr w:val="nil"/>
          <w:lang w:val="en-US"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Evaluations and impact assessments</w:t>
      </w:r>
    </w:p>
    <w:p>
      <w:pPr>
        <w:pStyle w:val="ManualHeading1"/>
        <w:ind w:left="0" w:firstLine="0"/>
        <w:rPr>
          <w:b w:val="0"/>
          <w:smallCaps w:val="0"/>
          <w:noProof/>
          <w:lang w:val="en-US" w:eastAsia="en-GB"/>
        </w:rPr>
      </w:pPr>
      <w:r>
        <w:rPr>
          <w:b w:val="0"/>
          <w:smallCaps w:val="0"/>
          <w:noProof/>
          <w:lang w:val="en-US" w:eastAsia="en-GB"/>
        </w:rPr>
        <w:t>The Annex 8 of the Commission staff working document SWD(2018) 337 final provides additional information. Evaluations of humanitarian aid are also regularly carried out and are available on internet.</w:t>
      </w:r>
      <w:r>
        <w:rPr>
          <w:rStyle w:val="FootnoteReference"/>
          <w:b w:val="0"/>
          <w:smallCaps w:val="0"/>
          <w:noProof/>
          <w:lang w:val="en-US" w:eastAsia="en-GB"/>
        </w:rPr>
        <w:footnoteReference w:id="4"/>
      </w:r>
      <w:r>
        <w:rPr>
          <w:rStyle w:val="CommentReference"/>
          <w:rFonts w:eastAsia="Times New Roman"/>
          <w:b w:val="0"/>
          <w:smallCaps w:val="0"/>
          <w:noProof/>
          <w:lang w:eastAsia="en-GB"/>
        </w:rPr>
        <w:t xml:space="preserve">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Union will make available financing for the implementation of the Humanitarian Aid Programme.  An amount of  EUR 5 468 000 000 (in current prices) will</w:t>
      </w:r>
      <w:r>
        <w:rPr>
          <w:noProof/>
          <w:szCs w:val="24"/>
          <w:shd w:val="clear" w:color="auto" w:fill="FFFFFF"/>
        </w:rPr>
        <w:t xml:space="preserve"> derive from financing from the European Union Recovery Instrument.</w:t>
      </w:r>
    </w:p>
    <w:p>
      <w:pPr>
        <w:pBdr>
          <w:top w:val="nil"/>
          <w:left w:val="nil"/>
          <w:bottom w:val="nil"/>
          <w:right w:val="nil"/>
          <w:between w:val="nil"/>
          <w:bar w:val="nil"/>
        </w:pBdr>
        <w:spacing w:before="0" w:after="240"/>
        <w:rPr>
          <w:rFonts w:eastAsia="Arial Unicode MS"/>
          <w:noProof/>
        </w:rPr>
      </w:pPr>
      <w:r>
        <w:rPr>
          <w:rFonts w:eastAsia="Arial Unicode MS"/>
          <w:noProof/>
        </w:rPr>
        <w:t>More details on the budgetary implications are provided in the Legislative Financial Statement.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autoSpaceDE w:val="0"/>
        <w:autoSpaceDN w:val="0"/>
        <w:adjustRightInd w:val="0"/>
        <w:spacing w:before="0" w:after="0"/>
        <w:rPr>
          <w:rFonts w:eastAsia="Arial Unicode MS"/>
          <w:bCs/>
          <w:noProof/>
        </w:rPr>
      </w:pPr>
      <w:r>
        <w:rPr>
          <w:rFonts w:eastAsia="Arial Unicode MS"/>
          <w:noProof/>
        </w:rPr>
        <w:t xml:space="preserve">The legal framework consists of targeted modifications to </w:t>
      </w:r>
      <w:r>
        <w:rPr>
          <w:rFonts w:eastAsia="Arial Unicode MS"/>
          <w:bCs/>
          <w:noProof/>
        </w:rPr>
        <w:t>Regulation (</w:t>
      </w:r>
      <w:r>
        <w:rPr>
          <w:rFonts w:eastAsia="Arial Unicode MS"/>
          <w:noProof/>
        </w:rPr>
        <w:t>E</w:t>
      </w:r>
      <w:r>
        <w:rPr>
          <w:rFonts w:eastAsia="Arial Unicode MS"/>
          <w:bCs/>
          <w:noProof/>
        </w:rPr>
        <w:t>C) No 1257/96 of 20 June 1996 concerning humanitarian aid.</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noProof/>
        </w:rPr>
      </w:pPr>
      <w:r>
        <w:rPr>
          <w:rFonts w:eastAsia="Arial Unicode MS"/>
          <w:noProof/>
        </w:rPr>
        <w:t xml:space="preserve">The main amendments introduced aim at:  </w:t>
      </w:r>
    </w:p>
    <w:p>
      <w:pPr>
        <w:pStyle w:val="Tiret0"/>
        <w:numPr>
          <w:ilvl w:val="0"/>
          <w:numId w:val="17"/>
        </w:numPr>
        <w:rPr>
          <w:noProof/>
        </w:rPr>
      </w:pPr>
      <w:r>
        <w:rPr>
          <w:noProof/>
        </w:rPr>
        <w:t>Enabling the implementation of the measures laid down in the proposal for Regulation establishing a European Union Recovery Instrument through the delivery mechanisms of Humanitarian Aid;</w:t>
      </w:r>
    </w:p>
    <w:p>
      <w:pPr>
        <w:pStyle w:val="Tiret0"/>
        <w:rPr>
          <w:noProof/>
        </w:rPr>
      </w:pPr>
      <w:r>
        <w:rPr>
          <w:noProof/>
        </w:rPr>
        <w:t>Enabling financing from the European Union Recovery Instrument as external assigned revenues in accordance with Article 21(5) of the Financial Regulation;</w:t>
      </w:r>
    </w:p>
    <w:p>
      <w:pPr>
        <w:pStyle w:val="Tiret0"/>
        <w:rPr>
          <w:noProof/>
        </w:rPr>
      </w:pPr>
      <w:r>
        <w:rPr>
          <w:noProof/>
        </w:rPr>
        <w:t>Ensuring compliance with the targeted deadlines laid down in Article 4 of the proposal for Regulation establishing a European Union Recovery Instrument through proper cross-referencing;</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amending Regulation (EC) N° 1257/96 of 20 June 1996 concerning Humanitarian Aid       </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214(3)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Covid-19 pandemic crisis is having a major impact on societies around the globe, starting with health systems, and moving to severe global social and economic consequences </w:t>
      </w:r>
      <w:r>
        <w:rPr>
          <w:rFonts w:eastAsia="Arial Unicode MS"/>
          <w:noProof/>
        </w:rPr>
        <w:t>as well as creating and aggravating humanitarian needs.</w:t>
      </w:r>
      <w:r>
        <w:rPr>
          <w:noProof/>
        </w:rPr>
        <w:t xml:space="preserve"> </w:t>
      </w:r>
    </w:p>
    <w:p>
      <w:pPr>
        <w:pStyle w:val="ManualConsidrant"/>
        <w:rPr>
          <w:noProof/>
        </w:rPr>
      </w:pPr>
      <w:r>
        <w:t>(2)</w:t>
      </w:r>
      <w:r>
        <w:tab/>
      </w:r>
      <w:r>
        <w:rPr>
          <w:noProof/>
        </w:rPr>
        <w:t xml:space="preserve">Third countries with weak state institutions are particularly vulnerable to the impact of the pandemic. This will lead/has led to a rising demand on </w:t>
      </w:r>
      <w:r>
        <w:rPr>
          <w:rStyle w:val="highlight"/>
          <w:noProof/>
        </w:rPr>
        <w:t>humanitarian</w:t>
      </w:r>
      <w:r>
        <w:rPr>
          <w:noProof/>
        </w:rPr>
        <w:t xml:space="preserve"> actors to provide an immediate, effective, efficient and coherent response and to support third country local communities. The response strategy of the Union should be comprehensive, coherent and integrated, tackling the public health, the socio-economic challenges as well as addressing humanitarian challenges. In particular, vulnerable countries and populations are at risk and in need of assistance, relief and protection.     </w:t>
      </w:r>
    </w:p>
    <w:p>
      <w:pPr>
        <w:pStyle w:val="ManualConsidrant"/>
        <w:rPr>
          <w:noProof/>
        </w:rPr>
      </w:pPr>
      <w:r>
        <w:t>(3)</w:t>
      </w:r>
      <w:r>
        <w:tab/>
      </w:r>
      <w:r>
        <w:rPr>
          <w:noProof/>
        </w:rPr>
        <w:t>In accordance with Regulation [European Union Recovery Instrument] and within the limits of resources allocated therein, recovery and resilience measures under Humanitarian Aid should be carried out to address the unprecedented impact of the COVID-19 crisis.  Such additional resources should be used in such a way as to ensure compliance with the time limits provided for in Regulation [ERI].   </w:t>
      </w:r>
    </w:p>
    <w:p>
      <w:pPr>
        <w:pStyle w:val="ManualConsidrant"/>
        <w:rPr>
          <w:noProof/>
        </w:rPr>
      </w:pPr>
      <w:r>
        <w:t>(4)</w:t>
      </w:r>
      <w:r>
        <w:tab/>
      </w:r>
      <w:r>
        <w:rPr>
          <w:noProof/>
        </w:rPr>
        <w:t xml:space="preserve">Regulation (EC) </w:t>
      </w:r>
      <w:r>
        <w:rPr>
          <w:rFonts w:eastAsia="Arial Unicode MS"/>
          <w:bCs/>
          <w:noProof/>
        </w:rPr>
        <w:t xml:space="preserve">1257/96 </w:t>
      </w:r>
      <w:r>
        <w:rPr>
          <w:noProof/>
        </w:rPr>
        <w:t>should therefore be amended accordingly,</w:t>
      </w:r>
    </w:p>
    <w:p>
      <w:pPr>
        <w:rPr>
          <w:noProof/>
        </w:rPr>
      </w:pP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 xml:space="preserve">Regulation (EC) </w:t>
      </w:r>
      <w:r>
        <w:rPr>
          <w:rFonts w:eastAsia="Arial Unicode MS"/>
          <w:bCs/>
          <w:noProof/>
        </w:rPr>
        <w:t xml:space="preserve">1257/96 </w:t>
      </w:r>
      <w:r>
        <w:rPr>
          <w:noProof/>
        </w:rPr>
        <w:t>is amended as follows:</w:t>
      </w:r>
    </w:p>
    <w:p>
      <w:pPr>
        <w:rPr>
          <w:noProof/>
          <w:lang w:val="en-US"/>
        </w:rPr>
      </w:pPr>
    </w:p>
    <w:p>
      <w:pPr>
        <w:pStyle w:val="Point0"/>
        <w:rPr>
          <w:noProof/>
          <w:lang w:val="en-US"/>
        </w:rPr>
      </w:pPr>
      <w:r>
        <w:t>(1)</w:t>
      </w:r>
      <w:r>
        <w:tab/>
      </w:r>
      <w:r>
        <w:rPr>
          <w:noProof/>
          <w:lang w:val="en-US"/>
        </w:rPr>
        <w:t>Article 14a is inserted:</w:t>
      </w:r>
    </w:p>
    <w:p>
      <w:pPr>
        <w:pStyle w:val="Text1"/>
        <w:rPr>
          <w:noProof/>
        </w:rPr>
      </w:pPr>
      <w:r>
        <w:rPr>
          <w:noProof/>
        </w:rPr>
        <w:t>Article 14a</w:t>
      </w:r>
    </w:p>
    <w:p>
      <w:pPr>
        <w:pStyle w:val="Text1"/>
        <w:rPr>
          <w:b/>
          <w:noProof/>
        </w:rPr>
      </w:pPr>
      <w:r>
        <w:rPr>
          <w:b/>
          <w:noProof/>
        </w:rPr>
        <w:t>Resources from the European Union Recovery Instrument</w:t>
      </w:r>
    </w:p>
    <w:p>
      <w:pPr>
        <w:pStyle w:val="Text1"/>
        <w:rPr>
          <w:noProof/>
        </w:rPr>
      </w:pPr>
      <w:r>
        <w:rPr>
          <w:noProof/>
        </w:rPr>
        <w:lastRenderedPageBreak/>
        <w:t>Measures referred to in Article 2 of Regulation [ERI] shall be implemented under this Programme through amounts referred to in point (vii) of Article 3(2)(a) of that Regulation, subject to its Article 4</w:t>
      </w:r>
      <w:r>
        <w:rPr>
          <w:noProof/>
          <w:lang w:val="en-US"/>
        </w:rPr>
        <w:t xml:space="preserve">(4) </w:t>
      </w:r>
      <w:r>
        <w:rPr>
          <w:noProof/>
        </w:rPr>
        <w:t xml:space="preserve">and (8).  </w:t>
      </w:r>
    </w:p>
    <w:p>
      <w:pPr>
        <w:pStyle w:val="Text1"/>
        <w:rPr>
          <w:noProof/>
        </w:rPr>
      </w:pPr>
      <w:r>
        <w:rPr>
          <w:noProof/>
        </w:rPr>
        <w:t>These amounts shall constitute external assigned revenue in accordance with Article 21(5) of Regulation the Financial Regulation.”</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bookmarkStart w:id="1" w:name="_Toc514941970" w:displacedByCustomXml="next"/>
    <w:sdt>
      <w:sdtPr>
        <w:rPr>
          <w:b w:val="0"/>
          <w:noProof/>
          <w:color w:val="008000"/>
          <w:u w:val="none"/>
        </w:rPr>
        <w:id w:val="-1693053952"/>
        <w:docPartObj>
          <w:docPartGallery w:val="Table of Contents"/>
          <w:docPartUnique/>
        </w:docPartObj>
      </w:sdtPr>
      <w:sdtEndPr>
        <w:rPr>
          <w:bCs/>
          <w:color w:val="auto"/>
        </w:rPr>
      </w:sdtEndPr>
      <w:sdtContent>
        <w:p>
          <w:pPr>
            <w:pStyle w:val="Fichefinanciretitre"/>
            <w:rPr>
              <w:noProof/>
            </w:rPr>
          </w:pPr>
          <w:r>
            <w:rPr>
              <w:noProof/>
            </w:rPr>
            <w:t xml:space="preserve">LEGISLATIVE FINANCIAL STATEMENT </w:t>
          </w:r>
        </w:p>
        <w:p>
          <w:pPr>
            <w:pStyle w:val="TOC1"/>
            <w:rPr>
              <w:rFonts w:asciiTheme="minorHAnsi" w:eastAsiaTheme="minorEastAsia" w:hAnsiTheme="minorHAnsi" w:cstheme="minorBidi"/>
              <w:noProof/>
              <w:sz w:val="22"/>
              <w:lang w:val="en-US"/>
            </w:rPr>
          </w:pPr>
          <w:r>
            <w:rPr>
              <w:bCs/>
              <w:noProof/>
              <w:sz w:val="28"/>
            </w:rPr>
            <w:fldChar w:fldCharType="begin"/>
          </w:r>
          <w:r>
            <w:rPr>
              <w:bCs/>
              <w:noProof/>
            </w:rPr>
            <w:instrText xml:space="preserve"> TOC \o "1-3" \h \z \u </w:instrText>
          </w:r>
          <w:r>
            <w:rPr>
              <w:bCs/>
              <w:noProof/>
              <w:sz w:val="28"/>
            </w:rPr>
            <w:fldChar w:fldCharType="separate"/>
          </w:r>
          <w:hyperlink w:anchor="_Toc40376060" w:history="1">
            <w:r>
              <w:rPr>
                <w:rStyle w:val="Hyperlink"/>
                <w:noProof/>
              </w:rPr>
              <w:t>1.</w:t>
            </w:r>
            <w:r>
              <w:rPr>
                <w:rFonts w:asciiTheme="minorHAnsi" w:eastAsiaTheme="minorEastAsia" w:hAnsiTheme="minorHAnsi" w:cstheme="minorBidi"/>
                <w:noProof/>
                <w:sz w:val="22"/>
                <w:lang w:val="en-US"/>
              </w:rPr>
              <w:tab/>
            </w:r>
            <w:r>
              <w:rPr>
                <w:rStyle w:val="Hyperlink"/>
                <w:noProof/>
              </w:rPr>
              <w:t>FRAMEWORK OF THE PROPOSAL/INITIATIVE</w:t>
            </w:r>
            <w:r>
              <w:rPr>
                <w:noProof/>
                <w:webHidden/>
              </w:rPr>
              <w:tab/>
            </w:r>
            <w:r>
              <w:rPr>
                <w:noProof/>
                <w:webHidden/>
              </w:rPr>
              <w:fldChar w:fldCharType="begin"/>
            </w:r>
            <w:r>
              <w:rPr>
                <w:noProof/>
                <w:webHidden/>
              </w:rPr>
              <w:instrText xml:space="preserve"> PAGEREF _Toc40376060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61" w:history="1">
            <w:r>
              <w:rPr>
                <w:rStyle w:val="Hyperlink"/>
                <w:noProof/>
              </w:rPr>
              <w:t>1.1.</w:t>
            </w:r>
            <w:r>
              <w:rPr>
                <w:rFonts w:asciiTheme="minorHAnsi" w:eastAsiaTheme="minorEastAsia" w:hAnsiTheme="minorHAnsi" w:cstheme="minorBidi"/>
                <w:noProof/>
                <w:sz w:val="22"/>
                <w:lang w:val="en-US"/>
              </w:rPr>
              <w:tab/>
            </w:r>
            <w:r>
              <w:rPr>
                <w:rStyle w:val="Hyperlink"/>
                <w:noProof/>
              </w:rPr>
              <w:t>Title of the proposal/initiative</w:t>
            </w:r>
            <w:r>
              <w:rPr>
                <w:noProof/>
                <w:webHidden/>
              </w:rPr>
              <w:tab/>
            </w:r>
            <w:r>
              <w:rPr>
                <w:noProof/>
                <w:webHidden/>
              </w:rPr>
              <w:fldChar w:fldCharType="begin"/>
            </w:r>
            <w:r>
              <w:rPr>
                <w:noProof/>
                <w:webHidden/>
              </w:rPr>
              <w:instrText xml:space="preserve"> PAGEREF _Toc40376061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62" w:history="1">
            <w:r>
              <w:rPr>
                <w:rStyle w:val="Hyperlink"/>
                <w:i/>
                <w:noProof/>
              </w:rPr>
              <w:t>1.2.</w:t>
            </w:r>
            <w:r>
              <w:rPr>
                <w:rFonts w:asciiTheme="minorHAnsi" w:eastAsiaTheme="minorEastAsia" w:hAnsiTheme="minorHAnsi" w:cstheme="minorBidi"/>
                <w:noProof/>
                <w:sz w:val="22"/>
                <w:lang w:val="en-US"/>
              </w:rPr>
              <w:tab/>
            </w:r>
            <w:r>
              <w:rPr>
                <w:rStyle w:val="Hyperlink"/>
                <w:noProof/>
              </w:rPr>
              <w:t>Policy area(s) concerned</w:t>
            </w:r>
            <w:r>
              <w:rPr>
                <w:rStyle w:val="Hyperlink"/>
                <w:i/>
                <w:noProof/>
              </w:rPr>
              <w:t xml:space="preserve"> (Programme cluster)</w:t>
            </w:r>
            <w:r>
              <w:rPr>
                <w:noProof/>
                <w:webHidden/>
              </w:rPr>
              <w:tab/>
            </w:r>
            <w:r>
              <w:rPr>
                <w:noProof/>
                <w:webHidden/>
              </w:rPr>
              <w:fldChar w:fldCharType="begin"/>
            </w:r>
            <w:r>
              <w:rPr>
                <w:noProof/>
                <w:webHidden/>
              </w:rPr>
              <w:instrText xml:space="preserve"> PAGEREF _Toc40376062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63" w:history="1">
            <w:r>
              <w:rPr>
                <w:rStyle w:val="Hyperlink"/>
                <w:noProof/>
              </w:rPr>
              <w:t>1.3.</w:t>
            </w:r>
            <w:r>
              <w:rPr>
                <w:rFonts w:asciiTheme="minorHAnsi" w:eastAsiaTheme="minorEastAsia" w:hAnsiTheme="minorHAnsi" w:cstheme="minorBidi"/>
                <w:noProof/>
                <w:sz w:val="22"/>
                <w:lang w:val="en-US"/>
              </w:rPr>
              <w:tab/>
            </w:r>
            <w:r>
              <w:rPr>
                <w:rStyle w:val="Hyperlink"/>
                <w:noProof/>
              </w:rPr>
              <w:t>The proposal/initiative relates to:</w:t>
            </w:r>
            <w:r>
              <w:rPr>
                <w:noProof/>
                <w:webHidden/>
              </w:rPr>
              <w:tab/>
            </w:r>
            <w:r>
              <w:rPr>
                <w:noProof/>
                <w:webHidden/>
              </w:rPr>
              <w:fldChar w:fldCharType="begin"/>
            </w:r>
            <w:r>
              <w:rPr>
                <w:noProof/>
                <w:webHidden/>
              </w:rPr>
              <w:instrText xml:space="preserve"> PAGEREF _Toc40376063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64" w:history="1">
            <w:r>
              <w:rPr>
                <w:rStyle w:val="Hyperlink"/>
                <w:noProof/>
              </w:rPr>
              <w:t>1.4.</w:t>
            </w:r>
            <w:r>
              <w:rPr>
                <w:rFonts w:asciiTheme="minorHAnsi" w:eastAsiaTheme="minorEastAsia" w:hAnsiTheme="minorHAnsi" w:cstheme="minorBidi"/>
                <w:noProof/>
                <w:sz w:val="22"/>
                <w:lang w:val="en-US"/>
              </w:rPr>
              <w:tab/>
            </w:r>
            <w:r>
              <w:rPr>
                <w:rStyle w:val="Hyperlink"/>
                <w:noProof/>
              </w:rPr>
              <w:t>Grounds for the proposal/initiative</w:t>
            </w:r>
            <w:r>
              <w:rPr>
                <w:noProof/>
                <w:webHidden/>
              </w:rPr>
              <w:tab/>
            </w:r>
            <w:r>
              <w:rPr>
                <w:noProof/>
                <w:webHidden/>
              </w:rPr>
              <w:fldChar w:fldCharType="begin"/>
            </w:r>
            <w:r>
              <w:rPr>
                <w:noProof/>
                <w:webHidden/>
              </w:rPr>
              <w:instrText xml:space="preserve"> PAGEREF _Toc40376064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40376065" w:history="1">
            <w:r>
              <w:rPr>
                <w:rStyle w:val="Hyperlink"/>
                <w:noProof/>
              </w:rPr>
              <w:t>1.4.1.</w:t>
            </w:r>
            <w:r>
              <w:rPr>
                <w:rFonts w:asciiTheme="minorHAnsi" w:eastAsiaTheme="minorEastAsia" w:hAnsiTheme="minorHAnsi" w:cstheme="minorBidi"/>
                <w:noProof/>
                <w:sz w:val="22"/>
                <w:lang w:val="en-US"/>
              </w:rPr>
              <w:tab/>
            </w:r>
            <w:r>
              <w:rPr>
                <w:rStyle w:val="Hyperlink"/>
                <w:noProof/>
              </w:rPr>
              <w:t>Requirement(s) to be met in the short or long term including a detailed timeline for roll-out of the implementation of the initiative</w:t>
            </w:r>
            <w:r>
              <w:rPr>
                <w:noProof/>
                <w:webHidden/>
              </w:rPr>
              <w:tab/>
            </w:r>
            <w:r>
              <w:rPr>
                <w:noProof/>
                <w:webHidden/>
              </w:rPr>
              <w:fldChar w:fldCharType="begin"/>
            </w:r>
            <w:r>
              <w:rPr>
                <w:noProof/>
                <w:webHidden/>
              </w:rPr>
              <w:instrText xml:space="preserve"> PAGEREF _Toc40376065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40376066" w:history="1">
            <w:r>
              <w:rPr>
                <w:rStyle w:val="Hyperlink"/>
                <w:noProof/>
              </w:rPr>
              <w:t>1.4.2.</w:t>
            </w:r>
            <w:r>
              <w:rPr>
                <w:rFonts w:asciiTheme="minorHAnsi" w:eastAsiaTheme="minorEastAsia" w:hAnsiTheme="minorHAnsi" w:cstheme="minorBidi"/>
                <w:noProof/>
                <w:sz w:val="22"/>
                <w:lang w:val="en-US"/>
              </w:rPr>
              <w:tab/>
            </w:r>
            <w:r>
              <w:rPr>
                <w:rStyle w:val="Hyperlink"/>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r>
              <w:rPr>
                <w:noProof/>
                <w:webHidden/>
              </w:rPr>
              <w:tab/>
            </w:r>
            <w:r>
              <w:rPr>
                <w:noProof/>
                <w:webHidden/>
              </w:rPr>
              <w:fldChar w:fldCharType="begin"/>
            </w:r>
            <w:r>
              <w:rPr>
                <w:noProof/>
                <w:webHidden/>
              </w:rPr>
              <w:instrText xml:space="preserve"> PAGEREF _Toc40376066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40376067" w:history="1">
            <w:r>
              <w:rPr>
                <w:rStyle w:val="Hyperlink"/>
                <w:noProof/>
              </w:rPr>
              <w:t>1.4.3.</w:t>
            </w:r>
            <w:r>
              <w:rPr>
                <w:rFonts w:asciiTheme="minorHAnsi" w:eastAsiaTheme="minorEastAsia" w:hAnsiTheme="minorHAnsi" w:cstheme="minorBidi"/>
                <w:noProof/>
                <w:sz w:val="22"/>
                <w:lang w:val="en-US"/>
              </w:rPr>
              <w:tab/>
            </w:r>
            <w:r>
              <w:rPr>
                <w:rStyle w:val="Hyperlink"/>
                <w:noProof/>
              </w:rPr>
              <w:t>Lessons learned from similar experiences in the past</w:t>
            </w:r>
            <w:r>
              <w:rPr>
                <w:noProof/>
                <w:webHidden/>
              </w:rPr>
              <w:tab/>
            </w:r>
            <w:r>
              <w:rPr>
                <w:noProof/>
                <w:webHidden/>
              </w:rPr>
              <w:fldChar w:fldCharType="begin"/>
            </w:r>
            <w:r>
              <w:rPr>
                <w:noProof/>
                <w:webHidden/>
              </w:rPr>
              <w:instrText xml:space="preserve"> PAGEREF _Toc40376067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en-US"/>
            </w:rPr>
          </w:pPr>
          <w:hyperlink w:anchor="_Toc40376068" w:history="1">
            <w:r>
              <w:rPr>
                <w:rStyle w:val="Hyperlink"/>
                <w:noProof/>
              </w:rPr>
              <w:t>1.4.4.</w:t>
            </w:r>
            <w:r>
              <w:rPr>
                <w:rFonts w:asciiTheme="minorHAnsi" w:eastAsiaTheme="minorEastAsia" w:hAnsiTheme="minorHAnsi" w:cstheme="minorBidi"/>
                <w:noProof/>
                <w:sz w:val="22"/>
                <w:lang w:val="en-US"/>
              </w:rPr>
              <w:tab/>
            </w:r>
            <w:r>
              <w:rPr>
                <w:rStyle w:val="Hyperlink"/>
                <w:noProof/>
              </w:rPr>
              <w:t>Compatibility and possible synergy with other appropriate instruments</w:t>
            </w:r>
            <w:r>
              <w:rPr>
                <w:noProof/>
                <w:webHidden/>
              </w:rPr>
              <w:tab/>
            </w:r>
            <w:r>
              <w:rPr>
                <w:noProof/>
                <w:webHidden/>
              </w:rPr>
              <w:fldChar w:fldCharType="begin"/>
            </w:r>
            <w:r>
              <w:rPr>
                <w:noProof/>
                <w:webHidden/>
              </w:rPr>
              <w:instrText xml:space="preserve"> PAGEREF _Toc40376068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69" w:history="1">
            <w:r>
              <w:rPr>
                <w:rStyle w:val="Hyperlink"/>
                <w:noProof/>
              </w:rPr>
              <w:t>1.5.</w:t>
            </w:r>
            <w:r>
              <w:rPr>
                <w:rFonts w:asciiTheme="minorHAnsi" w:eastAsiaTheme="minorEastAsia" w:hAnsiTheme="minorHAnsi" w:cstheme="minorBidi"/>
                <w:noProof/>
                <w:sz w:val="22"/>
                <w:lang w:val="en-US"/>
              </w:rPr>
              <w:tab/>
            </w:r>
            <w:r>
              <w:rPr>
                <w:rStyle w:val="Hyperlink"/>
                <w:noProof/>
              </w:rPr>
              <w:t>Duration and financial impact</w:t>
            </w:r>
            <w:r>
              <w:rPr>
                <w:noProof/>
                <w:webHidden/>
              </w:rPr>
              <w:tab/>
            </w:r>
            <w:r>
              <w:rPr>
                <w:noProof/>
                <w:webHidden/>
              </w:rPr>
              <w:fldChar w:fldCharType="begin"/>
            </w:r>
            <w:r>
              <w:rPr>
                <w:noProof/>
                <w:webHidden/>
              </w:rPr>
              <w:instrText xml:space="preserve"> PAGEREF _Toc40376069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70" w:history="1">
            <w:r>
              <w:rPr>
                <w:rStyle w:val="Hyperlink"/>
                <w:noProof/>
              </w:rPr>
              <w:t>1.6.</w:t>
            </w:r>
            <w:r>
              <w:rPr>
                <w:rFonts w:asciiTheme="minorHAnsi" w:eastAsiaTheme="minorEastAsia" w:hAnsiTheme="minorHAnsi" w:cstheme="minorBidi"/>
                <w:noProof/>
                <w:sz w:val="22"/>
                <w:lang w:val="en-US"/>
              </w:rPr>
              <w:tab/>
            </w:r>
            <w:r>
              <w:rPr>
                <w:rStyle w:val="Hyperlink"/>
                <w:noProof/>
              </w:rPr>
              <w:t>Management mode(s) planned</w:t>
            </w:r>
            <w:r>
              <w:rPr>
                <w:noProof/>
                <w:webHidden/>
              </w:rPr>
              <w:tab/>
            </w:r>
            <w:r>
              <w:rPr>
                <w:noProof/>
                <w:webHidden/>
              </w:rPr>
              <w:fldChar w:fldCharType="begin"/>
            </w:r>
            <w:r>
              <w:rPr>
                <w:noProof/>
                <w:webHidden/>
              </w:rPr>
              <w:instrText xml:space="preserve"> PAGEREF _Toc40376070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en-US"/>
            </w:rPr>
          </w:pPr>
          <w:hyperlink w:anchor="_Toc40376071" w:history="1">
            <w:r>
              <w:rPr>
                <w:rStyle w:val="Hyperlink"/>
                <w:noProof/>
              </w:rPr>
              <w:t>2.</w:t>
            </w:r>
            <w:r>
              <w:rPr>
                <w:rFonts w:asciiTheme="minorHAnsi" w:eastAsiaTheme="minorEastAsia" w:hAnsiTheme="minorHAnsi" w:cstheme="minorBidi"/>
                <w:noProof/>
                <w:sz w:val="22"/>
                <w:lang w:val="en-US"/>
              </w:rPr>
              <w:tab/>
            </w:r>
            <w:r>
              <w:rPr>
                <w:rStyle w:val="Hyperlink"/>
                <w:noProof/>
              </w:rPr>
              <w:t>MANAGEMENT MEASURES</w:t>
            </w:r>
            <w:r>
              <w:rPr>
                <w:noProof/>
                <w:webHidden/>
              </w:rPr>
              <w:tab/>
            </w:r>
            <w:r>
              <w:rPr>
                <w:noProof/>
                <w:webHidden/>
              </w:rPr>
              <w:fldChar w:fldCharType="begin"/>
            </w:r>
            <w:r>
              <w:rPr>
                <w:noProof/>
                <w:webHidden/>
              </w:rPr>
              <w:instrText xml:space="preserve"> PAGEREF _Toc40376071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72" w:history="1">
            <w:r>
              <w:rPr>
                <w:rStyle w:val="Hyperlink"/>
                <w:noProof/>
              </w:rPr>
              <w:t>2.1.</w:t>
            </w:r>
            <w:r>
              <w:rPr>
                <w:rFonts w:asciiTheme="minorHAnsi" w:eastAsiaTheme="minorEastAsia" w:hAnsiTheme="minorHAnsi" w:cstheme="minorBidi"/>
                <w:noProof/>
                <w:sz w:val="22"/>
                <w:lang w:val="en-US"/>
              </w:rPr>
              <w:tab/>
            </w:r>
            <w:r>
              <w:rPr>
                <w:rStyle w:val="Hyperlink"/>
                <w:noProof/>
              </w:rPr>
              <w:t>Monitoring and reporting rules</w:t>
            </w:r>
            <w:r>
              <w:rPr>
                <w:noProof/>
                <w:webHidden/>
              </w:rPr>
              <w:tab/>
            </w:r>
            <w:r>
              <w:rPr>
                <w:noProof/>
                <w:webHidden/>
              </w:rPr>
              <w:fldChar w:fldCharType="begin"/>
            </w:r>
            <w:r>
              <w:rPr>
                <w:noProof/>
                <w:webHidden/>
              </w:rPr>
              <w:instrText xml:space="preserve"> PAGEREF _Toc40376072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73" w:history="1">
            <w:r>
              <w:rPr>
                <w:rStyle w:val="Hyperlink"/>
                <w:noProof/>
              </w:rPr>
              <w:t>2.2.</w:t>
            </w:r>
            <w:r>
              <w:rPr>
                <w:rFonts w:asciiTheme="minorHAnsi" w:eastAsiaTheme="minorEastAsia" w:hAnsiTheme="minorHAnsi" w:cstheme="minorBidi"/>
                <w:noProof/>
                <w:sz w:val="22"/>
                <w:lang w:val="en-US"/>
              </w:rPr>
              <w:tab/>
            </w:r>
            <w:r>
              <w:rPr>
                <w:rStyle w:val="Hyperlink"/>
                <w:noProof/>
              </w:rPr>
              <w:t>Management and control system(s)</w:t>
            </w:r>
            <w:r>
              <w:rPr>
                <w:noProof/>
                <w:webHidden/>
              </w:rPr>
              <w:tab/>
            </w:r>
            <w:r>
              <w:rPr>
                <w:noProof/>
                <w:webHidden/>
              </w:rPr>
              <w:fldChar w:fldCharType="begin"/>
            </w:r>
            <w:r>
              <w:rPr>
                <w:noProof/>
                <w:webHidden/>
              </w:rPr>
              <w:instrText xml:space="preserve"> PAGEREF _Toc40376073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74" w:history="1">
            <w:r>
              <w:rPr>
                <w:rStyle w:val="Hyperlink"/>
                <w:noProof/>
              </w:rPr>
              <w:t>2.3.</w:t>
            </w:r>
            <w:r>
              <w:rPr>
                <w:rFonts w:asciiTheme="minorHAnsi" w:eastAsiaTheme="minorEastAsia" w:hAnsiTheme="minorHAnsi" w:cstheme="minorBidi"/>
                <w:noProof/>
                <w:sz w:val="22"/>
                <w:lang w:val="en-US"/>
              </w:rPr>
              <w:tab/>
            </w:r>
            <w:r>
              <w:rPr>
                <w:rStyle w:val="Hyperlink"/>
                <w:noProof/>
              </w:rPr>
              <w:t>Measures to prevent fraud and irregularities</w:t>
            </w:r>
            <w:r>
              <w:rPr>
                <w:noProof/>
                <w:webHidden/>
              </w:rPr>
              <w:tab/>
            </w:r>
            <w:r>
              <w:rPr>
                <w:noProof/>
                <w:webHidden/>
              </w:rPr>
              <w:fldChar w:fldCharType="begin"/>
            </w:r>
            <w:r>
              <w:rPr>
                <w:noProof/>
                <w:webHidden/>
              </w:rPr>
              <w:instrText xml:space="preserve"> PAGEREF _Toc40376074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en-US"/>
            </w:rPr>
          </w:pPr>
          <w:hyperlink w:anchor="_Toc40376075" w:history="1">
            <w:r>
              <w:rPr>
                <w:rStyle w:val="Hyperlink"/>
                <w:noProof/>
              </w:rPr>
              <w:t>3.</w:t>
            </w:r>
            <w:r>
              <w:rPr>
                <w:rFonts w:asciiTheme="minorHAnsi" w:eastAsiaTheme="minorEastAsia" w:hAnsiTheme="minorHAnsi" w:cstheme="minorBidi"/>
                <w:noProof/>
                <w:sz w:val="22"/>
                <w:lang w:val="en-US"/>
              </w:rPr>
              <w:tab/>
            </w:r>
            <w:r>
              <w:rPr>
                <w:rStyle w:val="Hyperlink"/>
                <w:noProof/>
              </w:rPr>
              <w:t>ESTIMATED FINANCIAL IMPACT OF THE PROPOSAL/INITIATIVE</w:t>
            </w:r>
            <w:r>
              <w:rPr>
                <w:noProof/>
                <w:webHidden/>
              </w:rPr>
              <w:tab/>
            </w:r>
            <w:r>
              <w:rPr>
                <w:noProof/>
                <w:webHidden/>
              </w:rPr>
              <w:fldChar w:fldCharType="begin"/>
            </w:r>
            <w:r>
              <w:rPr>
                <w:noProof/>
                <w:webHidden/>
              </w:rPr>
              <w:instrText xml:space="preserve"> PAGEREF _Toc40376075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76" w:history="1">
            <w:r>
              <w:rPr>
                <w:rStyle w:val="Hyperlink"/>
                <w:noProof/>
              </w:rPr>
              <w:t>3.1.</w:t>
            </w:r>
            <w:r>
              <w:rPr>
                <w:rFonts w:asciiTheme="minorHAnsi" w:eastAsiaTheme="minorEastAsia" w:hAnsiTheme="minorHAnsi" w:cstheme="minorBidi"/>
                <w:noProof/>
                <w:sz w:val="22"/>
                <w:lang w:val="en-US"/>
              </w:rPr>
              <w:tab/>
            </w:r>
            <w:r>
              <w:rPr>
                <w:rStyle w:val="Hyperlink"/>
                <w:noProof/>
              </w:rPr>
              <w:t>Headings of the multiannual financial framework and new expenditure budget line(s) proposed</w:t>
            </w:r>
            <w:r>
              <w:rPr>
                <w:noProof/>
                <w:webHidden/>
              </w:rPr>
              <w:tab/>
            </w:r>
            <w:r>
              <w:rPr>
                <w:noProof/>
                <w:webHidden/>
              </w:rPr>
              <w:fldChar w:fldCharType="begin"/>
            </w:r>
            <w:r>
              <w:rPr>
                <w:noProof/>
                <w:webHidden/>
              </w:rPr>
              <w:instrText xml:space="preserve"> PAGEREF _Toc40376076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77" w:history="1">
            <w:r>
              <w:rPr>
                <w:rStyle w:val="Hyperlink"/>
                <w:noProof/>
              </w:rPr>
              <w:t>3.2.</w:t>
            </w:r>
            <w:r>
              <w:rPr>
                <w:rFonts w:asciiTheme="minorHAnsi" w:eastAsiaTheme="minorEastAsia" w:hAnsiTheme="minorHAnsi" w:cstheme="minorBidi"/>
                <w:noProof/>
                <w:sz w:val="22"/>
                <w:lang w:val="en-US"/>
              </w:rPr>
              <w:tab/>
            </w:r>
            <w:r>
              <w:rPr>
                <w:rStyle w:val="Hyperlink"/>
                <w:noProof/>
              </w:rPr>
              <w:t>Estimated impact on expenditure</w:t>
            </w:r>
            <w:r>
              <w:rPr>
                <w:noProof/>
                <w:webHidden/>
              </w:rPr>
              <w:tab/>
            </w:r>
            <w:r>
              <w:rPr>
                <w:noProof/>
                <w:webHidden/>
              </w:rPr>
              <w:fldChar w:fldCharType="begin"/>
            </w:r>
            <w:r>
              <w:rPr>
                <w:noProof/>
                <w:webHidden/>
              </w:rPr>
              <w:instrText xml:space="preserve"> PAGEREF _Toc40376077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val="en-US"/>
            </w:rPr>
          </w:pPr>
          <w:hyperlink w:anchor="_Toc40376078" w:history="1">
            <w:r>
              <w:rPr>
                <w:rStyle w:val="Hyperlink"/>
                <w:noProof/>
              </w:rPr>
              <w:t>3.2.1.</w:t>
            </w:r>
            <w:r>
              <w:rPr>
                <w:rFonts w:asciiTheme="minorHAnsi" w:eastAsiaTheme="minorEastAsia" w:hAnsiTheme="minorHAnsi" w:cstheme="minorBidi"/>
                <w:noProof/>
                <w:sz w:val="22"/>
                <w:lang w:val="en-US"/>
              </w:rPr>
              <w:tab/>
            </w:r>
            <w:r>
              <w:rPr>
                <w:rStyle w:val="Hyperlink"/>
                <w:noProof/>
              </w:rPr>
              <w:t>Summary of estimated impact on expenditure</w:t>
            </w:r>
            <w:r>
              <w:rPr>
                <w:noProof/>
                <w:webHidden/>
              </w:rPr>
              <w:tab/>
            </w:r>
            <w:r>
              <w:rPr>
                <w:noProof/>
                <w:webHidden/>
              </w:rPr>
              <w:fldChar w:fldCharType="begin"/>
            </w:r>
            <w:r>
              <w:rPr>
                <w:noProof/>
                <w:webHidden/>
              </w:rPr>
              <w:instrText xml:space="preserve"> PAGEREF _Toc40376078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val="en-US"/>
            </w:rPr>
          </w:pPr>
          <w:hyperlink w:anchor="_Toc40376079" w:history="1">
            <w:r>
              <w:rPr>
                <w:rStyle w:val="Hyperlink"/>
                <w:noProof/>
              </w:rPr>
              <w:t>3.2.2.</w:t>
            </w:r>
            <w:r>
              <w:rPr>
                <w:rFonts w:asciiTheme="minorHAnsi" w:eastAsiaTheme="minorEastAsia" w:hAnsiTheme="minorHAnsi" w:cstheme="minorBidi"/>
                <w:noProof/>
                <w:sz w:val="22"/>
                <w:lang w:val="en-US"/>
              </w:rPr>
              <w:tab/>
            </w:r>
            <w:r>
              <w:rPr>
                <w:rStyle w:val="Hyperlink"/>
                <w:noProof/>
              </w:rPr>
              <w:t>Summary of estimated impact on appropriations of an administrative nature</w:t>
            </w:r>
            <w:r>
              <w:rPr>
                <w:noProof/>
                <w:webHidden/>
              </w:rPr>
              <w:tab/>
            </w:r>
            <w:r>
              <w:rPr>
                <w:noProof/>
                <w:webHidden/>
              </w:rPr>
              <w:fldChar w:fldCharType="begin"/>
            </w:r>
            <w:r>
              <w:rPr>
                <w:noProof/>
                <w:webHidden/>
              </w:rPr>
              <w:instrText xml:space="preserve"> PAGEREF _Toc40376079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val="en-US"/>
            </w:rPr>
          </w:pPr>
          <w:hyperlink w:anchor="_Toc40376080" w:history="1">
            <w:r>
              <w:rPr>
                <w:rStyle w:val="Hyperlink"/>
                <w:noProof/>
              </w:rPr>
              <w:t>3.3.</w:t>
            </w:r>
            <w:r>
              <w:rPr>
                <w:rFonts w:asciiTheme="minorHAnsi" w:eastAsiaTheme="minorEastAsia" w:hAnsiTheme="minorHAnsi" w:cstheme="minorBidi"/>
                <w:noProof/>
                <w:sz w:val="22"/>
                <w:lang w:val="en-US"/>
              </w:rPr>
              <w:tab/>
            </w:r>
            <w:r>
              <w:rPr>
                <w:rStyle w:val="Hyperlink"/>
                <w:noProof/>
              </w:rPr>
              <w:t>Estimated impact on revenue</w:t>
            </w:r>
            <w:r>
              <w:rPr>
                <w:noProof/>
                <w:webHidden/>
              </w:rPr>
              <w:tab/>
            </w:r>
            <w:r>
              <w:rPr>
                <w:noProof/>
                <w:webHidden/>
              </w:rPr>
              <w:fldChar w:fldCharType="begin"/>
            </w:r>
            <w:r>
              <w:rPr>
                <w:noProof/>
                <w:webHidden/>
              </w:rPr>
              <w:instrText xml:space="preserve"> PAGEREF _Toc40376080 \h </w:instrText>
            </w:r>
            <w:r>
              <w:rPr>
                <w:noProof/>
                <w:webHidden/>
              </w:rPr>
            </w:r>
            <w:r>
              <w:rPr>
                <w:noProof/>
                <w:webHidden/>
              </w:rPr>
              <w:fldChar w:fldCharType="separate"/>
            </w:r>
            <w:r>
              <w:rPr>
                <w:noProof/>
                <w:webHidden/>
              </w:rPr>
              <w:t>11</w:t>
            </w:r>
            <w:r>
              <w:rPr>
                <w:noProof/>
                <w:webHidden/>
              </w:rPr>
              <w:fldChar w:fldCharType="end"/>
            </w:r>
          </w:hyperlink>
        </w:p>
        <w:p>
          <w:pPr>
            <w:rPr>
              <w:noProof/>
            </w:rPr>
          </w:pPr>
          <w:r>
            <w:rPr>
              <w:b/>
              <w:bCs/>
              <w:noProof/>
            </w:rPr>
            <w:fldChar w:fldCharType="end"/>
          </w:r>
        </w:p>
      </w:sdtContent>
    </w:sdt>
    <w:p>
      <w:pPr>
        <w:rPr>
          <w:noProof/>
        </w:rPr>
        <w:sectPr>
          <w:pgSz w:w="11907" w:h="16840" w:code="9"/>
          <w:pgMar w:top="1134" w:right="1418" w:bottom="1134" w:left="1418" w:header="709" w:footer="709" w:gutter="0"/>
          <w:pgNumType w:start="1"/>
          <w:cols w:space="708"/>
          <w:docGrid w:linePitch="360"/>
        </w:sectPr>
      </w:pPr>
    </w:p>
    <w:p>
      <w:pPr>
        <w:jc w:val="center"/>
        <w:rPr>
          <w:b/>
          <w:noProof/>
          <w:u w:val="single"/>
        </w:rPr>
      </w:pPr>
      <w:r>
        <w:rPr>
          <w:b/>
          <w:noProof/>
          <w:u w:val="single"/>
        </w:rPr>
        <w:t>LEGISLATIVE FINANCIAL STATEMENT</w:t>
      </w:r>
      <w:bookmarkEnd w:id="1"/>
    </w:p>
    <w:p>
      <w:pPr>
        <w:pStyle w:val="ManualHeading1"/>
        <w:rPr>
          <w:noProof/>
        </w:rPr>
      </w:pPr>
      <w:bookmarkStart w:id="2" w:name="_Toc514941971"/>
      <w:bookmarkStart w:id="3" w:name="_Toc40376060"/>
      <w:r>
        <w:t>1.</w:t>
      </w:r>
      <w:r>
        <w:tab/>
      </w:r>
      <w:r>
        <w:rPr>
          <w:noProof/>
        </w:rPr>
        <w:t>FRAMEWORK OF THE PROPOSAL/INITIATIVE</w:t>
      </w:r>
      <w:bookmarkEnd w:id="2"/>
      <w:bookmarkEnd w:id="3"/>
      <w:r>
        <w:rPr>
          <w:noProof/>
        </w:rPr>
        <w:t xml:space="preserve"> </w:t>
      </w:r>
    </w:p>
    <w:p>
      <w:pPr>
        <w:pStyle w:val="ManualHeading2"/>
        <w:rPr>
          <w:noProof/>
        </w:rPr>
      </w:pPr>
      <w:bookmarkStart w:id="4" w:name="_Toc514941972"/>
      <w:bookmarkStart w:id="5" w:name="_Toc40376061"/>
      <w:r>
        <w:t>1.1.</w:t>
      </w:r>
      <w:r>
        <w:tab/>
      </w:r>
      <w:r>
        <w:rPr>
          <w:noProof/>
        </w:rPr>
        <w:t>Title of the proposal/initiative</w:t>
      </w:r>
      <w:bookmarkEnd w:id="4"/>
      <w:bookmarkEnd w:id="5"/>
      <w:r>
        <w:rPr>
          <w:noProof/>
        </w:rPr>
        <w:t xml:space="preserve"> </w:t>
      </w:r>
    </w:p>
    <w:p>
      <w:pPr>
        <w:pStyle w:val="Text1"/>
        <w:rPr>
          <w:noProof/>
        </w:rPr>
      </w:pPr>
      <w:bookmarkStart w:id="6" w:name="_Toc514941973"/>
      <w:r>
        <w:rPr>
          <w:noProof/>
        </w:rPr>
        <w:t xml:space="preserve">Proposal for amendment of COUNCIL REGULATION (EC) No 1257/96 of 20 June 1996 concerning humanitarian aid. </w:t>
      </w:r>
    </w:p>
    <w:p>
      <w:pPr>
        <w:pStyle w:val="ManualHeading2"/>
        <w:rPr>
          <w:i/>
          <w:noProof/>
        </w:rPr>
      </w:pPr>
      <w:bookmarkStart w:id="7" w:name="_Toc40376062"/>
      <w:r>
        <w:t>1.2.</w:t>
      </w:r>
      <w:r>
        <w:tab/>
      </w:r>
      <w:r>
        <w:rPr>
          <w:noProof/>
        </w:rPr>
        <w:t>Policy area(s) concerned</w:t>
      </w:r>
      <w:r>
        <w:rPr>
          <w:i/>
          <w:noProof/>
        </w:rPr>
        <w:t xml:space="preserve"> (Programme cluster)</w:t>
      </w:r>
      <w:bookmarkEnd w:id="6"/>
      <w:bookmarkEnd w:id="7"/>
    </w:p>
    <w:p>
      <w:pPr>
        <w:pStyle w:val="Text1"/>
        <w:pBdr>
          <w:top w:val="single" w:sz="4" w:space="1" w:color="auto"/>
          <w:left w:val="single" w:sz="4" w:space="4" w:color="auto"/>
          <w:bottom w:val="single" w:sz="4" w:space="1" w:color="auto"/>
          <w:right w:val="single" w:sz="4" w:space="4" w:color="auto"/>
        </w:pBdr>
        <w:rPr>
          <w:noProof/>
        </w:rPr>
      </w:pPr>
      <w:bookmarkStart w:id="8" w:name="_Toc514941974"/>
      <w:r>
        <w:rPr>
          <w:noProof/>
        </w:rPr>
        <w:t>15 External Action</w:t>
      </w:r>
    </w:p>
    <w:p>
      <w:pPr>
        <w:pStyle w:val="ManualHeading2"/>
        <w:rPr>
          <w:bCs/>
          <w:noProof/>
          <w:szCs w:val="24"/>
        </w:rPr>
      </w:pPr>
      <w:bookmarkStart w:id="9" w:name="_Toc40376063"/>
      <w:r>
        <w:t>1.3.</w:t>
      </w:r>
      <w:r>
        <w:tab/>
      </w:r>
      <w:r>
        <w:rPr>
          <w:noProof/>
        </w:rPr>
        <w:t>The proposal/initiative relates to:</w:t>
      </w:r>
      <w:bookmarkEnd w:id="8"/>
      <w:bookmarkEnd w:id="9"/>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5"/>
      </w:r>
      <w:r>
        <w:rPr>
          <w:noProof/>
          <w:sz w:val="22"/>
        </w:rPr>
        <w:t xml:space="preserve"> </w:t>
      </w:r>
    </w:p>
    <w:p>
      <w:pPr>
        <w:pStyle w:val="Text1"/>
        <w:rPr>
          <w:noProof/>
          <w:sz w:val="22"/>
        </w:rPr>
      </w:pPr>
      <w:r>
        <w:rPr>
          <w:noProof/>
          <w:sz w:val="22"/>
        </w:rPr>
        <w:t>X</w:t>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10" w:name="_Toc514941975"/>
      <w:bookmarkStart w:id="11" w:name="_Toc40376064"/>
      <w:r>
        <w:t>1.4.</w:t>
      </w:r>
      <w:r>
        <w:tab/>
      </w:r>
      <w:r>
        <w:rPr>
          <w:noProof/>
        </w:rPr>
        <w:t>Grounds for the proposal/initiative</w:t>
      </w:r>
      <w:bookmarkEnd w:id="10"/>
      <w:bookmarkEnd w:id="11"/>
      <w:r>
        <w:rPr>
          <w:noProof/>
        </w:rPr>
        <w:t xml:space="preserve"> </w:t>
      </w:r>
    </w:p>
    <w:p>
      <w:pPr>
        <w:pStyle w:val="ManualHeading3"/>
        <w:rPr>
          <w:noProof/>
        </w:rPr>
      </w:pPr>
      <w:bookmarkStart w:id="12" w:name="_Toc514941976"/>
      <w:bookmarkStart w:id="13" w:name="_Toc40376065"/>
      <w:r>
        <w:t>1.4.1.</w:t>
      </w:r>
      <w:r>
        <w:tab/>
      </w:r>
      <w:r>
        <w:rPr>
          <w:noProof/>
        </w:rPr>
        <w:t>Requirement(s) to be met in the short or long term including a detailed timeline for roll-out of the implementation of the initiative</w:t>
      </w:r>
      <w:bookmarkEnd w:id="12"/>
      <w:bookmarkEnd w:id="13"/>
    </w:p>
    <w:p>
      <w:pPr>
        <w:pStyle w:val="Text1"/>
        <w:pBdr>
          <w:top w:val="single" w:sz="4" w:space="1" w:color="auto"/>
          <w:left w:val="single" w:sz="4" w:space="4" w:color="auto"/>
          <w:bottom w:val="single" w:sz="4" w:space="1" w:color="auto"/>
          <w:right w:val="single" w:sz="4" w:space="4" w:color="auto"/>
        </w:pBdr>
        <w:rPr>
          <w:noProof/>
        </w:rPr>
      </w:pPr>
      <w:r>
        <w:rPr>
          <w:noProof/>
        </w:rPr>
        <w:t xml:space="preserve">This targeted amendment of the Humanitarian aid Regulation is proposed within the framework of the revised MFF (2021-2027) proposal including the European Recovery Instrument. This new instrument will provide funds to the Humanitarian aid, along with other programmes, for a limited period of time above the ceilings set for commitment and payment appropriations  by the MFF, as external assigned revenue under the meaning of Article 21 of the Financial Regulation. </w:t>
      </w:r>
    </w:p>
    <w:p>
      <w:pPr>
        <w:pStyle w:val="Text1"/>
        <w:pBdr>
          <w:top w:val="single" w:sz="4" w:space="1" w:color="auto"/>
          <w:left w:val="single" w:sz="4" w:space="4" w:color="auto"/>
          <w:bottom w:val="single" w:sz="4" w:space="1" w:color="auto"/>
          <w:right w:val="single" w:sz="4" w:space="4" w:color="auto"/>
        </w:pBdr>
        <w:rPr>
          <w:noProof/>
          <w:color w:val="0000FF"/>
        </w:rPr>
      </w:pPr>
      <w:r>
        <w:rPr>
          <w:noProof/>
        </w:rPr>
        <w:t>The implementation of the relevant actions under Humanitarian aid shall aim at supporting third countries in overcoming the negative effects of the COVID-19 pandemic and promoting resilience.</w:t>
      </w:r>
    </w:p>
    <w:p>
      <w:pPr>
        <w:pStyle w:val="ManualHeading3"/>
        <w:rPr>
          <w:noProof/>
        </w:rPr>
      </w:pPr>
      <w:bookmarkStart w:id="14" w:name="_Toc514941977"/>
      <w:bookmarkStart w:id="15" w:name="_Toc40376066"/>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4"/>
      <w:bookmarkEnd w:id="15"/>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The spread of the Coronavirus disease (‘COVID-19’), which on 11 March 2020 was declared a pandemic by the World Health Organization has put an enormous strain on third countries, in particular on countries facing conflicts or other types of crises. In addition, in order to contain the spread, third countries have adopted a set of unprecedented measures. Those measures have caused significant disturbances of economic activities posing additional challenges to already weakened systems in some of the countries. In particular, those measures have disrupted supply chains and production and have caused absences from the workplace. More broadly, those measures have already led to or will lead to severe deterioration of the financial situation of many businesses in third countries.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The crisis has spread quickly in the territory of the Union and in third countries. A sharp contraction of growth across the globe is now foreseen for 2020 and may last into 2021. This may have particularly dire consequences for third countries and their populations or vulnerable groups (e.g. refugees), in particular if combined with other challenges such as conflicts, natural disasters or break down of health systems in third countries.</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This exceptional situation calls for a coherent and unified approach at the level of the Union to prevent further deterioration of the economy and to boost a balanced recovery of the economic activity, ensuring continuity and increase in investments for the green and digitil transistion. Furthemore, due to major implications for third countries or vulnerable groups facing other challenges such as conflict, poverty, natural disaster, it is therefore necessary to establish an EU Recovery Instrument to address the consequences of the COVID-19 pandemic or the immediate funding needs to avoid its re-emergence.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(5) In addition to the support to economies both within the EU as well as in third countries, to health and climate related research and innovation activities within the Union, the instrument should reinforce the support that the EU can provide in cases of humanitarian needs.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(6) The overall humanitarian situation, as well as trade and economic relations with neighbouring and developing countries are of high relevance for the economy in the Union. For that reason, and in line with the global role and responsibility of the Union as well as its values, financial resources from the EU Recovery Instrument via NDICI should also be used to provide support for the efforts of those countries to fight the impact of the COVID-19 pandemic and recover from it. It should also be used, via Humanitarian aid, to provide humanitarian relief to populations in need, including much needed support to the health services of third countries. </w:t>
      </w:r>
    </w:p>
    <w:p>
      <w:pPr>
        <w:pStyle w:val="ManualHeading3"/>
        <w:rPr>
          <w:noProof/>
        </w:rPr>
      </w:pPr>
      <w:bookmarkStart w:id="16" w:name="_Toc514941978"/>
      <w:bookmarkStart w:id="17" w:name="_Toc40376067"/>
      <w:r>
        <w:t>1.4.3.</w:t>
      </w:r>
      <w:r>
        <w:tab/>
      </w:r>
      <w:r>
        <w:rPr>
          <w:noProof/>
        </w:rPr>
        <w:t>Lessons learned from similar experiences in the past</w:t>
      </w:r>
      <w:bookmarkEnd w:id="16"/>
      <w:bookmarkEnd w:id="17"/>
    </w:p>
    <w:p>
      <w:pPr>
        <w:pStyle w:val="Text1"/>
        <w:pBdr>
          <w:top w:val="single" w:sz="4" w:space="1" w:color="auto"/>
          <w:left w:val="single" w:sz="4" w:space="4" w:color="auto"/>
          <w:bottom w:val="single" w:sz="4" w:space="1" w:color="auto"/>
          <w:right w:val="single" w:sz="4" w:space="4" w:color="auto"/>
        </w:pBdr>
        <w:rPr>
          <w:noProof/>
        </w:rPr>
      </w:pPr>
      <w:r>
        <w:rPr>
          <w:noProof/>
        </w:rPr>
        <w:t>Experience from the MFF 2014–2020 shows that the Humanitarian aid annual allocations have been insufficient to cover the numerous protracting or newly emerging humanitarian crises in the world. For this reason, extensive reinforcements through the use of the Emergency Aid Reserve and other sources had to be made. This proposal responds to the additional unforeseen needs related to COVID-19 by increasing the availability of additional resources over and above the MFF 2021-2027 amounts.</w:t>
      </w:r>
    </w:p>
    <w:p>
      <w:pPr>
        <w:pStyle w:val="ManualHeading3"/>
        <w:rPr>
          <w:noProof/>
        </w:rPr>
      </w:pPr>
      <w:bookmarkStart w:id="18" w:name="_Toc514941979"/>
      <w:bookmarkStart w:id="19" w:name="_Toc40376068"/>
      <w:r>
        <w:t>1.4.4.</w:t>
      </w:r>
      <w:r>
        <w:tab/>
      </w:r>
      <w:r>
        <w:rPr>
          <w:noProof/>
        </w:rPr>
        <w:t>Compatibility and possible synergy with other appropriate instruments</w:t>
      </w:r>
      <w:bookmarkEnd w:id="18"/>
      <w:bookmarkEnd w:id="19"/>
    </w:p>
    <w:p>
      <w:pPr>
        <w:pStyle w:val="Text1"/>
        <w:pBdr>
          <w:top w:val="single" w:sz="4" w:space="1" w:color="auto"/>
          <w:left w:val="single" w:sz="4" w:space="4" w:color="auto"/>
          <w:bottom w:val="single" w:sz="4" w:space="1" w:color="auto"/>
          <w:right w:val="single" w:sz="4" w:space="4" w:color="auto"/>
        </w:pBdr>
        <w:rPr>
          <w:noProof/>
        </w:rPr>
      </w:pPr>
      <w:r>
        <w:rPr>
          <w:noProof/>
        </w:rPr>
        <w:t>In addition to the synergies with the NDICI, the current initiative in the context of the revised MFF proposal sets strong synergies between Humanitarian aid and the new European Recovery Instrument, set out by the proposed Regulation (EU) XXX/XX. The latter will allow to provide funds to these sectorial programmes for a limited period of time above the ceilings of the MFF as a result of the complementarity of objectivities and functioning of these instruments and in light of rationale and added value presented in the section 1.4.2. above.</w:t>
      </w:r>
    </w:p>
    <w:p>
      <w:pPr>
        <w:pStyle w:val="Text1"/>
        <w:rPr>
          <w:noProof/>
        </w:rPr>
      </w:pPr>
    </w:p>
    <w:p>
      <w:pPr>
        <w:pStyle w:val="ManualHeading2"/>
        <w:rPr>
          <w:bCs/>
          <w:noProof/>
          <w:szCs w:val="24"/>
        </w:rPr>
      </w:pPr>
      <w:r>
        <w:rPr>
          <w:noProof/>
        </w:rPr>
        <w:br w:type="page"/>
      </w:r>
      <w:bookmarkStart w:id="20" w:name="_Toc514941980"/>
      <w:bookmarkStart w:id="21" w:name="_Toc40376069"/>
      <w:r>
        <w:t>1.5.</w:t>
      </w:r>
      <w:r>
        <w:tab/>
      </w:r>
      <w:r>
        <w:rPr>
          <w:noProof/>
        </w:rPr>
        <w:t>Duration and financial impact</w:t>
      </w:r>
      <w:bookmarkEnd w:id="20"/>
      <w:bookmarkEnd w:id="21"/>
      <w:r>
        <w:rPr>
          <w:noProof/>
        </w:rPr>
        <w:t xml:space="preserve"> </w:t>
      </w:r>
    </w:p>
    <w:p>
      <w:pPr>
        <w:pStyle w:val="Text1"/>
        <w:rPr>
          <w:noProof/>
        </w:rPr>
      </w:pPr>
      <w:r>
        <w:rPr>
          <w:noProof/>
        </w:rPr>
        <w:sym w:font="Wingdings" w:char="F0A8"/>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in effect from [DD/MM]YYYY to [DD/MM]YYYY </w:t>
      </w:r>
    </w:p>
    <w:p>
      <w:pPr>
        <w:pStyle w:val="ListDash2"/>
        <w:rPr>
          <w:noProof/>
        </w:rPr>
      </w:pPr>
      <w:r>
        <w:rPr>
          <w:noProof/>
        </w:rPr>
        <w:sym w:font="Wingdings" w:char="F0A8"/>
      </w:r>
      <w:r>
        <w:rPr>
          <w:noProof/>
        </w:rPr>
        <w:tab/>
        <w:t xml:space="preserve">Financial impact from YYYY to YYYY for commitment appropriations and from YYYY to YYYY for payment appropriations. </w:t>
      </w:r>
    </w:p>
    <w:p>
      <w:pPr>
        <w:pStyle w:val="Text1"/>
        <w:rPr>
          <w:noProof/>
        </w:rPr>
      </w:pPr>
      <w:r>
        <w:rPr>
          <w:noProof/>
        </w:rPr>
        <w:t>X</w:t>
      </w:r>
      <w:r>
        <w:rPr>
          <w:b/>
          <w:i/>
          <w:noProof/>
        </w:rPr>
        <w:t xml:space="preserve"> </w:t>
      </w:r>
      <w:r>
        <w:rPr>
          <w:b/>
          <w:noProof/>
        </w:rPr>
        <w:t>unlimited duration</w:t>
      </w:r>
    </w:p>
    <w:p>
      <w:pPr>
        <w:pStyle w:val="ListDash1"/>
        <w:rPr>
          <w:noProof/>
        </w:rPr>
      </w:pPr>
      <w:r>
        <w:rPr>
          <w:noProof/>
        </w:rPr>
        <w:t>Implementation with a start-up period from 2021 onwards,</w:t>
      </w:r>
    </w:p>
    <w:p>
      <w:pPr>
        <w:pStyle w:val="ListDash1"/>
        <w:rPr>
          <w:noProof/>
        </w:rPr>
      </w:pPr>
      <w:r>
        <w:rPr>
          <w:noProof/>
        </w:rPr>
        <w:t>followed by full-scale operation.</w:t>
      </w:r>
    </w:p>
    <w:p>
      <w:pPr>
        <w:pStyle w:val="ManualHeading2"/>
        <w:rPr>
          <w:bCs/>
          <w:noProof/>
          <w:szCs w:val="24"/>
        </w:rPr>
      </w:pPr>
      <w:bookmarkStart w:id="22" w:name="_Toc514941981"/>
      <w:bookmarkStart w:id="23" w:name="_Toc40376070"/>
      <w:r>
        <w:t>1.6.</w:t>
      </w:r>
      <w:r>
        <w:tab/>
      </w:r>
      <w:r>
        <w:rPr>
          <w:noProof/>
        </w:rPr>
        <w:t>Management mode(s) planned</w:t>
      </w:r>
      <w:r>
        <w:rPr>
          <w:rStyle w:val="FootnoteReference"/>
          <w:noProof/>
        </w:rPr>
        <w:footnoteReference w:id="6"/>
      </w:r>
      <w:bookmarkEnd w:id="22"/>
      <w:bookmarkEnd w:id="23"/>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rPr>
          <w:rFonts w:cs="EUAlbertina"/>
          <w:noProof/>
        </w:rPr>
      </w:pPr>
      <w:r>
        <w:rPr>
          <w:noProof/>
        </w:rPr>
        <w:t xml:space="preserve">X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t>X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t>X bodies governed by private law with a public service mission to the extent that they provide adequate financial guarantees;</w:t>
      </w:r>
    </w:p>
    <w:p>
      <w:pPr>
        <w:pStyle w:val="ListDash2"/>
        <w:rPr>
          <w:noProof/>
        </w:rPr>
      </w:pPr>
      <w:r>
        <w:rPr>
          <w:noProof/>
        </w:rPr>
        <w:t>X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4" w:name="_Toc514941982"/>
      <w:bookmarkStart w:id="25" w:name="_Toc39837055"/>
      <w:bookmarkStart w:id="26" w:name="_Toc39839402"/>
      <w:bookmarkStart w:id="27" w:name="_Toc40376071"/>
      <w:r>
        <w:t>2.</w:t>
      </w:r>
      <w:r>
        <w:tab/>
      </w:r>
      <w:r>
        <w:rPr>
          <w:noProof/>
        </w:rPr>
        <w:t>MANAGEMENT MEASURES</w:t>
      </w:r>
      <w:bookmarkEnd w:id="24"/>
      <w:bookmarkEnd w:id="25"/>
      <w:bookmarkEnd w:id="26"/>
      <w:bookmarkEnd w:id="27"/>
      <w:r>
        <w:rPr>
          <w:noProof/>
        </w:rPr>
        <w:t xml:space="preserve"> </w:t>
      </w:r>
    </w:p>
    <w:p>
      <w:pPr>
        <w:pStyle w:val="ManualHeading2"/>
        <w:rPr>
          <w:noProof/>
        </w:rPr>
      </w:pPr>
      <w:bookmarkStart w:id="28" w:name="_Toc514941983"/>
      <w:bookmarkStart w:id="29" w:name="_Toc39837056"/>
      <w:bookmarkStart w:id="30" w:name="_Toc39839403"/>
      <w:bookmarkStart w:id="31" w:name="_Toc40376072"/>
      <w:r>
        <w:t>2.1.</w:t>
      </w:r>
      <w:r>
        <w:tab/>
      </w:r>
      <w:r>
        <w:rPr>
          <w:noProof/>
        </w:rPr>
        <w:t>Monitoring and reporting rules</w:t>
      </w:r>
      <w:bookmarkEnd w:id="28"/>
      <w:bookmarkEnd w:id="29"/>
      <w:bookmarkEnd w:id="30"/>
      <w:bookmarkEnd w:id="31"/>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lang w:val="en-US"/>
        </w:rPr>
      </w:pPr>
      <w:r>
        <w:rPr>
          <w:noProof/>
          <w:lang w:val="en-IE"/>
        </w:rPr>
        <w:t>In accordance with COUNCIL REGULATION (EC) No 1257/96 of 20 June 1996 concerning humanitarian aid, the Commission monitors and assess operations under the Humanitarian aid according to the budgetary and other procedures in force, in particular those laid down in the Financial Regulation applicable to the general budget of the EU. The Commission regularly assesses humanitarian aid operations in order to establish whether they have achieved their objectives and to produce guidelines for improving the effectiveness of subsequent operations. The Commission reports to the Committee established in accordance with Article 17 of the Regulation.</w:t>
      </w:r>
    </w:p>
    <w:p>
      <w:pPr>
        <w:pStyle w:val="ManualHeading2"/>
        <w:rPr>
          <w:bCs/>
          <w:noProof/>
          <w:szCs w:val="24"/>
        </w:rPr>
      </w:pPr>
      <w:bookmarkStart w:id="32" w:name="_Toc514941984"/>
      <w:bookmarkStart w:id="33" w:name="_Toc39837057"/>
      <w:bookmarkStart w:id="34" w:name="_Toc39839404"/>
      <w:bookmarkStart w:id="35" w:name="_Toc40376073"/>
      <w:r>
        <w:t>2.2.</w:t>
      </w:r>
      <w:r>
        <w:tab/>
      </w:r>
      <w:r>
        <w:rPr>
          <w:noProof/>
        </w:rPr>
        <w:t>Management and control system(s)</w:t>
      </w:r>
      <w:bookmarkEnd w:id="32"/>
      <w:bookmarkEnd w:id="33"/>
      <w:bookmarkEnd w:id="34"/>
      <w:bookmarkEnd w:id="35"/>
      <w:r>
        <w:rPr>
          <w:noProof/>
        </w:rPr>
        <w:t xml:space="preserve"> </w:t>
      </w:r>
    </w:p>
    <w:p>
      <w:pPr>
        <w:pStyle w:val="Text1"/>
        <w:pBdr>
          <w:top w:val="single" w:sz="4" w:space="1" w:color="auto"/>
          <w:left w:val="single" w:sz="4" w:space="4" w:color="auto"/>
          <w:bottom w:val="single" w:sz="4" w:space="1" w:color="auto"/>
          <w:right w:val="single" w:sz="4" w:space="4" w:color="auto"/>
        </w:pBdr>
        <w:rPr>
          <w:noProof/>
          <w:szCs w:val="24"/>
        </w:rPr>
      </w:pPr>
      <w:bookmarkStart w:id="36" w:name="_Toc514941985"/>
      <w:bookmarkStart w:id="37" w:name="_Toc39837058"/>
      <w:bookmarkStart w:id="38" w:name="_Toc39839405"/>
      <w:r>
        <w:rPr>
          <w:noProof/>
          <w:szCs w:val="24"/>
          <w:shd w:val="clear" w:color="auto" w:fill="FFFFFF"/>
        </w:rPr>
        <w:t xml:space="preserve">In order to ensure transparency and accountability on how European aid funds were spent, at the end of each year the European Commission's department for European Civil Protection and Humanitarian Aid Operations (ECHO) establishes an annual report. The report is available to the public, presenting how the budget was spent and which activities were carried out. ECHO is regularly subject to an annual detailed review of procedures and validation of its expenditure. </w:t>
      </w:r>
      <w:hyperlink r:id="rId16" w:history="1">
        <w:r>
          <w:rPr>
            <w:rStyle w:val="Hyperlink"/>
            <w:noProof/>
            <w:szCs w:val="24"/>
          </w:rPr>
          <w:t>Audits</w:t>
        </w:r>
      </w:hyperlink>
      <w:r>
        <w:rPr>
          <w:noProof/>
          <w:szCs w:val="24"/>
          <w:shd w:val="clear" w:color="auto" w:fill="FFFFFF"/>
        </w:rPr>
        <w:t xml:space="preserve"> are carried out by the European Court of Auditors, as well as the Internal Audit Service of the Commission. </w:t>
      </w:r>
      <w:r>
        <w:rPr>
          <w:noProof/>
          <w:szCs w:val="24"/>
        </w:rPr>
        <w:t>ECHO also carries out partners' audits to assess whether grants have been spent in accordance with laid down rules, and to provide recommendations to improve the financial management by partners.</w:t>
      </w:r>
      <w:r>
        <w:rPr>
          <w:noProof/>
        </w:rPr>
        <w:t xml:space="preserve"> </w:t>
      </w:r>
      <w:bookmarkEnd w:id="36"/>
      <w:bookmarkEnd w:id="37"/>
      <w:bookmarkEnd w:id="38"/>
    </w:p>
    <w:p>
      <w:pPr>
        <w:pStyle w:val="ManualHeading2"/>
        <w:rPr>
          <w:bCs/>
          <w:noProof/>
          <w:szCs w:val="24"/>
        </w:rPr>
      </w:pPr>
      <w:bookmarkStart w:id="39" w:name="_Toc514941988"/>
      <w:bookmarkStart w:id="40" w:name="_Toc39837061"/>
      <w:bookmarkStart w:id="41" w:name="_Toc39839408"/>
      <w:bookmarkStart w:id="42" w:name="_Toc40376074"/>
      <w:r>
        <w:t>2.3.</w:t>
      </w:r>
      <w:r>
        <w:tab/>
      </w:r>
      <w:r>
        <w:rPr>
          <w:noProof/>
        </w:rPr>
        <w:t>Measures to prevent fraud and irregularities</w:t>
      </w:r>
      <w:bookmarkEnd w:id="39"/>
      <w:bookmarkEnd w:id="40"/>
      <w:bookmarkEnd w:id="41"/>
      <w:bookmarkEnd w:id="42"/>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ECHO has in place an Anti-Fraud Strategy. The Strategy covers all key areas such as all stages of the anti-fraud cycle (prevention, detection, correction); internal fraud and external fraud; all activities of the DG, in particular Humanitarian Aid and Civil Protection actions; direct and indirect management modes; and fraud-proofing of legislation.</w:t>
      </w:r>
    </w:p>
    <w:p>
      <w:pPr>
        <w:pStyle w:val="ManualHeading1"/>
        <w:rPr>
          <w:bCs/>
          <w:noProof/>
          <w:szCs w:val="24"/>
        </w:rPr>
      </w:pPr>
      <w:r>
        <w:t>3.</w:t>
      </w:r>
      <w:r>
        <w:tab/>
      </w:r>
      <w:r>
        <w:rPr>
          <w:noProof/>
        </w:rPr>
        <w:t xml:space="preserve"> </w:t>
      </w:r>
      <w:bookmarkStart w:id="43" w:name="_Toc514941989"/>
      <w:bookmarkStart w:id="44" w:name="_Toc40376075"/>
      <w:r>
        <w:rPr>
          <w:noProof/>
        </w:rPr>
        <w:t>ESTIMATED FINANCIAL IMPACT OF THE PROPOSAL/INITIATIVE</w:t>
      </w:r>
      <w:bookmarkEnd w:id="43"/>
      <w:bookmarkEnd w:id="44"/>
      <w:r>
        <w:rPr>
          <w:noProof/>
        </w:rPr>
        <w:t xml:space="preserve"> </w:t>
      </w:r>
    </w:p>
    <w:p>
      <w:pPr>
        <w:pStyle w:val="ManualHeading2"/>
        <w:rPr>
          <w:noProof/>
        </w:rPr>
      </w:pPr>
      <w:bookmarkStart w:id="45" w:name="_Toc514941990"/>
      <w:bookmarkStart w:id="46" w:name="_Toc40376076"/>
      <w:r>
        <w:t>3.1.</w:t>
      </w:r>
      <w:r>
        <w:tab/>
      </w:r>
      <w:r>
        <w:rPr>
          <w:noProof/>
        </w:rPr>
        <w:t>Headings of the multiannual financial framework and new expenditure budget line(s) proposed</w:t>
      </w:r>
      <w:bookmarkEnd w:id="45"/>
      <w:bookmarkEnd w:id="46"/>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Align w:val="center"/>
          </w:tcPr>
          <w:p>
            <w:pPr>
              <w:jc w:val="center"/>
              <w:rPr>
                <w:noProof/>
              </w:rPr>
            </w:pPr>
          </w:p>
        </w:tc>
        <w:tc>
          <w:tcPr>
            <w:tcW w:w="3960" w:type="dxa"/>
            <w:vAlign w:val="center"/>
          </w:tcPr>
          <w:p>
            <w:pPr>
              <w:rPr>
                <w:b/>
                <w:noProof/>
              </w:rPr>
            </w:pPr>
            <w:r>
              <w:rPr>
                <w:b/>
                <w:noProof/>
                <w:sz w:val="20"/>
              </w:rPr>
              <w:t>Heading 6. Neighbourhood and the World</w:t>
            </w:r>
          </w:p>
        </w:tc>
        <w:tc>
          <w:tcPr>
            <w:tcW w:w="1080" w:type="dxa"/>
            <w:vAlign w:val="center"/>
          </w:tcPr>
          <w:p>
            <w:pPr>
              <w:jc w:val="center"/>
              <w:rPr>
                <w:noProof/>
              </w:rPr>
            </w:pPr>
            <w:r>
              <w:rPr>
                <w:noProof/>
                <w:sz w:val="18"/>
              </w:rPr>
              <w:t>Diff./Non-diff.</w:t>
            </w:r>
            <w:r>
              <w:rPr>
                <w:rStyle w:val="FootnoteReference"/>
                <w:noProof/>
                <w:sz w:val="18"/>
              </w:rPr>
              <w:footnoteReference w:id="7"/>
            </w:r>
          </w:p>
        </w:tc>
        <w:tc>
          <w:tcPr>
            <w:tcW w:w="1044" w:type="dxa"/>
            <w:vAlign w:val="center"/>
          </w:tcPr>
          <w:p>
            <w:pPr>
              <w:jc w:val="center"/>
              <w:rPr>
                <w:noProof/>
              </w:rPr>
            </w:pPr>
            <w:r>
              <w:rPr>
                <w:noProof/>
                <w:sz w:val="18"/>
              </w:rPr>
              <w:t>from EFTA countries</w:t>
            </w:r>
            <w:r>
              <w:rPr>
                <w:rStyle w:val="FootnoteReference"/>
                <w:noProof/>
                <w:sz w:val="18"/>
              </w:rPr>
              <w:footnoteReference w:id="8"/>
            </w:r>
          </w:p>
          <w:p>
            <w:pPr>
              <w:spacing w:before="0" w:after="0"/>
              <w:jc w:val="center"/>
              <w:rPr>
                <w:b/>
                <w:noProof/>
                <w:sz w:val="18"/>
              </w:rPr>
            </w:pPr>
          </w:p>
        </w:tc>
        <w:tc>
          <w:tcPr>
            <w:tcW w:w="1134" w:type="dxa"/>
            <w:vAlign w:val="center"/>
          </w:tcPr>
          <w:p>
            <w:pPr>
              <w:jc w:val="center"/>
              <w:rPr>
                <w:noProof/>
              </w:rPr>
            </w:pPr>
            <w:r>
              <w:rPr>
                <w:noProof/>
                <w:sz w:val="18"/>
              </w:rPr>
              <w:t>from candidate countries</w:t>
            </w:r>
            <w:r>
              <w:rPr>
                <w:rStyle w:val="FootnoteReference"/>
                <w:noProof/>
                <w:sz w:val="18"/>
              </w:rPr>
              <w:footnoteReference w:id="9"/>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color w:val="0000FF"/>
              </w:rPr>
              <w:t>6</w:t>
            </w:r>
          </w:p>
        </w:tc>
        <w:tc>
          <w:tcPr>
            <w:tcW w:w="3960" w:type="dxa"/>
            <w:vAlign w:val="center"/>
          </w:tcPr>
          <w:p>
            <w:pPr>
              <w:spacing w:after="60"/>
              <w:rPr>
                <w:noProof/>
              </w:rPr>
            </w:pPr>
            <w:r>
              <w:rPr>
                <w:noProof/>
              </w:rPr>
              <w:t>15 01 02 Support expenditure for "Humanitarian Aid"</w:t>
            </w:r>
          </w:p>
        </w:tc>
        <w:tc>
          <w:tcPr>
            <w:tcW w:w="1080" w:type="dxa"/>
            <w:vAlign w:val="center"/>
          </w:tcPr>
          <w:p>
            <w:pPr>
              <w:jc w:val="center"/>
              <w:rPr>
                <w:noProof/>
                <w:color w:val="0000FF"/>
              </w:rPr>
            </w:pPr>
            <w:r>
              <w:rPr>
                <w:noProof/>
                <w:sz w:val="22"/>
              </w:rPr>
              <w:t>Non-diff.</w:t>
            </w:r>
          </w:p>
        </w:tc>
        <w:tc>
          <w:tcPr>
            <w:tcW w:w="1044" w:type="dxa"/>
            <w:vAlign w:val="center"/>
          </w:tcPr>
          <w:p>
            <w:pPr>
              <w:jc w:val="center"/>
              <w:rPr>
                <w:noProof/>
              </w:rPr>
            </w:pPr>
            <w:r>
              <w:rPr>
                <w:noProof/>
                <w:sz w:val="22"/>
              </w:rPr>
              <w:t>YES</w:t>
            </w:r>
          </w:p>
        </w:tc>
        <w:tc>
          <w:tcPr>
            <w:tcW w:w="1134" w:type="dxa"/>
            <w:vAlign w:val="center"/>
          </w:tcPr>
          <w:p>
            <w:pPr>
              <w:jc w:val="center"/>
              <w:rPr>
                <w:noProof/>
              </w:rPr>
            </w:pPr>
            <w:r>
              <w:rPr>
                <w:noProof/>
                <w:sz w:val="22"/>
              </w:rPr>
              <w:t>YES</w:t>
            </w:r>
          </w:p>
        </w:tc>
        <w:tc>
          <w:tcPr>
            <w:tcW w:w="814" w:type="dxa"/>
            <w:vAlign w:val="center"/>
          </w:tcPr>
          <w:p>
            <w:pPr>
              <w:jc w:val="center"/>
              <w:rPr>
                <w:noProof/>
              </w:rPr>
            </w:pPr>
            <w:r>
              <w:rPr>
                <w:noProof/>
                <w:sz w:val="22"/>
              </w:rPr>
              <w:t>YES</w:t>
            </w:r>
          </w:p>
        </w:tc>
        <w:tc>
          <w:tcPr>
            <w:tcW w:w="1448" w:type="dxa"/>
            <w:vAlign w:val="center"/>
          </w:tcPr>
          <w:p>
            <w:pPr>
              <w:jc w:val="center"/>
              <w:rPr>
                <w:noProof/>
              </w:rPr>
            </w:pPr>
            <w:r>
              <w:rPr>
                <w:noProof/>
                <w:sz w:val="22"/>
              </w:rPr>
              <w:t>NO</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rPr>
            </w:pPr>
            <w:r>
              <w:rPr>
                <w:noProof/>
              </w:rPr>
              <w:t>15 03 01 Humanitarian aid</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YES</w:t>
            </w:r>
          </w:p>
        </w:tc>
        <w:tc>
          <w:tcPr>
            <w:tcW w:w="1134" w:type="dxa"/>
            <w:vAlign w:val="center"/>
          </w:tcPr>
          <w:p>
            <w:pPr>
              <w:jc w:val="center"/>
              <w:rPr>
                <w:noProof/>
                <w:sz w:val="22"/>
              </w:rPr>
            </w:pPr>
            <w:r>
              <w:rPr>
                <w:noProof/>
                <w:sz w:val="22"/>
              </w:rPr>
              <w:t>YES</w:t>
            </w:r>
          </w:p>
        </w:tc>
        <w:tc>
          <w:tcPr>
            <w:tcW w:w="814"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7" w:name="_Toc514941991"/>
      <w:bookmarkStart w:id="48" w:name="_Toc40376077"/>
      <w:r>
        <w:t>3.2.</w:t>
      </w:r>
      <w:r>
        <w:tab/>
      </w:r>
      <w:r>
        <w:rPr>
          <w:noProof/>
        </w:rPr>
        <w:t>Estimated impact on expenditure</w:t>
      </w:r>
      <w:bookmarkEnd w:id="47"/>
      <w:bookmarkEnd w:id="48"/>
      <w:r>
        <w:rPr>
          <w:noProof/>
        </w:rPr>
        <w:t xml:space="preserve"> </w:t>
      </w:r>
    </w:p>
    <w:p>
      <w:pPr>
        <w:pStyle w:val="ManualHeading3"/>
        <w:rPr>
          <w:noProof/>
          <w:u w:val="single"/>
        </w:rPr>
      </w:pPr>
      <w:bookmarkStart w:id="49" w:name="_Toc514941992"/>
      <w:bookmarkStart w:id="50" w:name="_Toc40376078"/>
      <w:r>
        <w:t>3.2.1.</w:t>
      </w:r>
      <w:r>
        <w:tab/>
      </w:r>
      <w:r>
        <w:rPr>
          <w:noProof/>
        </w:rPr>
        <w:t>Summary of estimated impact on expenditure</w:t>
      </w:r>
      <w:bookmarkEnd w:id="49"/>
      <w:bookmarkEnd w:id="50"/>
      <w:r>
        <w:rPr>
          <w:noProof/>
        </w:rPr>
        <w:t xml:space="preserve"> </w:t>
      </w:r>
    </w:p>
    <w:p>
      <w:pPr>
        <w:rPr>
          <w:i/>
          <w:noProof/>
          <w:lang w:val="en-US"/>
        </w:rPr>
      </w:pPr>
      <w:r>
        <w:rPr>
          <w:noProof/>
          <w:sz w:val="20"/>
        </w:rPr>
        <w:t>EUR million (to three decimal places)</w:t>
      </w:r>
    </w:p>
    <w:p>
      <w:pPr>
        <w:rPr>
          <w:i/>
          <w:noProof/>
          <w:lang w:val="en-US"/>
        </w:rPr>
      </w:pPr>
    </w:p>
    <w:p>
      <w:pPr>
        <w:rPr>
          <w:i/>
          <w:iCs/>
          <w:noProof/>
          <w:lang w:val="en-IE"/>
        </w:rPr>
      </w:pPr>
      <w:r>
        <w:rPr>
          <w:i/>
          <w:iCs/>
          <w:noProof/>
          <w:lang w:val="en-IE"/>
        </w:rPr>
        <w:t>In addition to the resources made available under the</w:t>
      </w:r>
      <w:r>
        <w:rPr>
          <w:rFonts w:ascii="Calibri" w:hAnsi="Calibri" w:cs="Calibri"/>
          <w:i/>
          <w:iCs/>
          <w:noProof/>
          <w:color w:val="FF0000"/>
          <w:lang w:val="en-IE"/>
        </w:rPr>
        <w:t xml:space="preserve"> </w:t>
      </w:r>
      <w:r>
        <w:rPr>
          <w:i/>
          <w:noProof/>
          <w:highlight w:val="yellow"/>
          <w:lang w:val="en-IE"/>
        </w:rPr>
        <w:t xml:space="preserve">MFF </w:t>
      </w:r>
      <w:r>
        <w:rPr>
          <w:i/>
          <w:iCs/>
          <w:noProof/>
          <w:lang w:val="en-IE"/>
        </w:rPr>
        <w:t>ceiling for Heading [EUR 5 468 000 000 ] (in current prices) will be available as external assigned revenues, within the meaning of Article 21(5) of the Financial Regulation as financing from the European Union Recovery Instrument. Out of this up to EUR 42 000 000 may be dedicated to administrative expenditure, including external staff costs.</w:t>
      </w:r>
    </w:p>
    <w:p>
      <w:pPr>
        <w:rPr>
          <w:i/>
          <w:noProof/>
          <w:lang w:val="en-US"/>
        </w:rPr>
      </w:pPr>
      <w:r>
        <w:rPr>
          <w:i/>
          <w:noProof/>
          <w:lang w:val="en-US"/>
        </w:rPr>
        <w:t>The indicative breakdown of the expenditure from external assigned revenue is as follows:</w:t>
      </w:r>
    </w:p>
    <w:p>
      <w:pPr>
        <w:rPr>
          <w:i/>
          <w:noProof/>
          <w:lang w:val="en-US"/>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18"/>
        <w:gridCol w:w="709"/>
        <w:gridCol w:w="1134"/>
        <w:gridCol w:w="1134"/>
        <w:gridCol w:w="1134"/>
        <w:gridCol w:w="1134"/>
        <w:gridCol w:w="992"/>
        <w:gridCol w:w="992"/>
        <w:gridCol w:w="851"/>
        <w:gridCol w:w="1196"/>
      </w:tblGrid>
      <w:tr>
        <w:tc>
          <w:tcPr>
            <w:tcW w:w="2943" w:type="dxa"/>
            <w:vAlign w:val="center"/>
          </w:tcPr>
          <w:p>
            <w:pPr>
              <w:jc w:val="center"/>
              <w:rPr>
                <w:noProof/>
                <w:sz w:val="20"/>
                <w:szCs w:val="20"/>
              </w:rPr>
            </w:pPr>
            <w:r>
              <w:rPr>
                <w:noProof/>
                <w:sz w:val="20"/>
                <w:szCs w:val="20"/>
              </w:rPr>
              <w:t>[–Humanitarian aid]</w:t>
            </w:r>
          </w:p>
        </w:tc>
        <w:tc>
          <w:tcPr>
            <w:tcW w:w="1418" w:type="dxa"/>
            <w:vAlign w:val="center"/>
          </w:tcPr>
          <w:p>
            <w:pPr>
              <w:jc w:val="center"/>
              <w:rPr>
                <w:noProof/>
                <w:sz w:val="20"/>
                <w:szCs w:val="20"/>
              </w:rPr>
            </w:pPr>
          </w:p>
        </w:tc>
        <w:tc>
          <w:tcPr>
            <w:tcW w:w="709" w:type="dxa"/>
            <w:vAlign w:val="center"/>
          </w:tcPr>
          <w:p>
            <w:pPr>
              <w:jc w:val="center"/>
              <w:rPr>
                <w:noProof/>
                <w:sz w:val="20"/>
                <w:szCs w:val="20"/>
              </w:rPr>
            </w:pPr>
          </w:p>
        </w:tc>
        <w:tc>
          <w:tcPr>
            <w:tcW w:w="1134" w:type="dxa"/>
            <w:vAlign w:val="center"/>
          </w:tcPr>
          <w:p>
            <w:pPr>
              <w:jc w:val="center"/>
              <w:rPr>
                <w:noProof/>
                <w:sz w:val="20"/>
                <w:szCs w:val="20"/>
              </w:rPr>
            </w:pPr>
            <w:r>
              <w:rPr>
                <w:b/>
                <w:noProof/>
                <w:sz w:val="20"/>
                <w:szCs w:val="20"/>
              </w:rPr>
              <w:t>2021</w:t>
            </w:r>
          </w:p>
        </w:tc>
        <w:tc>
          <w:tcPr>
            <w:tcW w:w="1134" w:type="dxa"/>
            <w:vAlign w:val="center"/>
          </w:tcPr>
          <w:p>
            <w:pPr>
              <w:jc w:val="center"/>
              <w:rPr>
                <w:noProof/>
                <w:sz w:val="20"/>
                <w:szCs w:val="20"/>
              </w:rPr>
            </w:pPr>
            <w:r>
              <w:rPr>
                <w:b/>
                <w:noProof/>
                <w:sz w:val="20"/>
                <w:szCs w:val="20"/>
              </w:rPr>
              <w:t>2022</w:t>
            </w:r>
          </w:p>
        </w:tc>
        <w:tc>
          <w:tcPr>
            <w:tcW w:w="1134" w:type="dxa"/>
            <w:vAlign w:val="center"/>
          </w:tcPr>
          <w:p>
            <w:pPr>
              <w:jc w:val="center"/>
              <w:rPr>
                <w:noProof/>
                <w:sz w:val="20"/>
                <w:szCs w:val="20"/>
              </w:rPr>
            </w:pPr>
            <w:r>
              <w:rPr>
                <w:b/>
                <w:noProof/>
                <w:sz w:val="20"/>
                <w:szCs w:val="20"/>
              </w:rPr>
              <w:t>2023</w:t>
            </w:r>
          </w:p>
        </w:tc>
        <w:tc>
          <w:tcPr>
            <w:tcW w:w="1134" w:type="dxa"/>
            <w:vAlign w:val="center"/>
          </w:tcPr>
          <w:p>
            <w:pPr>
              <w:jc w:val="center"/>
              <w:rPr>
                <w:noProof/>
                <w:sz w:val="20"/>
                <w:szCs w:val="20"/>
              </w:rPr>
            </w:pPr>
            <w:r>
              <w:rPr>
                <w:b/>
                <w:noProof/>
                <w:sz w:val="20"/>
                <w:szCs w:val="20"/>
              </w:rPr>
              <w:t>2024</w:t>
            </w:r>
          </w:p>
        </w:tc>
        <w:tc>
          <w:tcPr>
            <w:tcW w:w="992" w:type="dxa"/>
            <w:vAlign w:val="center"/>
          </w:tcPr>
          <w:p>
            <w:pPr>
              <w:jc w:val="center"/>
              <w:rPr>
                <w:b/>
                <w:noProof/>
                <w:sz w:val="20"/>
                <w:szCs w:val="20"/>
              </w:rPr>
            </w:pPr>
            <w:r>
              <w:rPr>
                <w:b/>
                <w:noProof/>
                <w:sz w:val="20"/>
                <w:szCs w:val="20"/>
              </w:rPr>
              <w:t>2025</w:t>
            </w:r>
          </w:p>
        </w:tc>
        <w:tc>
          <w:tcPr>
            <w:tcW w:w="992" w:type="dxa"/>
            <w:vAlign w:val="center"/>
          </w:tcPr>
          <w:p>
            <w:pPr>
              <w:jc w:val="center"/>
              <w:rPr>
                <w:b/>
                <w:noProof/>
                <w:sz w:val="20"/>
                <w:szCs w:val="20"/>
              </w:rPr>
            </w:pPr>
            <w:r>
              <w:rPr>
                <w:b/>
                <w:noProof/>
                <w:sz w:val="20"/>
                <w:szCs w:val="20"/>
              </w:rPr>
              <w:t>2026</w:t>
            </w:r>
          </w:p>
        </w:tc>
        <w:tc>
          <w:tcPr>
            <w:tcW w:w="851" w:type="dxa"/>
            <w:vAlign w:val="center"/>
          </w:tcPr>
          <w:p>
            <w:pPr>
              <w:jc w:val="center"/>
              <w:rPr>
                <w:b/>
                <w:noProof/>
                <w:sz w:val="20"/>
                <w:szCs w:val="20"/>
              </w:rPr>
            </w:pPr>
            <w:r>
              <w:rPr>
                <w:b/>
                <w:noProof/>
                <w:sz w:val="20"/>
                <w:szCs w:val="20"/>
              </w:rPr>
              <w:t>2027</w:t>
            </w:r>
          </w:p>
        </w:tc>
        <w:tc>
          <w:tcPr>
            <w:tcW w:w="1196" w:type="dxa"/>
            <w:vAlign w:val="center"/>
          </w:tcPr>
          <w:p>
            <w:pPr>
              <w:jc w:val="center"/>
              <w:rPr>
                <w:b/>
                <w:noProof/>
                <w:sz w:val="20"/>
                <w:szCs w:val="20"/>
              </w:rPr>
            </w:pPr>
            <w:r>
              <w:rPr>
                <w:b/>
                <w:noProof/>
                <w:sz w:val="20"/>
                <w:szCs w:val="20"/>
              </w:rPr>
              <w:t>TOTAL</w:t>
            </w:r>
          </w:p>
        </w:tc>
      </w:tr>
      <w:tr>
        <w:tc>
          <w:tcPr>
            <w:tcW w:w="2943"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Operational expenditure from EURI external assigned revenues</w:t>
            </w:r>
          </w:p>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Commitments</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1 316,170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1 341,170   </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1 368,170</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1 400,490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color w:val="000000"/>
                <w:sz w:val="20"/>
                <w:szCs w:val="20"/>
              </w:rPr>
              <w:t xml:space="preserve">5 426,000   </w:t>
            </w:r>
          </w:p>
        </w:tc>
      </w:tr>
      <w:tr>
        <w:tc>
          <w:tcPr>
            <w:tcW w:w="2943"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Payments</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864,621</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1 214,845</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color w:val="000000"/>
                <w:sz w:val="20"/>
                <w:szCs w:val="20"/>
              </w:rPr>
            </w:pPr>
            <w:r>
              <w:rPr>
                <w:rFonts w:ascii="Calibri" w:hAnsi="Calibri" w:cs="Calibri"/>
                <w:noProof/>
                <w:color w:val="000000"/>
                <w:sz w:val="20"/>
                <w:szCs w:val="20"/>
              </w:rPr>
              <w:t>1 356,504</w:t>
            </w:r>
          </w:p>
          <w:p>
            <w:pPr>
              <w:jc w:val="center"/>
              <w:rPr>
                <w:rFonts w:asciiTheme="minorHAnsi" w:hAnsiTheme="minorHAnsi" w:cstheme="minorHAnsi"/>
                <w:b/>
                <w:noProo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color w:val="000000"/>
                <w:sz w:val="20"/>
                <w:szCs w:val="20"/>
              </w:rPr>
            </w:pPr>
            <w:r>
              <w:rPr>
                <w:rFonts w:ascii="Calibri" w:hAnsi="Calibri" w:cs="Calibri"/>
                <w:noProof/>
                <w:color w:val="000000"/>
                <w:sz w:val="20"/>
                <w:szCs w:val="20"/>
              </w:rPr>
              <w:t>1.383,504</w:t>
            </w:r>
          </w:p>
          <w:p>
            <w:pPr>
              <w:jc w:val="center"/>
              <w:rPr>
                <w:rFonts w:asciiTheme="minorHAnsi" w:hAnsiTheme="minorHAnsi" w:cstheme="minorHAnsi"/>
                <w:b/>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477,110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129,416</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      </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color w:val="000000"/>
                <w:sz w:val="20"/>
                <w:szCs w:val="20"/>
              </w:rPr>
              <w:t xml:space="preserve">5 426,000   </w:t>
            </w:r>
          </w:p>
        </w:tc>
      </w:tr>
      <w:tr>
        <w:tc>
          <w:tcPr>
            <w:tcW w:w="2943"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Administrative support expenditure from EURI external assigned revenues</w:t>
            </w:r>
          </w:p>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Commitments = Payments</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sz w:val="20"/>
                <w:szCs w:val="20"/>
              </w:rPr>
            </w:pPr>
            <w:r>
              <w:rPr>
                <w:rFonts w:ascii="Calibri" w:hAnsi="Calibri" w:cs="Calibri"/>
                <w:noProof/>
                <w:sz w:val="20"/>
                <w:szCs w:val="20"/>
              </w:rPr>
              <w:t>5,830</w:t>
            </w:r>
          </w:p>
          <w:p>
            <w:pPr>
              <w:jc w:val="center"/>
              <w:rPr>
                <w:rFonts w:asciiTheme="minorHAnsi" w:hAnsiTheme="minorHAnsi" w:cstheme="minorHAnsi"/>
                <w:b/>
                <w:noProo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sz w:val="20"/>
                <w:szCs w:val="20"/>
              </w:rPr>
              <w:t>7,830</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sz w:val="20"/>
                <w:szCs w:val="20"/>
              </w:rPr>
              <w:t>7,830</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sz w:val="20"/>
                <w:szCs w:val="20"/>
              </w:rPr>
              <w:t>7,830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sz w:val="20"/>
                <w:szCs w:val="20"/>
              </w:rPr>
            </w:pPr>
            <w:r>
              <w:rPr>
                <w:rFonts w:ascii="Calibri" w:hAnsi="Calibri" w:cs="Calibri"/>
                <w:noProof/>
                <w:sz w:val="20"/>
                <w:szCs w:val="20"/>
              </w:rPr>
              <w:t>5,830</w:t>
            </w:r>
          </w:p>
          <w:p>
            <w:pPr>
              <w:jc w:val="center"/>
              <w:rPr>
                <w:rFonts w:asciiTheme="minorHAnsi" w:hAnsiTheme="minorHAnsi" w:cstheme="minorHAnsi"/>
                <w:b/>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sz w:val="20"/>
                <w:szCs w:val="20"/>
              </w:rPr>
              <w:t>4,230</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sz w:val="20"/>
                <w:szCs w:val="20"/>
              </w:rPr>
            </w:pPr>
            <w:r>
              <w:rPr>
                <w:rFonts w:ascii="Calibri" w:hAnsi="Calibri" w:cs="Calibri"/>
                <w:noProof/>
                <w:sz w:val="20"/>
                <w:szCs w:val="20"/>
              </w:rPr>
              <w:t>2,620</w:t>
            </w:r>
          </w:p>
          <w:p>
            <w:pPr>
              <w:jc w:val="center"/>
              <w:rPr>
                <w:rFonts w:asciiTheme="minorHAnsi" w:hAnsiTheme="minorHAnsi" w:cstheme="minorHAnsi"/>
                <w:b/>
                <w:noProof/>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42,000 </w:t>
            </w:r>
          </w:p>
        </w:tc>
      </w:tr>
      <w:tr>
        <w:tc>
          <w:tcPr>
            <w:tcW w:w="2943"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Total external assigned revenues</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Commitments</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1 322,000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1 349,000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1 376,000   </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1 408,320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color w:val="000000"/>
                <w:sz w:val="20"/>
                <w:szCs w:val="20"/>
              </w:rPr>
            </w:pPr>
            <w:r>
              <w:rPr>
                <w:rFonts w:ascii="Calibri" w:hAnsi="Calibri" w:cs="Calibri"/>
                <w:noProof/>
                <w:color w:val="000000"/>
                <w:sz w:val="20"/>
                <w:szCs w:val="20"/>
              </w:rPr>
              <w:t>5,830</w:t>
            </w:r>
          </w:p>
          <w:p>
            <w:pPr>
              <w:jc w:val="center"/>
              <w:rPr>
                <w:rFonts w:asciiTheme="minorHAnsi" w:hAnsiTheme="minorHAnsi" w:cstheme="minorHAnsi"/>
                <w:b/>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4,230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2,620</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color w:val="000000"/>
                <w:sz w:val="20"/>
                <w:szCs w:val="20"/>
              </w:rPr>
              <w:t xml:space="preserve">5 468,000   </w:t>
            </w:r>
          </w:p>
        </w:tc>
      </w:tr>
      <w:tr>
        <w:tc>
          <w:tcPr>
            <w:tcW w:w="2943"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Payments</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=2+3</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870,451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1 222,675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1 364,334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1 391,334   </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sz w:val="20"/>
                <w:szCs w:val="20"/>
              </w:rPr>
              <w:t xml:space="preserve">482,940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133,646</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cs="Calibri"/>
                <w:noProof/>
                <w:color w:val="000000"/>
                <w:sz w:val="20"/>
                <w:szCs w:val="20"/>
              </w:rPr>
              <w:t>2,620</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cstheme="minorHAnsi"/>
                <w:noProof/>
                <w:color w:val="000000"/>
                <w:sz w:val="20"/>
                <w:szCs w:val="20"/>
              </w:rPr>
              <w:t xml:space="preserve">5 468,000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color w:val="0000FF"/>
        </w:rPr>
      </w:pPr>
    </w:p>
    <w:p>
      <w:pPr>
        <w:jc w:val="left"/>
        <w:rPr>
          <w:noProof/>
        </w:rPr>
      </w:pPr>
    </w:p>
    <w:p>
      <w:pPr>
        <w:jc w:val="right"/>
        <w:rPr>
          <w:noProof/>
          <w:sz w:val="20"/>
        </w:rPr>
      </w:pPr>
      <w:r>
        <w:rPr>
          <w:noProof/>
          <w:sz w:val="20"/>
        </w:rPr>
        <w:t>EUR million (to three decimal places)</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bCs/>
          <w:noProof/>
          <w:szCs w:val="24"/>
        </w:rPr>
      </w:pPr>
      <w:bookmarkStart w:id="51" w:name="_Toc514941993"/>
      <w:bookmarkStart w:id="52" w:name="_Toc40376079"/>
      <w:r>
        <w:t>3.2.2.</w:t>
      </w:r>
      <w:r>
        <w:tab/>
      </w:r>
      <w:r>
        <w:rPr>
          <w:noProof/>
        </w:rPr>
        <w:t>Summary of estimated impact on appropriations of an administrative nature</w:t>
      </w:r>
      <w:bookmarkEnd w:id="51"/>
      <w:bookmarkEnd w:id="52"/>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10"/>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rPr>
            </w:pPr>
            <w:r>
              <w:rPr>
                <w:noProof/>
                <w:sz w:val="16"/>
              </w:rPr>
              <w:t xml:space="preserve">Human resources -external assigned revenue (non-research) </w:t>
            </w:r>
          </w:p>
        </w:tc>
        <w:tc>
          <w:tcPr>
            <w:tcW w:w="1080" w:type="dxa"/>
            <w:vAlign w:val="center"/>
          </w:tcPr>
          <w:p>
            <w:pPr>
              <w:spacing w:before="60" w:after="60" w:line="200" w:lineRule="exact"/>
              <w:jc w:val="right"/>
              <w:rPr>
                <w:noProof/>
                <w:sz w:val="16"/>
                <w:szCs w:val="16"/>
              </w:rPr>
            </w:pPr>
            <w:r>
              <w:rPr>
                <w:noProof/>
                <w:sz w:val="16"/>
                <w:szCs w:val="16"/>
              </w:rPr>
              <w:t>4,000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4,000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29,200</w:t>
            </w:r>
          </w:p>
        </w:tc>
      </w:tr>
      <w:tr>
        <w:trPr>
          <w:trHeight w:val="585"/>
        </w:trPr>
        <w:tc>
          <w:tcPr>
            <w:tcW w:w="1980" w:type="dxa"/>
            <w:vAlign w:val="center"/>
          </w:tcPr>
          <w:p>
            <w:pPr>
              <w:spacing w:before="60" w:after="60" w:line="200" w:lineRule="exact"/>
              <w:ind w:left="72"/>
              <w:jc w:val="left"/>
              <w:rPr>
                <w:noProof/>
                <w:sz w:val="16"/>
              </w:rPr>
            </w:pPr>
            <w:r>
              <w:rPr>
                <w:noProof/>
                <w:sz w:val="16"/>
              </w:rPr>
              <w:t xml:space="preserve">Other expenditure </w:t>
            </w:r>
            <w:r>
              <w:rPr>
                <w:noProof/>
                <w:sz w:val="22"/>
              </w:rPr>
              <w:br/>
            </w:r>
            <w:r>
              <w:rPr>
                <w:noProof/>
                <w:sz w:val="16"/>
              </w:rPr>
              <w:t xml:space="preserve">of an administrative nature - external assigned revenue (non-research) </w:t>
            </w: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1,820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 xml:space="preserve">    12,800 </w:t>
            </w:r>
          </w:p>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rPr>
            </w:pPr>
            <w:r>
              <w:rPr>
                <w:noProof/>
                <w:sz w:val="16"/>
              </w:rPr>
              <w:t>Sub-total external assigned revenue (non-research)</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4,230</w:t>
            </w:r>
          </w:p>
        </w:tc>
        <w:tc>
          <w:tcPr>
            <w:tcW w:w="1080" w:type="dxa"/>
            <w:vAlign w:val="center"/>
          </w:tcPr>
          <w:p>
            <w:pPr>
              <w:spacing w:before="60" w:after="60" w:line="200" w:lineRule="exact"/>
              <w:jc w:val="right"/>
              <w:rPr>
                <w:noProof/>
                <w:sz w:val="16"/>
                <w:szCs w:val="16"/>
              </w:rPr>
            </w:pPr>
            <w:r>
              <w:rPr>
                <w:noProof/>
                <w:sz w:val="16"/>
                <w:szCs w:val="16"/>
              </w:rPr>
              <w:t>2,620</w:t>
            </w:r>
          </w:p>
        </w:tc>
        <w:tc>
          <w:tcPr>
            <w:tcW w:w="1080" w:type="dxa"/>
            <w:vAlign w:val="center"/>
          </w:tcPr>
          <w:p>
            <w:pPr>
              <w:spacing w:before="60" w:after="60" w:line="200" w:lineRule="exact"/>
              <w:jc w:val="right"/>
              <w:rPr>
                <w:noProof/>
                <w:sz w:val="16"/>
                <w:szCs w:val="16"/>
              </w:rPr>
            </w:pPr>
            <w:r>
              <w:rPr>
                <w:noProof/>
                <w:sz w:val="16"/>
                <w:szCs w:val="16"/>
              </w:rPr>
              <w:t>42,000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4,230</w:t>
            </w:r>
          </w:p>
        </w:tc>
        <w:tc>
          <w:tcPr>
            <w:tcW w:w="1080" w:type="dxa"/>
            <w:vAlign w:val="center"/>
          </w:tcPr>
          <w:p>
            <w:pPr>
              <w:spacing w:before="60" w:after="60" w:line="200" w:lineRule="exact"/>
              <w:jc w:val="right"/>
              <w:rPr>
                <w:b/>
                <w:noProof/>
                <w:sz w:val="16"/>
                <w:szCs w:val="16"/>
              </w:rPr>
            </w:pPr>
            <w:r>
              <w:rPr>
                <w:noProof/>
                <w:sz w:val="16"/>
                <w:szCs w:val="16"/>
              </w:rPr>
              <w:t>2,620</w:t>
            </w:r>
          </w:p>
        </w:tc>
        <w:tc>
          <w:tcPr>
            <w:tcW w:w="1080" w:type="dxa"/>
            <w:vAlign w:val="center"/>
          </w:tcPr>
          <w:p>
            <w:pPr>
              <w:spacing w:before="60" w:after="60" w:line="200" w:lineRule="exact"/>
              <w:jc w:val="right"/>
              <w:rPr>
                <w:b/>
                <w:noProof/>
                <w:sz w:val="16"/>
                <w:szCs w:val="16"/>
              </w:rPr>
            </w:pPr>
            <w:r>
              <w:rPr>
                <w:noProof/>
                <w:sz w:val="16"/>
                <w:szCs w:val="16"/>
              </w:rPr>
              <w:t>42,000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5,830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5,830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4,230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2,620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42,000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 Additional staff will be only external staff and will be financed solely from assigned revenues.</w:t>
      </w: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11"/>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12"/>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 xml:space="preserve">Other: external assigned revenue (research)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 xml:space="preserve">Other: external assigned revenue (non-research)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75</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75</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w:t>
            </w: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rPr>
        <w:t xml:space="preserve"> </w:t>
      </w:r>
      <w:r>
        <w:rPr>
          <w:noProof/>
          <w:sz w:val="18"/>
        </w:rPr>
        <w:t>Additional staff will be only external staff and will be financed solely from assigned revenues.</w:t>
      </w:r>
    </w:p>
    <w:p>
      <w:pPr>
        <w:rPr>
          <w:noProof/>
          <w:sz w:val="20"/>
        </w:rPr>
      </w:pPr>
      <w:r>
        <w:rPr>
          <w:noProof/>
          <w:sz w:val="20"/>
        </w:rPr>
        <w:t>Description of tasks to be carried out:</w:t>
      </w:r>
    </w:p>
    <w:tbl>
      <w:tblPr>
        <w:tblW w:w="18024"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gridCol w:w="7392"/>
      </w:tblGrid>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 xml:space="preserve">The external personnel will assist officials and temporary agents to contribute to the implementation of measures referred to in the ERI Regulation and to be implemented under the Humaniatarian Aid Regulation. </w:t>
            </w:r>
          </w:p>
        </w:tc>
        <w:tc>
          <w:tcPr>
            <w:tcW w:w="7392" w:type="dxa"/>
          </w:tcPr>
          <w:p>
            <w:pPr>
              <w:rPr>
                <w:noProof/>
                <w:sz w:val="20"/>
              </w:rPr>
            </w:pPr>
          </w:p>
        </w:tc>
      </w:tr>
    </w:tbl>
    <w:p>
      <w:pPr>
        <w:rPr>
          <w:noProof/>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53" w:name="_Toc514941995"/>
      <w:bookmarkStart w:id="54" w:name="_Toc40376080"/>
      <w:r>
        <w:t>3.3.</w:t>
      </w:r>
      <w:r>
        <w:tab/>
      </w:r>
      <w:r>
        <w:rPr>
          <w:noProof/>
        </w:rPr>
        <w:t>Estimated impact on revenue</w:t>
      </w:r>
      <w:bookmarkEnd w:id="53"/>
      <w:bookmarkEnd w:id="54"/>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p>
    <w:p>
      <w:pPr>
        <w:pStyle w:val="Text1"/>
        <w:rPr>
          <w:rStyle w:val="CommentReference"/>
          <w:noProof/>
        </w:rPr>
      </w:pPr>
      <w:r>
        <w:rPr>
          <w:noProof/>
          <w:sz w:val="20"/>
        </w:rPr>
        <w:t>Other remarks (e.g. method/formula used for calculating the impact on revenue or any other information).</w:t>
      </w:r>
      <w:r>
        <w:rPr>
          <w:rStyle w:val="CommentReference"/>
          <w:noProof/>
        </w:rPr>
        <w:t xml:space="preserve">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https://ec.europa.eu/commission/sites/beta-political/files/budget-may2018-neighbourhood-world-swd_en.pdf</w:t>
      </w:r>
    </w:p>
  </w:footnote>
  <w:footnote w:id="3">
    <w:p>
      <w:pPr>
        <w:pStyle w:val="FootnoteText"/>
        <w:rPr>
          <w:lang w:val="fr-BE"/>
        </w:rPr>
      </w:pPr>
      <w:r>
        <w:rPr>
          <w:rStyle w:val="FootnoteReference"/>
        </w:rPr>
        <w:footnoteRef/>
      </w:r>
      <w:r>
        <w:rPr>
          <w:lang w:val="fr-BE"/>
        </w:rPr>
        <w:tab/>
        <w:t>https://ec.europa.eu/echo/partnerships/consultations/consultations_en</w:t>
      </w:r>
    </w:p>
  </w:footnote>
  <w:footnote w:id="4">
    <w:p>
      <w:pPr>
        <w:pStyle w:val="FootnoteText"/>
        <w:rPr>
          <w:lang w:val="fr-BE"/>
        </w:rPr>
      </w:pPr>
      <w:r>
        <w:rPr>
          <w:rStyle w:val="FootnoteReference"/>
        </w:rPr>
        <w:footnoteRef/>
      </w:r>
      <w:r>
        <w:rPr>
          <w:lang w:val="fr-BE"/>
        </w:rPr>
        <w:tab/>
        <w:t>https://ec.europa.eu/echo/funding-evaluations/evaluations_en</w:t>
      </w:r>
    </w:p>
  </w:footnote>
  <w:footnote w:id="5">
    <w:p>
      <w:pPr>
        <w:pStyle w:val="FootnoteText"/>
        <w:rPr>
          <w:szCs w:val="24"/>
        </w:rPr>
      </w:pPr>
      <w:r>
        <w:rPr>
          <w:rStyle w:val="FootnoteReference"/>
        </w:rPr>
        <w:footnoteRef/>
      </w:r>
      <w:r>
        <w:tab/>
        <w:t>As referred to in Article 58(2)(a) or (b) of the Financial Regulation.</w:t>
      </w:r>
    </w:p>
  </w:footnote>
  <w:footnote w:id="6">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7">
    <w:p>
      <w:pPr>
        <w:pStyle w:val="FootnoteText"/>
        <w:rPr>
          <w:szCs w:val="24"/>
        </w:rPr>
      </w:pPr>
      <w:r>
        <w:rPr>
          <w:rStyle w:val="FootnoteReference"/>
        </w:rPr>
        <w:footnoteRef/>
      </w:r>
      <w:r>
        <w:tab/>
        <w:t>Diff. = Differentiated appropriations / Non-diff. = Non-differentiated appropriations.</w:t>
      </w:r>
    </w:p>
  </w:footnote>
  <w:footnote w:id="8">
    <w:p>
      <w:pPr>
        <w:pStyle w:val="FootnoteText"/>
        <w:rPr>
          <w:szCs w:val="24"/>
        </w:rPr>
      </w:pPr>
      <w:r>
        <w:rPr>
          <w:rStyle w:val="FootnoteReference"/>
        </w:rPr>
        <w:footnoteRef/>
      </w:r>
      <w:r>
        <w:tab/>
        <w:t xml:space="preserve">EFTA: European Free Trade Association. </w:t>
      </w:r>
    </w:p>
  </w:footnote>
  <w:footnote w:id="9">
    <w:p>
      <w:pPr>
        <w:pStyle w:val="FootnoteText"/>
      </w:pPr>
      <w:r>
        <w:rPr>
          <w:rStyle w:val="FootnoteReference"/>
        </w:rPr>
        <w:footnoteRef/>
      </w:r>
      <w:r>
        <w:tab/>
        <w:t>Candidate countries and, where applicable, potential candidates from the Western Balkans.</w:t>
      </w:r>
    </w:p>
  </w:footnote>
  <w:footnote w:id="10">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1">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2">
    <w:p>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08:33: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4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A497487-F270-41FE-8AA0-7624B65CEB61"/>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0"/>
    <w:docVar w:name="LW_REF.II.NEW.CP_YEAR" w:val="2020"/>
    <w:docVar w:name="LW_REF.INST.NEW" w:val="COM"/>
    <w:docVar w:name="LW_REF.INST.NEW_ADOPTED" w:val="final"/>
    <w:docVar w:name="LW_REF.INST.NEW_TEXT" w:val="(2020) 4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C) N° 1257/96 of 20 June 1996 concerning Humanitarian Aid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ighlight">
    <w:name w:val="highlight"/>
    <w:basedOn w:val="DefaultParagraphFont"/>
  </w:style>
  <w:style w:type="paragraph" w:customStyle="1" w:styleId="Text">
    <w:name w:val="Text"/>
    <w:basedOn w:val="Text1"/>
  </w:style>
  <w:style w:type="paragraph" w:customStyle="1" w:styleId="Hear">
    <w:name w:val="Hear"/>
    <w:basedOn w:val="Heading3"/>
    <w:pPr>
      <w:numPr>
        <w:numId w:val="0"/>
      </w:numPr>
      <w:ind w:left="850"/>
    </w:pPr>
    <w:rPr>
      <w:noProof/>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ighlight">
    <w:name w:val="highlight"/>
    <w:basedOn w:val="DefaultParagraphFont"/>
  </w:style>
  <w:style w:type="paragraph" w:customStyle="1" w:styleId="Text">
    <w:name w:val="Text"/>
    <w:basedOn w:val="Text1"/>
  </w:style>
  <w:style w:type="paragraph" w:customStyle="1" w:styleId="Hear">
    <w:name w:val="Hear"/>
    <w:basedOn w:val="Heading3"/>
    <w:pPr>
      <w:numPr>
        <w:numId w:val="0"/>
      </w:numPr>
      <w:ind w:left="850"/>
    </w:pPr>
    <w:rPr>
      <w:noProof/>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1858">
      <w:bodyDiv w:val="1"/>
      <w:marLeft w:val="0"/>
      <w:marRight w:val="0"/>
      <w:marTop w:val="0"/>
      <w:marBottom w:val="0"/>
      <w:divBdr>
        <w:top w:val="none" w:sz="0" w:space="0" w:color="auto"/>
        <w:left w:val="none" w:sz="0" w:space="0" w:color="auto"/>
        <w:bottom w:val="none" w:sz="0" w:space="0" w:color="auto"/>
        <w:right w:val="none" w:sz="0" w:space="0" w:color="auto"/>
      </w:divBdr>
    </w:div>
    <w:div w:id="175733498">
      <w:bodyDiv w:val="1"/>
      <w:marLeft w:val="0"/>
      <w:marRight w:val="0"/>
      <w:marTop w:val="0"/>
      <w:marBottom w:val="0"/>
      <w:divBdr>
        <w:top w:val="none" w:sz="0" w:space="0" w:color="auto"/>
        <w:left w:val="none" w:sz="0" w:space="0" w:color="auto"/>
        <w:bottom w:val="none" w:sz="0" w:space="0" w:color="auto"/>
        <w:right w:val="none" w:sz="0" w:space="0" w:color="auto"/>
      </w:divBdr>
    </w:div>
    <w:div w:id="187261865">
      <w:bodyDiv w:val="1"/>
      <w:marLeft w:val="0"/>
      <w:marRight w:val="0"/>
      <w:marTop w:val="0"/>
      <w:marBottom w:val="0"/>
      <w:divBdr>
        <w:top w:val="none" w:sz="0" w:space="0" w:color="auto"/>
        <w:left w:val="none" w:sz="0" w:space="0" w:color="auto"/>
        <w:bottom w:val="none" w:sz="0" w:space="0" w:color="auto"/>
        <w:right w:val="none" w:sz="0" w:space="0" w:color="auto"/>
      </w:divBdr>
    </w:div>
    <w:div w:id="221258745">
      <w:bodyDiv w:val="1"/>
      <w:marLeft w:val="0"/>
      <w:marRight w:val="0"/>
      <w:marTop w:val="0"/>
      <w:marBottom w:val="0"/>
      <w:divBdr>
        <w:top w:val="none" w:sz="0" w:space="0" w:color="auto"/>
        <w:left w:val="none" w:sz="0" w:space="0" w:color="auto"/>
        <w:bottom w:val="none" w:sz="0" w:space="0" w:color="auto"/>
        <w:right w:val="none" w:sz="0" w:space="0" w:color="auto"/>
      </w:divBdr>
    </w:div>
    <w:div w:id="421069426">
      <w:bodyDiv w:val="1"/>
      <w:marLeft w:val="0"/>
      <w:marRight w:val="0"/>
      <w:marTop w:val="0"/>
      <w:marBottom w:val="0"/>
      <w:divBdr>
        <w:top w:val="none" w:sz="0" w:space="0" w:color="auto"/>
        <w:left w:val="none" w:sz="0" w:space="0" w:color="auto"/>
        <w:bottom w:val="none" w:sz="0" w:space="0" w:color="auto"/>
        <w:right w:val="none" w:sz="0" w:space="0" w:color="auto"/>
      </w:divBdr>
    </w:div>
    <w:div w:id="486552079">
      <w:bodyDiv w:val="1"/>
      <w:marLeft w:val="0"/>
      <w:marRight w:val="0"/>
      <w:marTop w:val="0"/>
      <w:marBottom w:val="0"/>
      <w:divBdr>
        <w:top w:val="none" w:sz="0" w:space="0" w:color="auto"/>
        <w:left w:val="none" w:sz="0" w:space="0" w:color="auto"/>
        <w:bottom w:val="none" w:sz="0" w:space="0" w:color="auto"/>
        <w:right w:val="none" w:sz="0" w:space="0" w:color="auto"/>
      </w:divBdr>
    </w:div>
    <w:div w:id="538904667">
      <w:bodyDiv w:val="1"/>
      <w:marLeft w:val="0"/>
      <w:marRight w:val="0"/>
      <w:marTop w:val="0"/>
      <w:marBottom w:val="0"/>
      <w:divBdr>
        <w:top w:val="none" w:sz="0" w:space="0" w:color="auto"/>
        <w:left w:val="none" w:sz="0" w:space="0" w:color="auto"/>
        <w:bottom w:val="none" w:sz="0" w:space="0" w:color="auto"/>
        <w:right w:val="none" w:sz="0" w:space="0" w:color="auto"/>
      </w:divBdr>
    </w:div>
    <w:div w:id="544173126">
      <w:bodyDiv w:val="1"/>
      <w:marLeft w:val="0"/>
      <w:marRight w:val="0"/>
      <w:marTop w:val="0"/>
      <w:marBottom w:val="0"/>
      <w:divBdr>
        <w:top w:val="none" w:sz="0" w:space="0" w:color="auto"/>
        <w:left w:val="none" w:sz="0" w:space="0" w:color="auto"/>
        <w:bottom w:val="none" w:sz="0" w:space="0" w:color="auto"/>
        <w:right w:val="none" w:sz="0" w:space="0" w:color="auto"/>
      </w:divBdr>
    </w:div>
    <w:div w:id="566762418">
      <w:bodyDiv w:val="1"/>
      <w:marLeft w:val="0"/>
      <w:marRight w:val="0"/>
      <w:marTop w:val="0"/>
      <w:marBottom w:val="0"/>
      <w:divBdr>
        <w:top w:val="none" w:sz="0" w:space="0" w:color="auto"/>
        <w:left w:val="none" w:sz="0" w:space="0" w:color="auto"/>
        <w:bottom w:val="none" w:sz="0" w:space="0" w:color="auto"/>
        <w:right w:val="none" w:sz="0" w:space="0" w:color="auto"/>
      </w:divBdr>
    </w:div>
    <w:div w:id="630869635">
      <w:bodyDiv w:val="1"/>
      <w:marLeft w:val="0"/>
      <w:marRight w:val="0"/>
      <w:marTop w:val="0"/>
      <w:marBottom w:val="0"/>
      <w:divBdr>
        <w:top w:val="none" w:sz="0" w:space="0" w:color="auto"/>
        <w:left w:val="none" w:sz="0" w:space="0" w:color="auto"/>
        <w:bottom w:val="none" w:sz="0" w:space="0" w:color="auto"/>
        <w:right w:val="none" w:sz="0" w:space="0" w:color="auto"/>
      </w:divBdr>
    </w:div>
    <w:div w:id="636766789">
      <w:bodyDiv w:val="1"/>
      <w:marLeft w:val="0"/>
      <w:marRight w:val="0"/>
      <w:marTop w:val="0"/>
      <w:marBottom w:val="0"/>
      <w:divBdr>
        <w:top w:val="none" w:sz="0" w:space="0" w:color="auto"/>
        <w:left w:val="none" w:sz="0" w:space="0" w:color="auto"/>
        <w:bottom w:val="none" w:sz="0" w:space="0" w:color="auto"/>
        <w:right w:val="none" w:sz="0" w:space="0" w:color="auto"/>
      </w:divBdr>
    </w:div>
    <w:div w:id="714430175">
      <w:bodyDiv w:val="1"/>
      <w:marLeft w:val="0"/>
      <w:marRight w:val="0"/>
      <w:marTop w:val="0"/>
      <w:marBottom w:val="0"/>
      <w:divBdr>
        <w:top w:val="none" w:sz="0" w:space="0" w:color="auto"/>
        <w:left w:val="none" w:sz="0" w:space="0" w:color="auto"/>
        <w:bottom w:val="none" w:sz="0" w:space="0" w:color="auto"/>
        <w:right w:val="none" w:sz="0" w:space="0" w:color="auto"/>
      </w:divBdr>
    </w:div>
    <w:div w:id="754475775">
      <w:bodyDiv w:val="1"/>
      <w:marLeft w:val="0"/>
      <w:marRight w:val="0"/>
      <w:marTop w:val="0"/>
      <w:marBottom w:val="0"/>
      <w:divBdr>
        <w:top w:val="none" w:sz="0" w:space="0" w:color="auto"/>
        <w:left w:val="none" w:sz="0" w:space="0" w:color="auto"/>
        <w:bottom w:val="none" w:sz="0" w:space="0" w:color="auto"/>
        <w:right w:val="none" w:sz="0" w:space="0" w:color="auto"/>
      </w:divBdr>
    </w:div>
    <w:div w:id="918636408">
      <w:bodyDiv w:val="1"/>
      <w:marLeft w:val="0"/>
      <w:marRight w:val="0"/>
      <w:marTop w:val="0"/>
      <w:marBottom w:val="0"/>
      <w:divBdr>
        <w:top w:val="none" w:sz="0" w:space="0" w:color="auto"/>
        <w:left w:val="none" w:sz="0" w:space="0" w:color="auto"/>
        <w:bottom w:val="none" w:sz="0" w:space="0" w:color="auto"/>
        <w:right w:val="none" w:sz="0" w:space="0" w:color="auto"/>
      </w:divBdr>
    </w:div>
    <w:div w:id="1356733354">
      <w:bodyDiv w:val="1"/>
      <w:marLeft w:val="0"/>
      <w:marRight w:val="0"/>
      <w:marTop w:val="0"/>
      <w:marBottom w:val="0"/>
      <w:divBdr>
        <w:top w:val="none" w:sz="0" w:space="0" w:color="auto"/>
        <w:left w:val="none" w:sz="0" w:space="0" w:color="auto"/>
        <w:bottom w:val="none" w:sz="0" w:space="0" w:color="auto"/>
        <w:right w:val="none" w:sz="0" w:space="0" w:color="auto"/>
      </w:divBdr>
    </w:div>
    <w:div w:id="1359043054">
      <w:bodyDiv w:val="1"/>
      <w:marLeft w:val="0"/>
      <w:marRight w:val="0"/>
      <w:marTop w:val="0"/>
      <w:marBottom w:val="0"/>
      <w:divBdr>
        <w:top w:val="none" w:sz="0" w:space="0" w:color="auto"/>
        <w:left w:val="none" w:sz="0" w:space="0" w:color="auto"/>
        <w:bottom w:val="none" w:sz="0" w:space="0" w:color="auto"/>
        <w:right w:val="none" w:sz="0" w:space="0" w:color="auto"/>
      </w:divBdr>
    </w:div>
    <w:div w:id="1363897704">
      <w:bodyDiv w:val="1"/>
      <w:marLeft w:val="0"/>
      <w:marRight w:val="0"/>
      <w:marTop w:val="0"/>
      <w:marBottom w:val="0"/>
      <w:divBdr>
        <w:top w:val="none" w:sz="0" w:space="0" w:color="auto"/>
        <w:left w:val="none" w:sz="0" w:space="0" w:color="auto"/>
        <w:bottom w:val="none" w:sz="0" w:space="0" w:color="auto"/>
        <w:right w:val="none" w:sz="0" w:space="0" w:color="auto"/>
      </w:divBdr>
    </w:div>
    <w:div w:id="1368024780">
      <w:bodyDiv w:val="1"/>
      <w:marLeft w:val="0"/>
      <w:marRight w:val="0"/>
      <w:marTop w:val="0"/>
      <w:marBottom w:val="0"/>
      <w:divBdr>
        <w:top w:val="none" w:sz="0" w:space="0" w:color="auto"/>
        <w:left w:val="none" w:sz="0" w:space="0" w:color="auto"/>
        <w:bottom w:val="none" w:sz="0" w:space="0" w:color="auto"/>
        <w:right w:val="none" w:sz="0" w:space="0" w:color="auto"/>
      </w:divBdr>
    </w:div>
    <w:div w:id="1379890444">
      <w:bodyDiv w:val="1"/>
      <w:marLeft w:val="0"/>
      <w:marRight w:val="0"/>
      <w:marTop w:val="0"/>
      <w:marBottom w:val="0"/>
      <w:divBdr>
        <w:top w:val="none" w:sz="0" w:space="0" w:color="auto"/>
        <w:left w:val="none" w:sz="0" w:space="0" w:color="auto"/>
        <w:bottom w:val="none" w:sz="0" w:space="0" w:color="auto"/>
        <w:right w:val="none" w:sz="0" w:space="0" w:color="auto"/>
      </w:divBdr>
    </w:div>
    <w:div w:id="1385107298">
      <w:bodyDiv w:val="1"/>
      <w:marLeft w:val="0"/>
      <w:marRight w:val="0"/>
      <w:marTop w:val="0"/>
      <w:marBottom w:val="0"/>
      <w:divBdr>
        <w:top w:val="none" w:sz="0" w:space="0" w:color="auto"/>
        <w:left w:val="none" w:sz="0" w:space="0" w:color="auto"/>
        <w:bottom w:val="none" w:sz="0" w:space="0" w:color="auto"/>
        <w:right w:val="none" w:sz="0" w:space="0" w:color="auto"/>
      </w:divBdr>
    </w:div>
    <w:div w:id="1543516095">
      <w:bodyDiv w:val="1"/>
      <w:marLeft w:val="0"/>
      <w:marRight w:val="0"/>
      <w:marTop w:val="0"/>
      <w:marBottom w:val="0"/>
      <w:divBdr>
        <w:top w:val="none" w:sz="0" w:space="0" w:color="auto"/>
        <w:left w:val="none" w:sz="0" w:space="0" w:color="auto"/>
        <w:bottom w:val="none" w:sz="0" w:space="0" w:color="auto"/>
        <w:right w:val="none" w:sz="0" w:space="0" w:color="auto"/>
      </w:divBdr>
    </w:div>
    <w:div w:id="1569488521">
      <w:bodyDiv w:val="1"/>
      <w:marLeft w:val="0"/>
      <w:marRight w:val="0"/>
      <w:marTop w:val="0"/>
      <w:marBottom w:val="0"/>
      <w:divBdr>
        <w:top w:val="none" w:sz="0" w:space="0" w:color="auto"/>
        <w:left w:val="none" w:sz="0" w:space="0" w:color="auto"/>
        <w:bottom w:val="none" w:sz="0" w:space="0" w:color="auto"/>
        <w:right w:val="none" w:sz="0" w:space="0" w:color="auto"/>
      </w:divBdr>
    </w:div>
    <w:div w:id="1675913232">
      <w:bodyDiv w:val="1"/>
      <w:marLeft w:val="0"/>
      <w:marRight w:val="0"/>
      <w:marTop w:val="0"/>
      <w:marBottom w:val="0"/>
      <w:divBdr>
        <w:top w:val="none" w:sz="0" w:space="0" w:color="auto"/>
        <w:left w:val="none" w:sz="0" w:space="0" w:color="auto"/>
        <w:bottom w:val="none" w:sz="0" w:space="0" w:color="auto"/>
        <w:right w:val="none" w:sz="0" w:space="0" w:color="auto"/>
      </w:divBdr>
    </w:div>
    <w:div w:id="1799491612">
      <w:bodyDiv w:val="1"/>
      <w:marLeft w:val="0"/>
      <w:marRight w:val="0"/>
      <w:marTop w:val="0"/>
      <w:marBottom w:val="0"/>
      <w:divBdr>
        <w:top w:val="none" w:sz="0" w:space="0" w:color="auto"/>
        <w:left w:val="none" w:sz="0" w:space="0" w:color="auto"/>
        <w:bottom w:val="none" w:sz="0" w:space="0" w:color="auto"/>
        <w:right w:val="none" w:sz="0" w:space="0" w:color="auto"/>
      </w:divBdr>
    </w:div>
    <w:div w:id="1932082463">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20740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echo/who/accountability/auditing_e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2B59795-9B47-444D-A185-0B8292140D46}">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0AE1817-33CC-498E-AF38-44FCE655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9747DB-2494-41A7-848A-2797BB1E0151}">
  <ds:schemaRefs>
    <ds:schemaRef ds:uri="http://schemas.microsoft.com/sharepoint/v3/contenttype/forms"/>
  </ds:schemaRefs>
</ds:datastoreItem>
</file>

<file path=customXml/itemProps4.xml><?xml version="1.0" encoding="utf-8"?>
<ds:datastoreItem xmlns:ds="http://schemas.openxmlformats.org/officeDocument/2006/customXml" ds:itemID="{E9F97CC4-F5F4-4CC4-82FA-02D9F47B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16</Pages>
  <Words>3751</Words>
  <Characters>21307</Characters>
  <Application>Microsoft Office Word</Application>
  <DocSecurity>0</DocSecurity>
  <Lines>852</Lines>
  <Paragraphs>491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2020-05-26T10:18:00Z</cp:lastPrinted>
  <dcterms:created xsi:type="dcterms:W3CDTF">2020-05-29T06:27:00Z</dcterms:created>
  <dcterms:modified xsi:type="dcterms:W3CDTF">2020-05-29T06:33:00Z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