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7F12E926-4745-4E27-8EE4-B4B2DE65649E" style="width:450.8pt;height:351.9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41651864"/>
      <w:r>
        <w:rPr>
          <w:noProof/>
        </w:rPr>
        <w:t>1.</w:t>
      </w:r>
      <w:r>
        <w:rPr>
          <w:noProof/>
        </w:rPr>
        <w:tab/>
        <w:t>КОНТЕКСТ НА ПРЕДЛОЖЕНИЕТО</w:t>
      </w:r>
      <w:bookmarkEnd w:id="1"/>
    </w:p>
    <w:p>
      <w:pPr>
        <w:pBdr>
          <w:top w:val="nil"/>
          <w:left w:val="nil"/>
          <w:bottom w:val="nil"/>
          <w:right w:val="nil"/>
          <w:between w:val="nil"/>
          <w:bar w:val="nil"/>
        </w:pBdr>
        <w:spacing w:before="0" w:after="240"/>
        <w:rPr>
          <w:rFonts w:eastAsia="Arial Unicode MS"/>
          <w:noProof/>
        </w:rPr>
      </w:pPr>
      <w:r>
        <w:rPr>
          <w:noProof/>
        </w:rPr>
        <w:t>На 11 март 2020 г. Световната здравна организация (СЗО) обяви избухването на заразата от коронавирус за пандемия. Оттогава държавите по света приеха извънредни мерки, за да отговорят на избухналата зараза и да я ограничат.</w:t>
      </w:r>
    </w:p>
    <w:p>
      <w:pPr>
        <w:pBdr>
          <w:top w:val="nil"/>
          <w:left w:val="nil"/>
          <w:bottom w:val="nil"/>
          <w:right w:val="nil"/>
          <w:between w:val="nil"/>
          <w:bar w:val="nil"/>
        </w:pBdr>
        <w:spacing w:before="0" w:after="240"/>
        <w:rPr>
          <w:rFonts w:eastAsia="Arial Unicode MS"/>
          <w:noProof/>
        </w:rPr>
      </w:pPr>
      <w:r>
        <w:rPr>
          <w:noProof/>
        </w:rPr>
        <w:t xml:space="preserve">Кризата, причинена от пандемията от COVID-19, оказва голямо въздействие върху всички общества по света — като се започва от системите за здравеопазване и се стига до тежки глобални социални и икономически последици. Това представлява значително предизвикателство за трети държави със слаби институции и/или изправени пред конфликти или други кризи, като природни бедствия. Вероятно е уязвимите групи, включително бежанците и разселените лица, да бъдат изложени на особен риск. Стратегията за реагиране на Съюза следва да бъде всеобхватна, съгласувана и интегрирана, като се обърне внимание на предизвикателствата пред общественото здраве и социално-икономическите предизвикателства, както и на непосредствените хуманитарни нужди, породени или задълбочени от пандемията. </w:t>
      </w:r>
    </w:p>
    <w:p>
      <w:pPr>
        <w:pBdr>
          <w:top w:val="nil"/>
          <w:left w:val="nil"/>
          <w:bottom w:val="nil"/>
          <w:right w:val="nil"/>
          <w:between w:val="nil"/>
          <w:bar w:val="nil"/>
        </w:pBdr>
        <w:spacing w:before="0" w:after="240"/>
        <w:rPr>
          <w:rFonts w:eastAsia="Arial Unicode MS"/>
          <w:noProof/>
        </w:rPr>
      </w:pPr>
      <w:r>
        <w:rPr>
          <w:noProof/>
        </w:rPr>
        <w:t xml:space="preserve">Тази извънредна ситуация изисква последователен и единен подход на равнището на Съюза. Ето защо са необходими значителни публични и частни инвестиции, за да се намерят решения на предизвикателствата, свързани с пандемията от COVID-19. </w:t>
      </w:r>
    </w:p>
    <w:p>
      <w:pPr>
        <w:pBdr>
          <w:top w:val="nil"/>
          <w:left w:val="nil"/>
          <w:bottom w:val="nil"/>
          <w:right w:val="nil"/>
          <w:between w:val="nil"/>
          <w:bar w:val="nil"/>
        </w:pBdr>
        <w:spacing w:before="0" w:after="240"/>
        <w:rPr>
          <w:rFonts w:eastAsia="Arial Unicode MS"/>
          <w:noProof/>
        </w:rPr>
      </w:pPr>
      <w:r>
        <w:rPr>
          <w:noProof/>
        </w:rPr>
        <w:t xml:space="preserve">Поради това Комисията предлага амбициозен пакет, включващ предложение за създаването на Инструмент на Европейския съюз за възстановяване. В допълнение към подкрепата за икономиките както в рамките на ЕС, така и в трети държави, инструментът следва също така да засили хуманитарната помощ на ЕС и да подкрепи изграждането на капацитет за подобряване на предотвратяването на бъдещи кризи и подготвеността за тях. </w:t>
      </w:r>
    </w:p>
    <w:p>
      <w:pPr>
        <w:pBdr>
          <w:top w:val="nil"/>
          <w:left w:val="nil"/>
          <w:bottom w:val="nil"/>
          <w:right w:val="nil"/>
          <w:between w:val="nil"/>
          <w:bar w:val="nil"/>
        </w:pBdr>
        <w:spacing w:before="0" w:after="240"/>
        <w:rPr>
          <w:rFonts w:eastAsia="Arial Unicode MS"/>
          <w:noProof/>
        </w:rPr>
      </w:pPr>
      <w:r>
        <w:rPr>
          <w:noProof/>
        </w:rPr>
        <w:t xml:space="preserve">Предлага се тези мерки да се осъществяват в рамките на конкретни инструменти и програми на Съюза в съответствие с приложимите актове на Съюза, с които се определят правила за тези инструменти и програми. </w:t>
      </w:r>
    </w:p>
    <w:p>
      <w:pPr>
        <w:autoSpaceDE w:val="0"/>
        <w:autoSpaceDN w:val="0"/>
        <w:adjustRightInd w:val="0"/>
        <w:spacing w:before="0" w:after="0"/>
        <w:rPr>
          <w:rFonts w:eastAsia="Arial Unicode MS"/>
          <w:bCs/>
          <w:noProof/>
        </w:rPr>
      </w:pPr>
      <w:r>
        <w:rPr>
          <w:noProof/>
        </w:rPr>
        <w:t>Поради това е необходимо да се осигури възможност за изпълнението на посочените мерки посредством механизмите за изпълнение съгласно Регламент (ЕО) № 1257/96 на Съвета от 20 юни 1996 г. относно хуманитарната помощ</w:t>
      </w:r>
    </w:p>
    <w:p>
      <w:pPr>
        <w:autoSpaceDE w:val="0"/>
        <w:autoSpaceDN w:val="0"/>
        <w:adjustRightInd w:val="0"/>
        <w:spacing w:before="0" w:after="0"/>
        <w:jc w:val="left"/>
        <w:rPr>
          <w:rFonts w:eastAsia="Arial Unicode MS"/>
          <w:bCs/>
          <w:noProof/>
        </w:rPr>
      </w:pPr>
    </w:p>
    <w:p>
      <w:pPr>
        <w:pStyle w:val="ManualHeading1"/>
        <w:rPr>
          <w:noProof/>
        </w:rPr>
      </w:pPr>
      <w:bookmarkStart w:id="2" w:name="_Toc41651865"/>
      <w:r>
        <w:rPr>
          <w:noProof/>
        </w:rPr>
        <w:t>2.</w:t>
      </w:r>
      <w:r>
        <w:rPr>
          <w:noProof/>
        </w:rPr>
        <w:tab/>
        <w:t>ПРАВНО ОСНОВАНИЕ, СУБСИДИАРНОСТ И ПРОПОРЦИОНАЛНОСТ</w:t>
      </w:r>
      <w:bookmarkEnd w:id="2"/>
    </w:p>
    <w:p>
      <w:pPr>
        <w:pStyle w:val="ManualHeading2"/>
        <w:rPr>
          <w:rFonts w:eastAsia="Arial Unicode MS"/>
          <w:noProof/>
          <w:u w:color="000000"/>
          <w:bdr w:val="nil"/>
        </w:rPr>
      </w:pPr>
      <w:bookmarkStart w:id="3" w:name="_Toc41651866"/>
      <w:r>
        <w:rPr>
          <w:noProof/>
          <w:u w:color="000000"/>
          <w:bdr w:val="nil"/>
        </w:rPr>
        <w:t>•</w:t>
      </w:r>
      <w:r>
        <w:rPr>
          <w:noProof/>
        </w:rPr>
        <w:tab/>
      </w:r>
      <w:r>
        <w:rPr>
          <w:noProof/>
          <w:u w:color="000000"/>
          <w:bdr w:val="nil"/>
        </w:rPr>
        <w:t>Правно основание</w:t>
      </w:r>
      <w:bookmarkEnd w:id="3"/>
    </w:p>
    <w:p>
      <w:pPr>
        <w:autoSpaceDE w:val="0"/>
        <w:autoSpaceDN w:val="0"/>
        <w:adjustRightInd w:val="0"/>
        <w:spacing w:before="0" w:after="0"/>
        <w:rPr>
          <w:rFonts w:eastAsia="Arial Unicode MS"/>
          <w:noProof/>
        </w:rPr>
      </w:pPr>
      <w:r>
        <w:rPr>
          <w:noProof/>
        </w:rPr>
        <w:t xml:space="preserve">Основание за действията на ЕС е член 214, параграф 3 от Договора за функционирането на Европейския съюз. </w:t>
      </w:r>
    </w:p>
    <w:p>
      <w:pPr>
        <w:autoSpaceDE w:val="0"/>
        <w:autoSpaceDN w:val="0"/>
        <w:adjustRightInd w:val="0"/>
        <w:spacing w:before="0" w:after="0"/>
        <w:jc w:val="left"/>
        <w:rPr>
          <w:rFonts w:eastAsia="Arial Unicode MS"/>
          <w:noProof/>
        </w:rPr>
      </w:pPr>
    </w:p>
    <w:p>
      <w:pPr>
        <w:pStyle w:val="ManualHeading2"/>
        <w:rPr>
          <w:rFonts w:eastAsia="Arial Unicode MS"/>
          <w:noProof/>
          <w:u w:color="000000"/>
          <w:bdr w:val="nil"/>
        </w:rPr>
      </w:pPr>
      <w:bookmarkStart w:id="4" w:name="_Toc41651867"/>
      <w:r>
        <w:rPr>
          <w:noProof/>
          <w:u w:color="000000"/>
          <w:bdr w:val="nil"/>
        </w:rPr>
        <w:t>•</w:t>
      </w:r>
      <w:r>
        <w:rPr>
          <w:noProof/>
        </w:rPr>
        <w:tab/>
      </w:r>
      <w:r>
        <w:rPr>
          <w:noProof/>
          <w:u w:color="000000"/>
          <w:bdr w:val="nil"/>
        </w:rPr>
        <w:t>Субсидиарност и пропорционалност</w:t>
      </w:r>
      <w:bookmarkEnd w:id="4"/>
      <w:r>
        <w:rPr>
          <w:noProof/>
          <w:u w:color="000000"/>
          <w:bdr w:val="nil"/>
        </w:rPr>
        <w:t xml:space="preserve"> </w:t>
      </w:r>
    </w:p>
    <w:p>
      <w:pPr>
        <w:pBdr>
          <w:top w:val="nil"/>
          <w:left w:val="nil"/>
          <w:bottom w:val="nil"/>
          <w:right w:val="nil"/>
          <w:between w:val="nil"/>
          <w:bar w:val="nil"/>
        </w:pBdr>
        <w:spacing w:before="0" w:after="240"/>
        <w:rPr>
          <w:rFonts w:eastAsia="Arial Unicode MS"/>
          <w:noProof/>
        </w:rPr>
      </w:pPr>
      <w:r>
        <w:rPr>
          <w:noProof/>
        </w:rPr>
        <w:t>В обяснителния меморандум на предложението за Регламент за създаване на Инструмент на Европейския съюз за възстановяване се излагат подробно съображенията, свързани със субсидиарността и пропорционалността.</w:t>
      </w:r>
    </w:p>
    <w:p>
      <w:pPr>
        <w:pStyle w:val="ManualHeading2"/>
        <w:rPr>
          <w:rFonts w:eastAsia="Arial Unicode MS"/>
          <w:noProof/>
          <w:u w:color="000000"/>
          <w:bdr w:val="nil"/>
        </w:rPr>
      </w:pPr>
      <w:bookmarkStart w:id="5" w:name="_Toc41651868"/>
      <w:r>
        <w:rPr>
          <w:noProof/>
          <w:u w:color="000000"/>
          <w:bdr w:val="nil"/>
        </w:rPr>
        <w:lastRenderedPageBreak/>
        <w:t>•</w:t>
      </w:r>
      <w:r>
        <w:rPr>
          <w:noProof/>
        </w:rPr>
        <w:tab/>
      </w:r>
      <w:r>
        <w:rPr>
          <w:noProof/>
          <w:u w:color="000000"/>
          <w:bdr w:val="nil"/>
        </w:rPr>
        <w:t>Избор на инструмент</w:t>
      </w:r>
      <w:bookmarkEnd w:id="5"/>
    </w:p>
    <w:p>
      <w:pPr>
        <w:autoSpaceDE w:val="0"/>
        <w:autoSpaceDN w:val="0"/>
        <w:adjustRightInd w:val="0"/>
        <w:spacing w:before="0" w:after="0"/>
        <w:rPr>
          <w:rFonts w:eastAsia="Arial Unicode MS"/>
          <w:bCs/>
          <w:noProof/>
        </w:rPr>
      </w:pPr>
      <w:r>
        <w:rPr>
          <w:noProof/>
        </w:rPr>
        <w:t>Настоящият регламент изменя Регламент (ЕО) № 1257/96 на Съвета от 20 юни 1996 г. относно хуманитарната помощ.</w:t>
      </w:r>
    </w:p>
    <w:p>
      <w:pPr>
        <w:pBdr>
          <w:top w:val="nil"/>
          <w:left w:val="nil"/>
          <w:bottom w:val="nil"/>
          <w:right w:val="nil"/>
          <w:between w:val="nil"/>
          <w:bar w:val="nil"/>
        </w:pBdr>
        <w:spacing w:before="0" w:after="240"/>
        <w:rPr>
          <w:rFonts w:eastAsia="Arial Unicode MS"/>
          <w:noProof/>
        </w:rPr>
      </w:pPr>
    </w:p>
    <w:p>
      <w:pPr>
        <w:pStyle w:val="ManualHeading1"/>
        <w:rPr>
          <w:noProof/>
        </w:rPr>
      </w:pPr>
      <w:bookmarkStart w:id="6" w:name="_Toc41651869"/>
      <w:r>
        <w:rPr>
          <w:noProof/>
        </w:rPr>
        <w:t>3.</w:t>
      </w:r>
      <w:r>
        <w:rPr>
          <w:noProof/>
        </w:rPr>
        <w:tab/>
        <w:t>РЕЗУЛТАТИ ОТ ПОСЛЕДВАЩИТЕ ОЦЕНКИ, КОНСУЛТАЦИИТЕ СЪС ЗАИНТЕРЕСОВАНИТЕ СТРАНИ И ОЦЕНКИТЕ НА ВЪЗДЕЙСТВИЕТО</w:t>
      </w:r>
      <w:bookmarkEnd w:id="6"/>
    </w:p>
    <w:p>
      <w:pPr>
        <w:pStyle w:val="ManualHeading2"/>
        <w:rPr>
          <w:rFonts w:eastAsia="Arial Unicode MS"/>
          <w:noProof/>
          <w:u w:color="000000"/>
          <w:bdr w:val="nil"/>
        </w:rPr>
      </w:pPr>
      <w:bookmarkStart w:id="7" w:name="_Toc41651870"/>
      <w:r>
        <w:rPr>
          <w:noProof/>
          <w:u w:color="000000"/>
          <w:bdr w:val="nil"/>
        </w:rPr>
        <w:t>•</w:t>
      </w:r>
      <w:r>
        <w:rPr>
          <w:noProof/>
        </w:rPr>
        <w:tab/>
      </w:r>
      <w:r>
        <w:rPr>
          <w:noProof/>
          <w:u w:color="000000"/>
          <w:bdr w:val="nil"/>
        </w:rPr>
        <w:t>Консултации със заинтересованите страни</w:t>
      </w:r>
      <w:bookmarkEnd w:id="7"/>
    </w:p>
    <w:p>
      <w:pPr>
        <w:pStyle w:val="ManualHeading2"/>
        <w:tabs>
          <w:tab w:val="clear" w:pos="850"/>
          <w:tab w:val="left" w:pos="0"/>
        </w:tabs>
        <w:ind w:left="0" w:firstLine="0"/>
        <w:rPr>
          <w:rFonts w:eastAsia="Arial Unicode MS"/>
          <w:b w:val="0"/>
          <w:noProof/>
          <w:u w:color="000000"/>
          <w:bdr w:val="nil"/>
        </w:rPr>
      </w:pPr>
      <w:r>
        <w:rPr>
          <w:b w:val="0"/>
          <w:noProof/>
        </w:rPr>
        <w:t xml:space="preserve"> </w:t>
      </w:r>
      <w:bookmarkStart w:id="8" w:name="_Toc41651871"/>
      <w:r>
        <w:rPr>
          <w:b w:val="0"/>
          <w:noProof/>
        </w:rPr>
        <w:t>В приложение 8 към работния документ на службите на Комисията SWD (2018) 337 final</w:t>
      </w:r>
      <w:r>
        <w:rPr>
          <w:rStyle w:val="FootnoteReference"/>
          <w:b w:val="0"/>
          <w:noProof/>
          <w:lang w:eastAsia="en-GB"/>
        </w:rPr>
        <w:footnoteReference w:id="2"/>
      </w:r>
      <w:r>
        <w:rPr>
          <w:b w:val="0"/>
          <w:noProof/>
        </w:rPr>
        <w:t xml:space="preserve"> е предоставена допълнителна информация. Допълнителна информация относно консултациите със заинтересовани страни е на разположение също така в интернет</w:t>
      </w:r>
      <w:r>
        <w:rPr>
          <w:rStyle w:val="FootnoteReference"/>
          <w:rFonts w:eastAsia="Arial Unicode MS"/>
          <w:b w:val="0"/>
          <w:noProof/>
          <w:u w:color="000000"/>
          <w:bdr w:val="nil"/>
          <w:lang w:eastAsia="en-GB"/>
        </w:rPr>
        <w:footnoteReference w:id="3"/>
      </w:r>
      <w:r>
        <w:rPr>
          <w:b w:val="0"/>
          <w:noProof/>
        </w:rPr>
        <w:t>.</w:t>
      </w:r>
      <w:bookmarkEnd w:id="8"/>
    </w:p>
    <w:p>
      <w:pPr>
        <w:pStyle w:val="ManualHeading2"/>
        <w:rPr>
          <w:rFonts w:eastAsia="Arial Unicode MS"/>
          <w:noProof/>
          <w:u w:color="000000"/>
          <w:bdr w:val="nil"/>
          <w:lang w:eastAsia="en-GB"/>
        </w:rPr>
      </w:pPr>
    </w:p>
    <w:p>
      <w:pPr>
        <w:pStyle w:val="ManualHeading2"/>
        <w:rPr>
          <w:rFonts w:eastAsia="Arial Unicode MS"/>
          <w:noProof/>
          <w:u w:color="000000"/>
          <w:bdr w:val="nil"/>
        </w:rPr>
      </w:pPr>
      <w:bookmarkStart w:id="9" w:name="_Toc41651872"/>
      <w:r>
        <w:rPr>
          <w:noProof/>
          <w:u w:color="000000"/>
          <w:bdr w:val="nil"/>
        </w:rPr>
        <w:t>•</w:t>
      </w:r>
      <w:r>
        <w:rPr>
          <w:noProof/>
        </w:rPr>
        <w:tab/>
      </w:r>
      <w:r>
        <w:rPr>
          <w:noProof/>
          <w:u w:color="000000"/>
          <w:bdr w:val="nil"/>
        </w:rPr>
        <w:t>Оценки на въздействието и други оценки</w:t>
      </w:r>
      <w:bookmarkEnd w:id="9"/>
    </w:p>
    <w:p>
      <w:pPr>
        <w:pStyle w:val="ManualHeading1"/>
        <w:ind w:left="0" w:firstLine="0"/>
        <w:rPr>
          <w:b w:val="0"/>
          <w:smallCaps w:val="0"/>
          <w:noProof/>
        </w:rPr>
      </w:pPr>
      <w:bookmarkStart w:id="10" w:name="_Toc41651873"/>
      <w:r>
        <w:rPr>
          <w:b w:val="0"/>
          <w:smallCaps w:val="0"/>
          <w:noProof/>
        </w:rPr>
        <w:t>В приложение 8 към работния документ на службите на Комисията SWD (2018) 337 final е предоставена допълнителна информация. Също така се извършват редовно оценки на хуманитарната помощ, които са на разположение в интернет</w:t>
      </w:r>
      <w:r>
        <w:rPr>
          <w:rStyle w:val="FootnoteReference"/>
          <w:b w:val="0"/>
          <w:smallCaps w:val="0"/>
          <w:noProof/>
          <w:lang w:eastAsia="en-GB"/>
        </w:rPr>
        <w:footnoteReference w:id="4"/>
      </w:r>
      <w:r>
        <w:rPr>
          <w:noProof/>
        </w:rPr>
        <w:t>.</w:t>
      </w:r>
      <w:bookmarkEnd w:id="10"/>
      <w:r>
        <w:rPr>
          <w:noProof/>
        </w:rPr>
        <w:t xml:space="preserve"> </w:t>
      </w:r>
    </w:p>
    <w:p>
      <w:pPr>
        <w:pStyle w:val="ManualHeading1"/>
        <w:rPr>
          <w:noProof/>
        </w:rPr>
      </w:pPr>
      <w:bookmarkStart w:id="11" w:name="_Toc41651874"/>
      <w:r>
        <w:rPr>
          <w:noProof/>
        </w:rPr>
        <w:t>4.</w:t>
      </w:r>
      <w:r>
        <w:rPr>
          <w:noProof/>
        </w:rPr>
        <w:tab/>
        <w:t>ОТРАЖЕНИЕ ВЪРХУ БЮДЖЕТА</w:t>
      </w:r>
      <w:bookmarkEnd w:id="11"/>
    </w:p>
    <w:p>
      <w:pPr>
        <w:pBdr>
          <w:top w:val="nil"/>
          <w:left w:val="nil"/>
          <w:bottom w:val="nil"/>
          <w:right w:val="nil"/>
          <w:between w:val="nil"/>
          <w:bar w:val="nil"/>
        </w:pBdr>
        <w:spacing w:before="0" w:after="240"/>
        <w:rPr>
          <w:rFonts w:eastAsia="Arial Unicode MS"/>
          <w:noProof/>
        </w:rPr>
      </w:pPr>
      <w:r>
        <w:rPr>
          <w:noProof/>
        </w:rPr>
        <w:t>Съюзът ще предостави на разположение финансиране за изпълнението на програмата за хуманитарна помощ. Сума в размер на 5 468 000 000 EUR (по текущи цени) ще</w:t>
      </w:r>
      <w:r>
        <w:rPr>
          <w:noProof/>
          <w:szCs w:val="24"/>
          <w:shd w:val="clear" w:color="auto" w:fill="FFFFFF"/>
        </w:rPr>
        <w:t xml:space="preserve"> бъде с източник финансиране от Инструмента на Европейския съюз за възстановяване.</w:t>
      </w:r>
    </w:p>
    <w:p>
      <w:pPr>
        <w:pBdr>
          <w:top w:val="nil"/>
          <w:left w:val="nil"/>
          <w:bottom w:val="nil"/>
          <w:right w:val="nil"/>
          <w:between w:val="nil"/>
          <w:bar w:val="nil"/>
        </w:pBdr>
        <w:spacing w:before="0" w:after="240"/>
        <w:rPr>
          <w:rFonts w:eastAsia="Arial Unicode MS"/>
          <w:noProof/>
        </w:rPr>
      </w:pPr>
      <w:r>
        <w:rPr>
          <w:noProof/>
        </w:rPr>
        <w:t>Повече подробности относно отражението върху бюджета са предоставени в законодателната финансова обосновка.</w:t>
      </w:r>
    </w:p>
    <w:p>
      <w:pPr>
        <w:pStyle w:val="ManualHeading1"/>
        <w:rPr>
          <w:noProof/>
        </w:rPr>
      </w:pPr>
      <w:bookmarkStart w:id="12" w:name="_Toc41651875"/>
      <w:r>
        <w:rPr>
          <w:noProof/>
        </w:rPr>
        <w:t>5.</w:t>
      </w:r>
      <w:r>
        <w:rPr>
          <w:noProof/>
        </w:rPr>
        <w:tab/>
        <w:t>ДРУГИ ЕЛЕМЕНТИ</w:t>
      </w:r>
      <w:bookmarkEnd w:id="12"/>
    </w:p>
    <w:p>
      <w:pPr>
        <w:pStyle w:val="ManualHeading2"/>
        <w:rPr>
          <w:rFonts w:eastAsia="Arial Unicode MS"/>
          <w:noProof/>
          <w:u w:color="000000"/>
          <w:bdr w:val="nil"/>
        </w:rPr>
      </w:pPr>
      <w:bookmarkStart w:id="13" w:name="_Toc41651876"/>
      <w:r>
        <w:rPr>
          <w:noProof/>
          <w:u w:color="000000"/>
          <w:bdr w:val="nil"/>
        </w:rPr>
        <w:t>•</w:t>
      </w:r>
      <w:r>
        <w:rPr>
          <w:noProof/>
        </w:rPr>
        <w:tab/>
      </w:r>
      <w:r>
        <w:rPr>
          <w:noProof/>
          <w:u w:color="000000"/>
          <w:bdr w:val="nil"/>
        </w:rPr>
        <w:t>Подробно разяснение на отделните разпоредби на предложението</w:t>
      </w:r>
      <w:bookmarkEnd w:id="13"/>
    </w:p>
    <w:p>
      <w:pPr>
        <w:autoSpaceDE w:val="0"/>
        <w:autoSpaceDN w:val="0"/>
        <w:adjustRightInd w:val="0"/>
        <w:spacing w:before="0" w:after="0"/>
        <w:rPr>
          <w:rFonts w:eastAsia="Arial Unicode MS"/>
          <w:bCs/>
          <w:noProof/>
        </w:rPr>
      </w:pPr>
      <w:r>
        <w:rPr>
          <w:noProof/>
        </w:rPr>
        <w:t xml:space="preserve">Правната рамка се състои от целеви изменения на Регламент (ЕО) № 1257/96 на Съвета от 20 юни 1996 г. относно хуманитарната помощ </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 xml:space="preserve">Основните въведени изменения имат за цел: </w:t>
      </w:r>
    </w:p>
    <w:p>
      <w:pPr>
        <w:pStyle w:val="Tiret0"/>
        <w:numPr>
          <w:ilvl w:val="0"/>
          <w:numId w:val="17"/>
        </w:numPr>
        <w:rPr>
          <w:noProof/>
        </w:rPr>
      </w:pPr>
      <w:r>
        <w:rPr>
          <w:noProof/>
        </w:rPr>
        <w:t>да се осигури възможност за изпълнение на мерките, предвидени в предложението за Регламент за създаване на Инструмент на Европейския съюз за възстановяване, чрез механизмите за изпълнение на хуманитарната помощ;</w:t>
      </w:r>
    </w:p>
    <w:p>
      <w:pPr>
        <w:pStyle w:val="Tiret0"/>
        <w:rPr>
          <w:noProof/>
        </w:rPr>
      </w:pPr>
      <w:r>
        <w:rPr>
          <w:noProof/>
        </w:rPr>
        <w:t>да се осигури възможност за финансиране от Инструмента на Европейския съюз за възстановяване като външни целеви приходи в съответствие с член 21, параграф 5 от Финансовия регламент;</w:t>
      </w:r>
    </w:p>
    <w:p>
      <w:pPr>
        <w:pStyle w:val="Tiret0"/>
        <w:rPr>
          <w:noProof/>
        </w:rPr>
      </w:pPr>
      <w:r>
        <w:rPr>
          <w:noProof/>
        </w:rPr>
        <w:lastRenderedPageBreak/>
        <w:t>да се гарантира спазването на целевите срокове, посочени в член 4 от предложението за регламент за създаване на Инструмент на Европейския съюз за възстановяване чрез съответни препратки.</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1257/96 на Съвета от 20 юни 1996 г. относно хуманитарната помощ</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214, параграф 3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Кризата, свързана с пандемията от COVID-19, оказва голямо въздействие върху обществата по света — от системите на здравеопазване до причиняването на тежки социални и икономически последици, като същевременно поражда и задълбочава хуманитарни потребности. </w:t>
      </w:r>
    </w:p>
    <w:p>
      <w:pPr>
        <w:pStyle w:val="ManualConsidrant"/>
        <w:rPr>
          <w:noProof/>
        </w:rPr>
      </w:pPr>
      <w:r>
        <w:t>(2)</w:t>
      </w:r>
      <w:r>
        <w:tab/>
      </w:r>
      <w:r>
        <w:rPr>
          <w:noProof/>
        </w:rPr>
        <w:t xml:space="preserve">Особено уязвими на въздействието на пандемията са третите държави със слаби държавни институции. Това ще доведе/доведе до нарастване на търсенето на </w:t>
      </w:r>
      <w:r>
        <w:rPr>
          <w:rStyle w:val="highlight"/>
          <w:noProof/>
        </w:rPr>
        <w:t>структурите за хуманитарна помощ</w:t>
      </w:r>
      <w:r>
        <w:rPr>
          <w:noProof/>
        </w:rPr>
        <w:t xml:space="preserve"> с цел осигуряването на незабавна, ефективна, ефикасна и съгласувана реакция и оказването на подкрепа на местните общности от трети държави. Стратегията за реагиране на Съюза следва да бъде всеобхватна, съгласувана и интегрирана, като се обърне внимание на предизвикателствата пред общественото здраве и социално-икономическите предизвикателства, а също и на хуманитарните предизвикателства. По-специално уязвимите държави и население са изложени на риск и се нуждаят от помощ, подкрепа и защита.     </w:t>
      </w:r>
    </w:p>
    <w:p>
      <w:pPr>
        <w:pStyle w:val="ManualConsidrant"/>
        <w:rPr>
          <w:noProof/>
        </w:rPr>
      </w:pPr>
      <w:r>
        <w:t>(3)</w:t>
      </w:r>
      <w:r>
        <w:tab/>
      </w:r>
      <w:r>
        <w:rPr>
          <w:noProof/>
        </w:rPr>
        <w:t>В съответствие с Регламент [Инструмент на Европейския съюз за възстановяване] и в рамките на определените в него ресурси, по линия на хуманитарната помощ следва да се предприемат мерки за възстановяване и устойчивост с цел да се преодолее безпрецедентното въздействие на кризата, свързана с COVID-19. Тези допълнителни ресурси следва да се използват по начин, който да гарантира спазването на сроковете, предвидени в Регламент [Европейски инструмент за възстановяване]. </w:t>
      </w:r>
    </w:p>
    <w:p>
      <w:pPr>
        <w:pStyle w:val="ManualConsidrant"/>
        <w:rPr>
          <w:noProof/>
        </w:rPr>
      </w:pPr>
      <w:r>
        <w:t>(4)</w:t>
      </w:r>
      <w:r>
        <w:tab/>
      </w:r>
      <w:r>
        <w:rPr>
          <w:noProof/>
        </w:rPr>
        <w:t>Поради това Регламент (ЕО) № 1257/96 следва да бъде съответно изменен,</w:t>
      </w:r>
    </w:p>
    <w:p>
      <w:pPr>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(ЕО) № 1257/96 се изменя, както следва:</w:t>
      </w:r>
    </w:p>
    <w:p>
      <w:pPr>
        <w:rPr>
          <w:noProof/>
        </w:rPr>
      </w:pPr>
    </w:p>
    <w:p>
      <w:pPr>
        <w:pStyle w:val="Point0"/>
        <w:rPr>
          <w:noProof/>
        </w:rPr>
      </w:pPr>
      <w:r>
        <w:t>(1)</w:t>
      </w:r>
      <w:r>
        <w:tab/>
      </w:r>
      <w:r>
        <w:rPr>
          <w:noProof/>
        </w:rPr>
        <w:t>Вмъква се член 14а:</w:t>
      </w:r>
    </w:p>
    <w:p>
      <w:pPr>
        <w:pStyle w:val="Text1"/>
        <w:rPr>
          <w:noProof/>
        </w:rPr>
      </w:pPr>
      <w:r>
        <w:rPr>
          <w:noProof/>
        </w:rPr>
        <w:t>„Член 14 a</w:t>
      </w:r>
    </w:p>
    <w:p>
      <w:pPr>
        <w:pStyle w:val="Text1"/>
        <w:rPr>
          <w:b/>
          <w:noProof/>
        </w:rPr>
      </w:pPr>
      <w:r>
        <w:rPr>
          <w:b/>
          <w:noProof/>
        </w:rPr>
        <w:t>Ресурси от Инструмента на Европейския съюз за възстановяване</w:t>
      </w:r>
    </w:p>
    <w:p>
      <w:pPr>
        <w:pStyle w:val="Text1"/>
        <w:rPr>
          <w:noProof/>
        </w:rPr>
      </w:pPr>
      <w:r>
        <w:rPr>
          <w:noProof/>
        </w:rPr>
        <w:t>Мерките, посочени в член 2 от Регламент [Европейски инструмент за възстановяване], се изпълняват по настоящата програма чрез сумите, посочени в член 3, параграф 2, буква а), подточка vii) от същия регламент, при спазване на член 4, параграфи 4 и 8 от него.</w:t>
      </w:r>
    </w:p>
    <w:p>
      <w:pPr>
        <w:pStyle w:val="Text1"/>
        <w:rPr>
          <w:noProof/>
        </w:rPr>
      </w:pPr>
      <w:r>
        <w:rPr>
          <w:noProof/>
        </w:rPr>
        <w:t>Тези суми ще представляват външни целеви приходи в съответствие с член 21, параграф 5 от Финансовия регламент.</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bookmarkStart w:id="14" w:name="_Toc514941970" w:displacedByCustomXml="next"/>
    <w:sdt>
      <w:sdtPr>
        <w:rPr>
          <w:b w:val="0"/>
          <w:noProof/>
          <w:color w:val="008000"/>
          <w:u w:val="none"/>
        </w:rPr>
        <w:id w:val="-1693053952"/>
        <w:docPartObj>
          <w:docPartGallery w:val="Table of Contents"/>
          <w:docPartUnique/>
        </w:docPartObj>
      </w:sdtPr>
      <w:sdtEndPr>
        <w:rPr>
          <w:bCs/>
          <w:color w:val="auto"/>
        </w:rPr>
      </w:sdtEndPr>
      <w:sdtContent>
        <w:p>
          <w:pPr>
            <w:pStyle w:val="Fichefinanciretitre"/>
            <w:rPr>
              <w:noProof/>
            </w:rPr>
          </w:pPr>
          <w:r>
            <w:rPr>
              <w:noProof/>
            </w:rPr>
            <w:t xml:space="preserve">ЗАКОНОДАТЕЛНА ФИНАНСОВА ОБОСНОВКА </w:t>
          </w:r>
        </w:p>
        <w:p>
          <w:pPr>
            <w:pStyle w:val="TOC1"/>
            <w:rPr>
              <w:rFonts w:asciiTheme="minorHAnsi" w:eastAsiaTheme="minorEastAsia" w:hAnsiTheme="minorHAnsi" w:cstheme="minorBidi"/>
              <w:noProof/>
              <w:sz w:val="22"/>
              <w:lang w:val="en-US"/>
            </w:rPr>
          </w:pPr>
          <w:r>
            <w:rPr>
              <w:bCs/>
              <w:noProof/>
              <w:sz w:val="28"/>
            </w:rPr>
            <w:fldChar w:fldCharType="begin"/>
          </w:r>
          <w:r>
            <w:rPr>
              <w:bCs/>
              <w:noProof/>
            </w:rPr>
            <w:instrText xml:space="preserve"> TOC \o "1-3" \h \z \u </w:instrText>
          </w:r>
          <w:r>
            <w:rPr>
              <w:bCs/>
              <w:noProof/>
              <w:sz w:val="28"/>
            </w:rPr>
            <w:fldChar w:fldCharType="separate"/>
          </w:r>
          <w:hyperlink w:anchor="_Toc41651877" w:history="1">
            <w:r>
              <w:rPr>
                <w:rStyle w:val="Hyperlink"/>
                <w:noProof/>
              </w:rPr>
              <w:t>1.</w:t>
            </w:r>
            <w:r>
              <w:rPr>
                <w:rFonts w:asciiTheme="minorHAnsi" w:eastAsiaTheme="minorEastAsia" w:hAnsiTheme="minorHAnsi" w:cstheme="minorBidi"/>
                <w:noProof/>
                <w:sz w:val="22"/>
                <w:lang w:val="en-US"/>
              </w:rPr>
              <w:tab/>
            </w:r>
            <w:r>
              <w:rPr>
                <w:rStyle w:val="Hyperlink"/>
                <w:noProof/>
              </w:rPr>
              <w:t>РАМКА НА ПРЕДЛОЖЕНИЕТО/ИНИЦИАТИВАТА</w:t>
            </w:r>
            <w:r>
              <w:rPr>
                <w:noProof/>
                <w:webHidden/>
              </w:rPr>
              <w:tab/>
            </w:r>
            <w:r>
              <w:rPr>
                <w:noProof/>
                <w:webHidden/>
              </w:rPr>
              <w:fldChar w:fldCharType="begin"/>
            </w:r>
            <w:r>
              <w:rPr>
                <w:noProof/>
                <w:webHidden/>
              </w:rPr>
              <w:instrText xml:space="preserve"> PAGEREF _Toc41651877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78" w:history="1">
            <w:r>
              <w:rPr>
                <w:rStyle w:val="Hyperlink"/>
                <w:noProof/>
              </w:rPr>
              <w:t>1.1.</w:t>
            </w:r>
            <w:r>
              <w:rPr>
                <w:rFonts w:asciiTheme="minorHAnsi" w:eastAsiaTheme="minorEastAsia" w:hAnsiTheme="minorHAnsi" w:cstheme="minorBidi"/>
                <w:noProof/>
                <w:sz w:val="22"/>
                <w:lang w:val="en-US"/>
              </w:rPr>
              <w:tab/>
            </w:r>
            <w:r>
              <w:rPr>
                <w:rStyle w:val="Hyperlink"/>
                <w:noProof/>
              </w:rPr>
              <w:t>Наименование на предложението/инициативата</w:t>
            </w:r>
            <w:r>
              <w:rPr>
                <w:noProof/>
                <w:webHidden/>
              </w:rPr>
              <w:tab/>
            </w:r>
            <w:r>
              <w:rPr>
                <w:noProof/>
                <w:webHidden/>
              </w:rPr>
              <w:fldChar w:fldCharType="begin"/>
            </w:r>
            <w:r>
              <w:rPr>
                <w:noProof/>
                <w:webHidden/>
              </w:rPr>
              <w:instrText xml:space="preserve"> PAGEREF _Toc41651878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79" w:history="1">
            <w:r>
              <w:rPr>
                <w:rStyle w:val="Hyperlink"/>
                <w:i/>
                <w:noProof/>
              </w:rPr>
              <w:t>1.2.</w:t>
            </w:r>
            <w:r>
              <w:rPr>
                <w:rFonts w:asciiTheme="minorHAnsi" w:eastAsiaTheme="minorEastAsia" w:hAnsiTheme="minorHAnsi" w:cstheme="minorBidi"/>
                <w:noProof/>
                <w:sz w:val="22"/>
                <w:lang w:val="en-US"/>
              </w:rPr>
              <w:tab/>
            </w:r>
            <w:r>
              <w:rPr>
                <w:rStyle w:val="Hyperlink"/>
                <w:noProof/>
              </w:rPr>
              <w:t>Съответни области на политиката (</w:t>
            </w:r>
            <w:r>
              <w:rPr>
                <w:rStyle w:val="Hyperlink"/>
                <w:i/>
                <w:noProof/>
              </w:rPr>
              <w:t>програмен клъстер</w:t>
            </w:r>
            <w:r>
              <w:rPr>
                <w:rStyle w:val="Hyperlink"/>
                <w:noProof/>
              </w:rPr>
              <w:t>)</w:t>
            </w:r>
            <w:r>
              <w:rPr>
                <w:noProof/>
                <w:webHidden/>
              </w:rPr>
              <w:tab/>
            </w:r>
            <w:r>
              <w:rPr>
                <w:noProof/>
                <w:webHidden/>
              </w:rPr>
              <w:fldChar w:fldCharType="begin"/>
            </w:r>
            <w:r>
              <w:rPr>
                <w:noProof/>
                <w:webHidden/>
              </w:rPr>
              <w:instrText xml:space="preserve"> PAGEREF _Toc41651879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80" w:history="1">
            <w:r>
              <w:rPr>
                <w:rStyle w:val="Hyperlink"/>
                <w:noProof/>
              </w:rPr>
              <w:t>1.3.</w:t>
            </w:r>
            <w:r>
              <w:rPr>
                <w:rFonts w:asciiTheme="minorHAnsi" w:eastAsiaTheme="minorEastAsia" w:hAnsiTheme="minorHAnsi" w:cstheme="minorBidi"/>
                <w:noProof/>
                <w:sz w:val="22"/>
                <w:lang w:val="en-US"/>
              </w:rPr>
              <w:tab/>
            </w:r>
            <w:r>
              <w:rPr>
                <w:rStyle w:val="Hyperlink"/>
                <w:noProof/>
              </w:rPr>
              <w:t>Предложението/инициативата е във връзка с:</w:t>
            </w:r>
            <w:r>
              <w:rPr>
                <w:noProof/>
                <w:webHidden/>
              </w:rPr>
              <w:tab/>
            </w:r>
            <w:r>
              <w:rPr>
                <w:noProof/>
                <w:webHidden/>
              </w:rPr>
              <w:fldChar w:fldCharType="begin"/>
            </w:r>
            <w:r>
              <w:rPr>
                <w:noProof/>
                <w:webHidden/>
              </w:rPr>
              <w:instrText xml:space="preserve"> PAGEREF _Toc41651880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81" w:history="1">
            <w:r>
              <w:rPr>
                <w:rStyle w:val="Hyperlink"/>
                <w:noProof/>
              </w:rPr>
              <w:t>1.4.</w:t>
            </w:r>
            <w:r>
              <w:rPr>
                <w:rFonts w:asciiTheme="minorHAnsi" w:eastAsiaTheme="minorEastAsia" w:hAnsiTheme="minorHAnsi" w:cstheme="minorBidi"/>
                <w:noProof/>
                <w:sz w:val="22"/>
                <w:lang w:val="en-US"/>
              </w:rPr>
              <w:tab/>
            </w:r>
            <w:r>
              <w:rPr>
                <w:rStyle w:val="Hyperlink"/>
                <w:noProof/>
              </w:rPr>
              <w:t>Мотиви за предложението/инициативата</w:t>
            </w:r>
            <w:r>
              <w:rPr>
                <w:noProof/>
                <w:webHidden/>
              </w:rPr>
              <w:tab/>
            </w:r>
            <w:r>
              <w:rPr>
                <w:noProof/>
                <w:webHidden/>
              </w:rPr>
              <w:fldChar w:fldCharType="begin"/>
            </w:r>
            <w:r>
              <w:rPr>
                <w:noProof/>
                <w:webHidden/>
              </w:rPr>
              <w:instrText xml:space="preserve"> PAGEREF _Toc41651881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1651882" w:history="1">
            <w:r>
              <w:rPr>
                <w:rStyle w:val="Hyperlink"/>
                <w:noProof/>
              </w:rPr>
              <w:t>1.4.1.</w:t>
            </w:r>
            <w:r>
              <w:rPr>
                <w:rFonts w:asciiTheme="minorHAnsi" w:eastAsiaTheme="minorEastAsia" w:hAnsiTheme="minorHAnsi" w:cstheme="minorBidi"/>
                <w:noProof/>
                <w:sz w:val="22"/>
                <w:lang w:val="en-US"/>
              </w:rPr>
              <w:tab/>
            </w:r>
            <w:r>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r>
            <w:r>
              <w:rPr>
                <w:noProof/>
                <w:webHidden/>
              </w:rPr>
              <w:instrText xml:space="preserve"> PAGEREF _Toc41651882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1651883" w:history="1">
            <w:r>
              <w:rPr>
                <w:rStyle w:val="Hyperlink"/>
                <w:noProof/>
              </w:rPr>
              <w:t>1.4.2.</w:t>
            </w:r>
            <w:r>
              <w:rPr>
                <w:rFonts w:asciiTheme="minorHAnsi" w:eastAsiaTheme="minorEastAsia" w:hAnsiTheme="minorHAnsi" w:cstheme="minorBidi"/>
                <w:noProof/>
                <w:sz w:val="22"/>
                <w:lang w:val="en-US"/>
              </w:rPr>
              <w:tab/>
            </w:r>
            <w:r>
              <w:rPr>
                <w:rStyle w:val="Hyperlink"/>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r>
              <w:rPr>
                <w:noProof/>
                <w:webHidden/>
              </w:rPr>
              <w:tab/>
            </w:r>
            <w:r>
              <w:rPr>
                <w:noProof/>
                <w:webHidden/>
              </w:rPr>
              <w:fldChar w:fldCharType="begin"/>
            </w:r>
            <w:r>
              <w:rPr>
                <w:noProof/>
                <w:webHidden/>
              </w:rPr>
              <w:instrText xml:space="preserve"> PAGEREF _Toc41651883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val="en-US"/>
            </w:rPr>
          </w:pPr>
          <w:hyperlink w:anchor="_Toc41651884" w:history="1">
            <w:r>
              <w:rPr>
                <w:rStyle w:val="Hyperlink"/>
                <w:noProof/>
              </w:rPr>
              <w:t>1.4.3.</w:t>
            </w:r>
            <w:r>
              <w:rPr>
                <w:rFonts w:asciiTheme="minorHAnsi" w:eastAsiaTheme="minorEastAsia" w:hAnsiTheme="minorHAnsi" w:cstheme="minorBidi"/>
                <w:noProof/>
                <w:sz w:val="22"/>
                <w:lang w:val="en-US"/>
              </w:rPr>
              <w:tab/>
            </w:r>
            <w:r>
              <w:rPr>
                <w:rStyle w:val="Hyperlink"/>
                <w:noProof/>
              </w:rPr>
              <w:t>Изводи от подобен опит в миналото</w:t>
            </w:r>
            <w:r>
              <w:rPr>
                <w:noProof/>
                <w:webHidden/>
              </w:rPr>
              <w:tab/>
            </w:r>
            <w:r>
              <w:rPr>
                <w:noProof/>
                <w:webHidden/>
              </w:rPr>
              <w:fldChar w:fldCharType="begin"/>
            </w:r>
            <w:r>
              <w:rPr>
                <w:noProof/>
                <w:webHidden/>
              </w:rPr>
              <w:instrText xml:space="preserve"> PAGEREF _Toc41651884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val="en-US"/>
            </w:rPr>
          </w:pPr>
          <w:hyperlink w:anchor="_Toc41651885" w:history="1">
            <w:r>
              <w:rPr>
                <w:rStyle w:val="Hyperlink"/>
                <w:noProof/>
              </w:rPr>
              <w:t>1.4.4.</w:t>
            </w:r>
            <w:r>
              <w:rPr>
                <w:rFonts w:asciiTheme="minorHAnsi" w:eastAsiaTheme="minorEastAsia" w:hAnsiTheme="minorHAnsi" w:cstheme="minorBidi"/>
                <w:noProof/>
                <w:sz w:val="22"/>
                <w:lang w:val="en-US"/>
              </w:rPr>
              <w:tab/>
            </w:r>
            <w:r>
              <w:rPr>
                <w:rStyle w:val="Hyperlink"/>
                <w:noProof/>
              </w:rPr>
              <w:t>Съгласуваност и евентуална синергия с други актове</w:t>
            </w:r>
            <w:r>
              <w:rPr>
                <w:noProof/>
                <w:webHidden/>
              </w:rPr>
              <w:tab/>
            </w:r>
            <w:r>
              <w:rPr>
                <w:noProof/>
                <w:webHidden/>
              </w:rPr>
              <w:fldChar w:fldCharType="begin"/>
            </w:r>
            <w:r>
              <w:rPr>
                <w:noProof/>
                <w:webHidden/>
              </w:rPr>
              <w:instrText xml:space="preserve"> PAGEREF _Toc41651885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86" w:history="1">
            <w:r>
              <w:rPr>
                <w:rStyle w:val="Hyperlink"/>
                <w:noProof/>
              </w:rPr>
              <w:t>1.5.</w:t>
            </w:r>
            <w:r>
              <w:rPr>
                <w:rFonts w:asciiTheme="minorHAnsi" w:eastAsiaTheme="minorEastAsia" w:hAnsiTheme="minorHAnsi" w:cstheme="minorBidi"/>
                <w:noProof/>
                <w:sz w:val="22"/>
                <w:lang w:val="en-US"/>
              </w:rPr>
              <w:tab/>
            </w:r>
            <w:r>
              <w:rPr>
                <w:rStyle w:val="Hyperlink"/>
                <w:noProof/>
              </w:rPr>
              <w:t>Срок на действие и финансово отражение</w:t>
            </w:r>
            <w:r>
              <w:rPr>
                <w:noProof/>
                <w:webHidden/>
              </w:rPr>
              <w:tab/>
            </w:r>
            <w:r>
              <w:rPr>
                <w:noProof/>
                <w:webHidden/>
              </w:rPr>
              <w:fldChar w:fldCharType="begin"/>
            </w:r>
            <w:r>
              <w:rPr>
                <w:noProof/>
                <w:webHidden/>
              </w:rPr>
              <w:instrText xml:space="preserve"> PAGEREF _Toc41651886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87" w:history="1">
            <w:r>
              <w:rPr>
                <w:rStyle w:val="Hyperlink"/>
                <w:noProof/>
              </w:rPr>
              <w:t>1.6.</w:t>
            </w:r>
            <w:r>
              <w:rPr>
                <w:rFonts w:asciiTheme="minorHAnsi" w:eastAsiaTheme="minorEastAsia" w:hAnsiTheme="minorHAnsi" w:cstheme="minorBidi"/>
                <w:noProof/>
                <w:sz w:val="22"/>
                <w:lang w:val="en-US"/>
              </w:rPr>
              <w:tab/>
            </w:r>
            <w:r>
              <w:rPr>
                <w:rStyle w:val="Hyperlink"/>
                <w:noProof/>
              </w:rPr>
              <w:t>Планирани методи на управление</w:t>
            </w:r>
            <w:r>
              <w:rPr>
                <w:noProof/>
                <w:webHidden/>
              </w:rPr>
              <w:tab/>
            </w:r>
            <w:r>
              <w:rPr>
                <w:noProof/>
                <w:webHidden/>
              </w:rPr>
              <w:fldChar w:fldCharType="begin"/>
            </w:r>
            <w:r>
              <w:rPr>
                <w:noProof/>
                <w:webHidden/>
              </w:rPr>
              <w:instrText xml:space="preserve"> PAGEREF _Toc41651887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val="en-US"/>
            </w:rPr>
          </w:pPr>
          <w:hyperlink w:anchor="_Toc41651888" w:history="1">
            <w:r>
              <w:rPr>
                <w:rStyle w:val="Hyperlink"/>
                <w:noProof/>
              </w:rPr>
              <w:t>2.</w:t>
            </w:r>
            <w:r>
              <w:rPr>
                <w:rFonts w:asciiTheme="minorHAnsi" w:eastAsiaTheme="minorEastAsia" w:hAnsiTheme="minorHAnsi" w:cstheme="minorBidi"/>
                <w:noProof/>
                <w:sz w:val="22"/>
                <w:lang w:val="en-US"/>
              </w:rPr>
              <w:tab/>
            </w:r>
            <w:r>
              <w:rPr>
                <w:rStyle w:val="Hyperlink"/>
                <w:noProof/>
              </w:rPr>
              <w:t>МЕРКИ ЗА УПРАВЛЕНИЕ</w:t>
            </w:r>
            <w:r>
              <w:rPr>
                <w:noProof/>
                <w:webHidden/>
              </w:rPr>
              <w:tab/>
            </w:r>
            <w:r>
              <w:rPr>
                <w:noProof/>
                <w:webHidden/>
              </w:rPr>
              <w:fldChar w:fldCharType="begin"/>
            </w:r>
            <w:r>
              <w:rPr>
                <w:noProof/>
                <w:webHidden/>
              </w:rPr>
              <w:instrText xml:space="preserve"> PAGEREF _Toc41651888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89" w:history="1">
            <w:r>
              <w:rPr>
                <w:rStyle w:val="Hyperlink"/>
                <w:noProof/>
              </w:rPr>
              <w:t>2.1.</w:t>
            </w:r>
            <w:r>
              <w:rPr>
                <w:rFonts w:asciiTheme="minorHAnsi" w:eastAsiaTheme="minorEastAsia" w:hAnsiTheme="minorHAnsi" w:cstheme="minorBidi"/>
                <w:noProof/>
                <w:sz w:val="22"/>
                <w:lang w:val="en-US"/>
              </w:rPr>
              <w:tab/>
            </w:r>
            <w:r>
              <w:rPr>
                <w:rStyle w:val="Hyperlink"/>
                <w:noProof/>
              </w:rPr>
              <w:t>Правила за мониторинг и докладване</w:t>
            </w:r>
            <w:r>
              <w:rPr>
                <w:noProof/>
                <w:webHidden/>
              </w:rPr>
              <w:tab/>
            </w:r>
            <w:r>
              <w:rPr>
                <w:noProof/>
                <w:webHidden/>
              </w:rPr>
              <w:fldChar w:fldCharType="begin"/>
            </w:r>
            <w:r>
              <w:rPr>
                <w:noProof/>
                <w:webHidden/>
              </w:rPr>
              <w:instrText xml:space="preserve"> PAGEREF _Toc41651889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90" w:history="1">
            <w:r>
              <w:rPr>
                <w:rStyle w:val="Hyperlink"/>
                <w:noProof/>
              </w:rPr>
              <w:t>2.2.</w:t>
            </w:r>
            <w:r>
              <w:rPr>
                <w:rFonts w:asciiTheme="minorHAnsi" w:eastAsiaTheme="minorEastAsia" w:hAnsiTheme="minorHAnsi" w:cstheme="minorBidi"/>
                <w:noProof/>
                <w:sz w:val="22"/>
                <w:lang w:val="en-US"/>
              </w:rPr>
              <w:tab/>
            </w:r>
            <w:r>
              <w:rPr>
                <w:rStyle w:val="Hyperlink"/>
                <w:noProof/>
              </w:rPr>
              <w:t>Системи за управление и контрол</w:t>
            </w:r>
            <w:r>
              <w:rPr>
                <w:noProof/>
                <w:webHidden/>
              </w:rPr>
              <w:tab/>
            </w:r>
            <w:r>
              <w:rPr>
                <w:noProof/>
                <w:webHidden/>
              </w:rPr>
              <w:fldChar w:fldCharType="begin"/>
            </w:r>
            <w:r>
              <w:rPr>
                <w:noProof/>
                <w:webHidden/>
              </w:rPr>
              <w:instrText xml:space="preserve"> PAGEREF _Toc41651890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91" w:history="1">
            <w:r>
              <w:rPr>
                <w:rStyle w:val="Hyperlink"/>
                <w:noProof/>
              </w:rPr>
              <w:t>2.3.</w:t>
            </w:r>
            <w:r>
              <w:rPr>
                <w:rFonts w:asciiTheme="minorHAnsi" w:eastAsiaTheme="minorEastAsia" w:hAnsiTheme="minorHAnsi" w:cstheme="minorBidi"/>
                <w:noProof/>
                <w:sz w:val="22"/>
                <w:lang w:val="en-US"/>
              </w:rPr>
              <w:tab/>
            </w:r>
            <w:r>
              <w:rPr>
                <w:rStyle w:val="Hyperlink"/>
                <w:noProof/>
              </w:rPr>
              <w:t>Мерки за предотвратяване на измами и нередности</w:t>
            </w:r>
            <w:r>
              <w:rPr>
                <w:noProof/>
                <w:webHidden/>
              </w:rPr>
              <w:tab/>
            </w:r>
            <w:r>
              <w:rPr>
                <w:noProof/>
                <w:webHidden/>
              </w:rPr>
              <w:fldChar w:fldCharType="begin"/>
            </w:r>
            <w:r>
              <w:rPr>
                <w:noProof/>
                <w:webHidden/>
              </w:rPr>
              <w:instrText xml:space="preserve"> PAGEREF _Toc41651891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lang w:val="en-US"/>
            </w:rPr>
          </w:pPr>
          <w:hyperlink w:anchor="_Toc41651892" w:history="1">
            <w:r>
              <w:rPr>
                <w:rStyle w:val="Hyperlink"/>
                <w:noProof/>
              </w:rPr>
              <w:t>3.</w:t>
            </w:r>
            <w:r>
              <w:rPr>
                <w:rFonts w:asciiTheme="minorHAnsi" w:eastAsiaTheme="minorEastAsia" w:hAnsiTheme="minorHAnsi" w:cstheme="minorBidi"/>
                <w:noProof/>
                <w:sz w:val="22"/>
                <w:lang w:val="en-US"/>
              </w:rPr>
              <w:tab/>
            </w:r>
            <w:r>
              <w:rPr>
                <w:rStyle w:val="Hyperlink"/>
                <w:noProof/>
              </w:rPr>
              <w:t>ОЧАКВАНО ФИНАНСОВО ОТРАЖЕНИЕ НА ПРЕДЛОЖЕНИЕТО/ИНИЦИАТИВАТА</w:t>
            </w:r>
            <w:r>
              <w:rPr>
                <w:noProof/>
                <w:webHidden/>
              </w:rPr>
              <w:tab/>
            </w:r>
            <w:r>
              <w:rPr>
                <w:noProof/>
                <w:webHidden/>
              </w:rPr>
              <w:fldChar w:fldCharType="begin"/>
            </w:r>
            <w:r>
              <w:rPr>
                <w:noProof/>
                <w:webHidden/>
              </w:rPr>
              <w:instrText xml:space="preserve"> PAGEREF _Toc41651892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93" w:history="1">
            <w:r>
              <w:rPr>
                <w:rStyle w:val="Hyperlink"/>
                <w:noProof/>
              </w:rPr>
              <w:t>3.1.</w:t>
            </w:r>
            <w:r>
              <w:rPr>
                <w:rFonts w:asciiTheme="minorHAnsi" w:eastAsiaTheme="minorEastAsia" w:hAnsiTheme="minorHAnsi" w:cstheme="minorBidi"/>
                <w:noProof/>
                <w:sz w:val="22"/>
                <w:lang w:val="en-US"/>
              </w:rPr>
              <w:tab/>
            </w:r>
            <w:r>
              <w:rPr>
                <w:rStyle w:val="Hyperlink"/>
                <w:noProof/>
              </w:rPr>
              <w:t>Функции от многогодишната финансова рамка и предложени нови разходни бюджетни редове</w:t>
            </w:r>
            <w:r>
              <w:rPr>
                <w:noProof/>
                <w:webHidden/>
              </w:rPr>
              <w:tab/>
            </w:r>
            <w:r>
              <w:rPr>
                <w:noProof/>
                <w:webHidden/>
              </w:rPr>
              <w:fldChar w:fldCharType="begin"/>
            </w:r>
            <w:r>
              <w:rPr>
                <w:noProof/>
                <w:webHidden/>
              </w:rPr>
              <w:instrText xml:space="preserve"> PAGEREF _Toc41651893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94" w:history="1">
            <w:r>
              <w:rPr>
                <w:rStyle w:val="Hyperlink"/>
                <w:noProof/>
              </w:rPr>
              <w:t>3.2.</w:t>
            </w:r>
            <w:r>
              <w:rPr>
                <w:rFonts w:asciiTheme="minorHAnsi" w:eastAsiaTheme="minorEastAsia" w:hAnsiTheme="minorHAnsi" w:cstheme="minorBidi"/>
                <w:noProof/>
                <w:sz w:val="22"/>
                <w:lang w:val="en-US"/>
              </w:rPr>
              <w:tab/>
            </w:r>
            <w:r>
              <w:rPr>
                <w:rStyle w:val="Hyperlink"/>
                <w:noProof/>
              </w:rPr>
              <w:t>Очаквано отражение върху разходите</w:t>
            </w:r>
            <w:r>
              <w:rPr>
                <w:noProof/>
                <w:webHidden/>
              </w:rPr>
              <w:tab/>
            </w:r>
            <w:r>
              <w:rPr>
                <w:noProof/>
                <w:webHidden/>
              </w:rPr>
              <w:fldChar w:fldCharType="begin"/>
            </w:r>
            <w:r>
              <w:rPr>
                <w:noProof/>
                <w:webHidden/>
              </w:rPr>
              <w:instrText xml:space="preserve"> PAGEREF _Toc41651894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US"/>
            </w:rPr>
          </w:pPr>
          <w:hyperlink w:anchor="_Toc41651895" w:history="1">
            <w:r>
              <w:rPr>
                <w:rStyle w:val="Hyperlink"/>
                <w:noProof/>
              </w:rPr>
              <w:t>3.2.1.</w:t>
            </w:r>
            <w:r>
              <w:rPr>
                <w:rFonts w:asciiTheme="minorHAnsi" w:eastAsiaTheme="minorEastAsia" w:hAnsiTheme="minorHAnsi" w:cstheme="minorBidi"/>
                <w:noProof/>
                <w:sz w:val="22"/>
                <w:lang w:val="en-US"/>
              </w:rPr>
              <w:tab/>
            </w:r>
            <w:r>
              <w:rPr>
                <w:rStyle w:val="Hyperlink"/>
                <w:noProof/>
              </w:rPr>
              <w:t>Обобщение на очакваното отражение върху разходите</w:t>
            </w:r>
            <w:r>
              <w:rPr>
                <w:noProof/>
                <w:webHidden/>
              </w:rPr>
              <w:tab/>
            </w:r>
            <w:r>
              <w:rPr>
                <w:noProof/>
                <w:webHidden/>
              </w:rPr>
              <w:fldChar w:fldCharType="begin"/>
            </w:r>
            <w:r>
              <w:rPr>
                <w:noProof/>
                <w:webHidden/>
              </w:rPr>
              <w:instrText xml:space="preserve"> PAGEREF _Toc41651895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lang w:val="en-US"/>
            </w:rPr>
          </w:pPr>
          <w:hyperlink w:anchor="_Toc41651896" w:history="1">
            <w:r>
              <w:rPr>
                <w:rStyle w:val="Hyperlink"/>
                <w:noProof/>
              </w:rPr>
              <w:t>3.2.2.</w:t>
            </w:r>
            <w:r>
              <w:rPr>
                <w:rFonts w:asciiTheme="minorHAnsi" w:eastAsiaTheme="minorEastAsia" w:hAnsiTheme="minorHAnsi" w:cstheme="minorBidi"/>
                <w:noProof/>
                <w:sz w:val="22"/>
                <w:lang w:val="en-US"/>
              </w:rPr>
              <w:tab/>
            </w:r>
            <w:r>
              <w:rPr>
                <w:rStyle w:val="Hyperlink"/>
                <w:noProof/>
              </w:rPr>
              <w:t>Резюме на очаквано отражение върху бюджетните кредити за административни разходи</w:t>
            </w:r>
            <w:r>
              <w:rPr>
                <w:noProof/>
                <w:webHidden/>
              </w:rPr>
              <w:tab/>
            </w:r>
            <w:r>
              <w:rPr>
                <w:noProof/>
                <w:webHidden/>
              </w:rPr>
              <w:fldChar w:fldCharType="begin"/>
            </w:r>
            <w:r>
              <w:rPr>
                <w:noProof/>
                <w:webHidden/>
              </w:rPr>
              <w:instrText xml:space="preserve"> PAGEREF _Toc41651896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lang w:val="en-US"/>
            </w:rPr>
          </w:pPr>
          <w:hyperlink w:anchor="_Toc41651897" w:history="1">
            <w:r>
              <w:rPr>
                <w:rStyle w:val="Hyperlink"/>
                <w:noProof/>
              </w:rPr>
              <w:t>3.3.</w:t>
            </w:r>
            <w:r>
              <w:rPr>
                <w:rFonts w:asciiTheme="minorHAnsi" w:eastAsiaTheme="minorEastAsia" w:hAnsiTheme="minorHAnsi" w:cstheme="minorBidi"/>
                <w:noProof/>
                <w:sz w:val="22"/>
                <w:lang w:val="en-US"/>
              </w:rPr>
              <w:tab/>
            </w:r>
            <w:r>
              <w:rPr>
                <w:rStyle w:val="Hyperlink"/>
                <w:noProof/>
              </w:rPr>
              <w:t>Очаквано отражение върху приходите</w:t>
            </w:r>
            <w:r>
              <w:rPr>
                <w:noProof/>
                <w:webHidden/>
              </w:rPr>
              <w:tab/>
            </w:r>
            <w:r>
              <w:rPr>
                <w:noProof/>
                <w:webHidden/>
              </w:rPr>
              <w:fldChar w:fldCharType="begin"/>
            </w:r>
            <w:r>
              <w:rPr>
                <w:noProof/>
                <w:webHidden/>
              </w:rPr>
              <w:instrText xml:space="preserve"> PAGEREF _Toc41651897 \h </w:instrText>
            </w:r>
            <w:r>
              <w:rPr>
                <w:noProof/>
                <w:webHidden/>
              </w:rPr>
            </w:r>
            <w:r>
              <w:rPr>
                <w:noProof/>
                <w:webHidden/>
              </w:rPr>
              <w:fldChar w:fldCharType="separate"/>
            </w:r>
            <w:r>
              <w:rPr>
                <w:noProof/>
                <w:webHidden/>
              </w:rPr>
              <w:t>12</w:t>
            </w:r>
            <w:r>
              <w:rPr>
                <w:noProof/>
                <w:webHidden/>
              </w:rPr>
              <w:fldChar w:fldCharType="end"/>
            </w:r>
          </w:hyperlink>
        </w:p>
        <w:p>
          <w:pPr>
            <w:rPr>
              <w:noProof/>
            </w:rPr>
          </w:pPr>
          <w:r>
            <w:rPr>
              <w:b/>
              <w:bCs/>
              <w:noProof/>
            </w:rPr>
            <w:fldChar w:fldCharType="end"/>
          </w:r>
        </w:p>
      </w:sdtContent>
    </w:sdt>
    <w:p>
      <w:pPr>
        <w:rPr>
          <w:noProof/>
        </w:rPr>
        <w:sectPr>
          <w:pgSz w:w="11907" w:h="16840" w:code="9"/>
          <w:pgMar w:top="1134" w:right="1418" w:bottom="1134" w:left="1418" w:header="709" w:footer="709" w:gutter="0"/>
          <w:pgNumType w:start="1"/>
          <w:cols w:space="708"/>
          <w:docGrid w:linePitch="360"/>
        </w:sectPr>
      </w:pPr>
    </w:p>
    <w:p>
      <w:pPr>
        <w:jc w:val="center"/>
        <w:rPr>
          <w:b/>
          <w:noProof/>
          <w:u w:val="single"/>
        </w:rPr>
      </w:pPr>
      <w:r>
        <w:rPr>
          <w:b/>
          <w:noProof/>
          <w:u w:val="single"/>
        </w:rPr>
        <w:t>ЗАКОНОДАТЕЛНА ФИНАНСОВА ОБОСНОВКА</w:t>
      </w:r>
      <w:bookmarkEnd w:id="14"/>
    </w:p>
    <w:p>
      <w:pPr>
        <w:pStyle w:val="ManualHeading1"/>
        <w:rPr>
          <w:noProof/>
        </w:rPr>
      </w:pPr>
      <w:bookmarkStart w:id="15" w:name="_Toc514941971"/>
      <w:bookmarkStart w:id="16" w:name="_Toc41651877"/>
      <w:r>
        <w:t>1.</w:t>
      </w:r>
      <w:r>
        <w:tab/>
      </w:r>
      <w:r>
        <w:rPr>
          <w:noProof/>
        </w:rPr>
        <w:t>РАМКА НА ПРЕДЛОЖЕНИЕТО/ИНИЦИАТИВАТА</w:t>
      </w:r>
      <w:bookmarkEnd w:id="15"/>
      <w:bookmarkEnd w:id="16"/>
      <w:r>
        <w:rPr>
          <w:noProof/>
        </w:rPr>
        <w:t xml:space="preserve"> </w:t>
      </w:r>
    </w:p>
    <w:p>
      <w:pPr>
        <w:pStyle w:val="ManualHeading2"/>
        <w:rPr>
          <w:noProof/>
        </w:rPr>
      </w:pPr>
      <w:bookmarkStart w:id="17" w:name="_Toc514941972"/>
      <w:bookmarkStart w:id="18" w:name="_Toc41651878"/>
      <w:r>
        <w:t>1.1.</w:t>
      </w:r>
      <w:r>
        <w:tab/>
      </w:r>
      <w:r>
        <w:rPr>
          <w:noProof/>
        </w:rPr>
        <w:t>Наименование на предложението/инициативата</w:t>
      </w:r>
      <w:bookmarkEnd w:id="17"/>
      <w:bookmarkEnd w:id="18"/>
      <w:r>
        <w:rPr>
          <w:noProof/>
        </w:rPr>
        <w:t xml:space="preserve"> </w:t>
      </w:r>
    </w:p>
    <w:p>
      <w:pPr>
        <w:pStyle w:val="Text1"/>
        <w:rPr>
          <w:noProof/>
        </w:rPr>
      </w:pPr>
      <w:bookmarkStart w:id="19" w:name="_Toc514941973"/>
      <w:r>
        <w:rPr>
          <w:noProof/>
        </w:rPr>
        <w:t xml:space="preserve">Предложение за изменение на Регламент (ЕО) № 1257/96 на Съвета от 20 юни 1996 г. относно хуманитарната помощ. </w:t>
      </w:r>
    </w:p>
    <w:p>
      <w:pPr>
        <w:pStyle w:val="ManualHeading2"/>
        <w:rPr>
          <w:i/>
          <w:noProof/>
        </w:rPr>
      </w:pPr>
      <w:bookmarkStart w:id="20" w:name="_Toc41651879"/>
      <w:r>
        <w:t>1.2.</w:t>
      </w:r>
      <w:r>
        <w:tab/>
      </w:r>
      <w:r>
        <w:rPr>
          <w:noProof/>
        </w:rPr>
        <w:t>Съответни области на политиката (</w:t>
      </w:r>
      <w:r>
        <w:rPr>
          <w:i/>
          <w:noProof/>
        </w:rPr>
        <w:t>програмен клъстер</w:t>
      </w:r>
      <w:r>
        <w:rPr>
          <w:noProof/>
        </w:rPr>
        <w:t>)</w:t>
      </w:r>
      <w:bookmarkEnd w:id="19"/>
      <w:bookmarkEnd w:id="20"/>
    </w:p>
    <w:p>
      <w:pPr>
        <w:pStyle w:val="Text1"/>
        <w:pBdr>
          <w:top w:val="single" w:sz="4" w:space="1" w:color="auto"/>
          <w:left w:val="single" w:sz="4" w:space="4" w:color="auto"/>
          <w:bottom w:val="single" w:sz="4" w:space="1" w:color="auto"/>
          <w:right w:val="single" w:sz="4" w:space="4" w:color="auto"/>
        </w:pBdr>
        <w:rPr>
          <w:noProof/>
        </w:rPr>
      </w:pPr>
      <w:bookmarkStart w:id="21" w:name="_Toc514941974"/>
      <w:r>
        <w:rPr>
          <w:noProof/>
        </w:rPr>
        <w:t>15 Външна дейност</w:t>
      </w:r>
    </w:p>
    <w:p>
      <w:pPr>
        <w:pStyle w:val="ManualHeading2"/>
        <w:rPr>
          <w:bCs/>
          <w:noProof/>
          <w:szCs w:val="24"/>
        </w:rPr>
      </w:pPr>
      <w:bookmarkStart w:id="22" w:name="_Toc41651880"/>
      <w:r>
        <w:t>1.3.</w:t>
      </w:r>
      <w:r>
        <w:tab/>
      </w:r>
      <w:r>
        <w:rPr>
          <w:noProof/>
        </w:rPr>
        <w:t>Предложението/инициативата е във връзка с:</w:t>
      </w:r>
      <w:bookmarkEnd w:id="21"/>
      <w:bookmarkEnd w:id="22"/>
      <w:r>
        <w:rPr>
          <w:noProof/>
        </w:rPr>
        <w:t xml:space="preserve"> </w:t>
      </w:r>
    </w:p>
    <w:p>
      <w:pPr>
        <w:pStyle w:val="Text1"/>
        <w:rPr>
          <w:b/>
          <w:noProof/>
          <w:sz w:val="22"/>
        </w:rPr>
      </w:pPr>
      <w:r>
        <w:rPr>
          <w:noProof/>
          <w:sz w:val="22"/>
        </w:rPr>
        <w:sym w:font="Wingdings" w:char="F0A8"/>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5"/>
      </w:r>
      <w:r>
        <w:rPr>
          <w:noProof/>
          <w:sz w:val="22"/>
        </w:rPr>
        <w:t xml:space="preserve"> </w:t>
      </w:r>
    </w:p>
    <w:p>
      <w:pPr>
        <w:pStyle w:val="Text1"/>
        <w:rPr>
          <w:noProof/>
          <w:sz w:val="22"/>
        </w:rPr>
      </w:pPr>
      <w:r>
        <w:rPr>
          <w:noProof/>
          <w:sz w:val="22"/>
        </w:rPr>
        <w:t>X</w:t>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bookmarkStart w:id="23" w:name="_Toc514941975"/>
      <w:bookmarkStart w:id="24" w:name="_Toc41651881"/>
      <w:r>
        <w:t>1.4.</w:t>
      </w:r>
      <w:r>
        <w:tab/>
      </w:r>
      <w:r>
        <w:rPr>
          <w:noProof/>
        </w:rPr>
        <w:t>Мотиви за предложението/инициативата</w:t>
      </w:r>
      <w:bookmarkEnd w:id="23"/>
      <w:bookmarkEnd w:id="24"/>
      <w:r>
        <w:rPr>
          <w:noProof/>
        </w:rPr>
        <w:t xml:space="preserve"> </w:t>
      </w:r>
    </w:p>
    <w:p>
      <w:pPr>
        <w:pStyle w:val="ManualHeading3"/>
        <w:rPr>
          <w:noProof/>
        </w:rPr>
      </w:pPr>
      <w:bookmarkStart w:id="25" w:name="_Toc514941976"/>
      <w:bookmarkStart w:id="26" w:name="_Toc41651882"/>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25"/>
      <w:bookmarkEnd w:id="26"/>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Настоящото целево изменение на Регламента за хуманитарната помощ се предлага в контекста на преразгледаното предложение за МФР (2021-2027 г.), включващо Инструмента на Европейския съюз за възстановяване (ИЕСВ). Този нов инструмент ще предостави средства на хуманитарната помощ, заедно с други програми, за ограничен период от време над таваните за бюджетните кредити за поети задължения и бюджетните кредити за плащания по МФР като външни целеви приходи по смисъла на член 21 от Финансовия регламент. </w:t>
      </w:r>
    </w:p>
    <w:p>
      <w:pPr>
        <w:pStyle w:val="Text1"/>
        <w:pBdr>
          <w:top w:val="single" w:sz="4" w:space="1" w:color="auto"/>
          <w:left w:val="single" w:sz="4" w:space="4" w:color="auto"/>
          <w:bottom w:val="single" w:sz="4" w:space="1" w:color="auto"/>
          <w:right w:val="single" w:sz="4" w:space="4" w:color="auto"/>
        </w:pBdr>
        <w:rPr>
          <w:noProof/>
          <w:color w:val="0000FF"/>
        </w:rPr>
      </w:pPr>
      <w:r>
        <w:rPr>
          <w:noProof/>
        </w:rPr>
        <w:t>Осъществяването на съответни действия в рамките на хуманитарната помощ ще има за цел както оказването на подкрепа на трети държави за преодоляването на отрицателните последици от пандемията от COVID-19, така и насърчаването на устойчивост.</w:t>
      </w:r>
    </w:p>
    <w:p>
      <w:pPr>
        <w:pStyle w:val="ManualHeading3"/>
        <w:rPr>
          <w:noProof/>
        </w:rPr>
      </w:pPr>
      <w:bookmarkStart w:id="27" w:name="_Toc514941977"/>
      <w:bookmarkStart w:id="28" w:name="_Toc41651883"/>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Разпространението на заболяването от коронавирус („COVID-19“), което на 11 март 2020 г. беше обявено от Световната здравна организация за пандемия, постави под огромно напрежение третите държави, особено онези от тях, които преживяват конфликти или други видове кризи. Осен това, с цел да се ограничи разпространението на заболяването, третите държави приеха набор от безпрецедентни мерки. Тези мерки доведоха до значителни смущения в икономическите дейности, като поставиха допълнителни предизвикателства пред вече отслабените системи на някои от държавите. По-специално тези мерки прекъснаха веригите за доставки и производството и причиниха отсъствия от работното място. В по-общ план тези мерки вече доведоха или ще доведат до сериозно влошаване на финансовото положение на много предприятия в трети държави. </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Кризата бързо се разпространи на територията на Съюза и в трети държави. За 2020 г. се предвижда рязко свиване на растежа по целия свят, което може да продължи и през 2021 г. Това може да има особено тежки последици за трети държави и техните групи от уязвими лица (напр. бежанци), по-специално ако е налице съчетание с други предизвикателства, като например конфликти, природни бедствия или срив на здравните системи в трети държави.</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Тази извънредна ситуация изисква последователен и единен подход на равнището на Съюза, за да се предотврати по-нататъшното влошаване на състоянието на икономиката и да се насърчи балансираното възстановяване на икономическата дейност, като се осигури приемственост и се увеличат инвестициите за екологичния и цифровия преход. Освен това поради значителните усложнения, настъпили за трети държави и групи от уязвими лица, изправени пред други предизвикателства, например конфликти, бедност и природни бедствия, е необходимо да се създаде инструмент на ЕС за възстановяване с цел да се преодолеят последиците от пандемията на COVID-19 или да се посрещнат нуждите от незабавно финансиране, за да се избегне повторното ѝ възникване.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(5) В допълнение към подкрепата за икономиките както в рамките на ЕС, така и в трети държави, а също и за научните изследвания и иновациите, свързани със здравеопазването и климата, в рамките на Съюза, инструментът следва също така да засили подкрепата, която ЕС може да предостави в случаи на хуманитарни потребности.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(6) Цялостната хуманитарна ситуация, както и търговските и икономическите отношения със съседните и развиващите се страни са от голямо значение за икономиката на Съюза. По тази причина и в съответствие с глобалната роля и отговорност на Съюза, както и с неговите ценности, финансови ресурси от Инструмента на Европейския съюз за възстановяване следва също да се използват чрез ИСРМС за оказването на подкрепа на усилията на посочените държави за борба с въздействието на пандемията на COVID-19 и за възстановяване от нея. Те също следва да бъдат използвани посредством хуманитарната помощ за предоставянето на хуманитарна подкрепа на населението в нужда, включително така необходимата подкрепа за здравните услуги в трети държави. </w:t>
      </w:r>
    </w:p>
    <w:p>
      <w:pPr>
        <w:pStyle w:val="ManualHeading3"/>
        <w:rPr>
          <w:noProof/>
        </w:rPr>
      </w:pPr>
      <w:bookmarkStart w:id="29" w:name="_Toc514941978"/>
      <w:bookmarkStart w:id="30" w:name="_Toc41651884"/>
      <w:r>
        <w:t>1.4.3.</w:t>
      </w:r>
      <w:r>
        <w:tab/>
      </w:r>
      <w:r>
        <w:rPr>
          <w:noProof/>
        </w:rPr>
        <w:t>Изводи от подобен опит в миналото</w:t>
      </w:r>
      <w:bookmarkEnd w:id="29"/>
      <w:bookmarkEnd w:id="30"/>
    </w:p>
    <w:p>
      <w:pPr>
        <w:pStyle w:val="Text1"/>
        <w:pBdr>
          <w:top w:val="single" w:sz="4" w:space="1" w:color="auto"/>
          <w:left w:val="single" w:sz="4" w:space="4" w:color="auto"/>
          <w:bottom w:val="single" w:sz="4" w:space="1" w:color="auto"/>
          <w:right w:val="single" w:sz="4" w:space="4" w:color="auto"/>
        </w:pBdr>
        <w:rPr>
          <w:noProof/>
        </w:rPr>
      </w:pPr>
      <w:r>
        <w:rPr>
          <w:noProof/>
        </w:rPr>
        <w:t>Опитът от МФР 2014—2020 г. показва, че годишно заделените суми за хуманитарна помощ са били недостатъчни за обхващането на многобройните дълготрайни или нововъзникващи кризи по света. По тази причина трябваше да бъдат добавяни значителни средства чрез Резерва за спешна помощ и други източници. Настоящото предложение е в отговор на допълнителните непредвидени потребности, свързани с COVID-19, като увеличава наличието на допълнителни ресурси над сумите, предвидени в МФР 2021—2027 г.</w:t>
      </w:r>
    </w:p>
    <w:p>
      <w:pPr>
        <w:pStyle w:val="ManualHeading3"/>
        <w:rPr>
          <w:noProof/>
        </w:rPr>
      </w:pPr>
      <w:bookmarkStart w:id="31" w:name="_Toc514941979"/>
      <w:bookmarkStart w:id="32" w:name="_Toc41651885"/>
      <w:r>
        <w:t>1.4.4.</w:t>
      </w:r>
      <w:r>
        <w:tab/>
      </w:r>
      <w:r>
        <w:rPr>
          <w:noProof/>
        </w:rPr>
        <w:t>Съгласуваност и евентуална синергия с други актове</w:t>
      </w:r>
      <w:bookmarkEnd w:id="31"/>
      <w:bookmarkEnd w:id="32"/>
    </w:p>
    <w:p>
      <w:pPr>
        <w:pStyle w:val="Text1"/>
        <w:pBdr>
          <w:top w:val="single" w:sz="4" w:space="1" w:color="auto"/>
          <w:left w:val="single" w:sz="4" w:space="4" w:color="auto"/>
          <w:bottom w:val="single" w:sz="4" w:space="1" w:color="auto"/>
          <w:right w:val="single" w:sz="4" w:space="4" w:color="auto"/>
        </w:pBdr>
        <w:rPr>
          <w:noProof/>
        </w:rPr>
      </w:pPr>
      <w:r>
        <w:rPr>
          <w:noProof/>
        </w:rPr>
        <w:t>В допълнение към синергиите с ИСРМС настоящата инициатива в контекста на преразгледаното предложение за МФР установява силни полезни взаимодействия между хуманитарната помощ и новия Европейски инструмент за възстановяване, определен с предложения Регламент (ЕС) XXX/XX. Този инструмент ще даде възможност за предоставянето на средства на тези секторни програми за ограничен период от време над таваните на МФР в резултат на взаимното допълване на целите и функционирането на тези инструменти, както и с оглед на обосновката и добавената стойност, представени в раздел 1.4.2 по-горе.</w:t>
      </w:r>
    </w:p>
    <w:p>
      <w:pPr>
        <w:pStyle w:val="Text1"/>
        <w:rPr>
          <w:noProof/>
        </w:rPr>
      </w:pPr>
    </w:p>
    <w:p>
      <w:pPr>
        <w:pStyle w:val="ManualHeading2"/>
        <w:rPr>
          <w:bCs/>
          <w:noProof/>
          <w:szCs w:val="24"/>
        </w:rPr>
      </w:pPr>
      <w:r>
        <w:rPr>
          <w:noProof/>
        </w:rPr>
        <w:br w:type="page"/>
      </w:r>
      <w:bookmarkStart w:id="33" w:name="_Toc514941980"/>
      <w:bookmarkStart w:id="34" w:name="_Toc41651886"/>
      <w:r>
        <w:t>1.5.</w:t>
      </w:r>
      <w:r>
        <w:tab/>
      </w:r>
      <w:r>
        <w:rPr>
          <w:noProof/>
        </w:rPr>
        <w:t>Срок на действие и финансово отражение</w:t>
      </w:r>
      <w:bookmarkEnd w:id="33"/>
      <w:bookmarkEnd w:id="34"/>
      <w:r>
        <w:rPr>
          <w:noProof/>
        </w:rPr>
        <w:t xml:space="preserve"> </w:t>
      </w:r>
    </w:p>
    <w:p>
      <w:pPr>
        <w:pStyle w:val="Text1"/>
        <w:rPr>
          <w:noProof/>
        </w:rPr>
      </w:pPr>
      <w:r>
        <w:rPr>
          <w:noProof/>
        </w:rPr>
        <w:sym w:font="Wingdings" w:char="F0A8"/>
      </w:r>
      <w:r>
        <w:rPr>
          <w:b/>
          <w:i/>
          <w:noProof/>
        </w:rPr>
        <w:t xml:space="preserve"> </w:t>
      </w:r>
      <w:r>
        <w:rPr>
          <w:b/>
          <w:noProof/>
        </w:rPr>
        <w:t xml:space="preserve">ограничен срок на действие </w:t>
      </w:r>
    </w:p>
    <w:p>
      <w:pPr>
        <w:pStyle w:val="ListDash2"/>
        <w:rPr>
          <w:noProof/>
        </w:rPr>
      </w:pPr>
      <w:r>
        <w:rPr>
          <w:noProof/>
        </w:rPr>
        <w:sym w:font="Wingdings" w:char="F0A8"/>
      </w:r>
      <w:r>
        <w:rPr>
          <w:noProof/>
        </w:rPr>
        <w:tab/>
        <w:t xml:space="preserve">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pStyle w:val="Text1"/>
        <w:rPr>
          <w:noProof/>
        </w:rPr>
      </w:pPr>
      <w:r>
        <w:rPr>
          <w:noProof/>
        </w:rPr>
        <w:t>X</w:t>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от 2021 г. нататък,</w:t>
      </w:r>
    </w:p>
    <w:p>
      <w:pPr>
        <w:pStyle w:val="ListDash1"/>
        <w:rPr>
          <w:noProof/>
        </w:rPr>
      </w:pPr>
      <w:r>
        <w:rPr>
          <w:noProof/>
        </w:rPr>
        <w:t>последвано от функциониране с пълен капацитет.</w:t>
      </w:r>
    </w:p>
    <w:p>
      <w:pPr>
        <w:pStyle w:val="ManualHeading2"/>
        <w:rPr>
          <w:bCs/>
          <w:noProof/>
          <w:szCs w:val="24"/>
        </w:rPr>
      </w:pPr>
      <w:bookmarkStart w:id="35" w:name="_Toc41651887"/>
      <w:bookmarkStart w:id="36" w:name="_Toc514941981"/>
      <w:r>
        <w:t>1.6.</w:t>
      </w:r>
      <w:r>
        <w:tab/>
      </w:r>
      <w:r>
        <w:rPr>
          <w:noProof/>
        </w:rPr>
        <w:t>Планирани методи на управление</w:t>
      </w:r>
      <w:r>
        <w:rPr>
          <w:rStyle w:val="FootnoteReference"/>
          <w:noProof/>
        </w:rPr>
        <w:footnoteReference w:id="6"/>
      </w:r>
      <w:bookmarkEnd w:id="35"/>
      <w:r>
        <w:rPr>
          <w:rStyle w:val="FootnoteReference"/>
          <w:noProof/>
        </w:rPr>
        <w:t xml:space="preserve"> </w:t>
      </w:r>
      <w:bookmarkEnd w:id="36"/>
      <w:r>
        <w:rPr>
          <w:rStyle w:val="FootnoteReference"/>
          <w:noProof/>
        </w:rPr>
        <w:t xml:space="preserve"> </w:t>
      </w:r>
    </w:p>
    <w:p>
      <w:pPr>
        <w:pStyle w:val="Text1"/>
        <w:rPr>
          <w:noProof/>
        </w:rPr>
      </w:pPr>
      <w:r>
        <w:rPr>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X посредством нейните отдели,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t xml:space="preserve">X </w:t>
      </w:r>
      <w:r>
        <w:rPr>
          <w:b/>
          <w:noProof/>
        </w:rPr>
        <w:t>Непряко управление</w:t>
      </w:r>
      <w:r>
        <w:rPr>
          <w:noProof/>
        </w:rPr>
        <w:t xml:space="preserve"> чрез делегиране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t>X 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органите, посочени в членове 70 и 71 от Финансовия регламент;</w:t>
      </w:r>
    </w:p>
    <w:p>
      <w:pPr>
        <w:pStyle w:val="ListDash2"/>
        <w:rPr>
          <w:noProof/>
        </w:rPr>
      </w:pPr>
      <w:r>
        <w:rPr>
          <w:noProof/>
        </w:rPr>
        <w:sym w:font="Wingdings" w:char="F0A8"/>
      </w:r>
      <w:r>
        <w:rPr>
          <w:noProof/>
        </w:rPr>
        <w:t>публичноправни органи;</w:t>
      </w:r>
    </w:p>
    <w:p>
      <w:pPr>
        <w:pStyle w:val="ListDash2"/>
        <w:rPr>
          <w:noProof/>
        </w:rPr>
      </w:pPr>
      <w:r>
        <w:rPr>
          <w:noProof/>
        </w:rPr>
        <w:t>X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t>X частноправни органи в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7" w:name="_Toc514941982"/>
      <w:bookmarkStart w:id="38" w:name="_Toc39837055"/>
      <w:bookmarkStart w:id="39" w:name="_Toc39839402"/>
      <w:bookmarkStart w:id="40" w:name="_Toc41651888"/>
      <w:r>
        <w:t>2.</w:t>
      </w:r>
      <w:r>
        <w:tab/>
      </w:r>
      <w:r>
        <w:rPr>
          <w:noProof/>
        </w:rPr>
        <w:t>МЕРКИ ЗА УПРАВЛЕНИЕ</w:t>
      </w:r>
      <w:bookmarkEnd w:id="37"/>
      <w:bookmarkEnd w:id="38"/>
      <w:bookmarkEnd w:id="39"/>
      <w:bookmarkEnd w:id="40"/>
      <w:r>
        <w:rPr>
          <w:noProof/>
        </w:rPr>
        <w:t xml:space="preserve"> </w:t>
      </w:r>
    </w:p>
    <w:p>
      <w:pPr>
        <w:pStyle w:val="ManualHeading2"/>
        <w:rPr>
          <w:noProof/>
        </w:rPr>
      </w:pPr>
      <w:bookmarkStart w:id="41" w:name="_Toc514941983"/>
      <w:bookmarkStart w:id="42" w:name="_Toc39837056"/>
      <w:bookmarkStart w:id="43" w:name="_Toc39839403"/>
      <w:bookmarkStart w:id="44" w:name="_Toc41651889"/>
      <w:r>
        <w:t>2.1.</w:t>
      </w:r>
      <w:r>
        <w:tab/>
      </w:r>
      <w:r>
        <w:rPr>
          <w:noProof/>
        </w:rPr>
        <w:t>Правила за мониторинг и докладване</w:t>
      </w:r>
      <w:bookmarkEnd w:id="41"/>
      <w:bookmarkEnd w:id="42"/>
      <w:bookmarkEnd w:id="43"/>
      <w:bookmarkEnd w:id="44"/>
      <w:r>
        <w:rPr>
          <w:noProof/>
        </w:rPr>
        <w:t xml:space="preserve">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РЕГЛАМЕНТ (ЕО) № 1257/96 НА СЪВЕТА от 20 юни 1996 г. относно хуманитарната помощ Комисията контролира и прави оценка на операциите, свързани с хуманитарната помощ, в съответствие с действащите бюджетни и други процедури, и по-специално с процедурите, предвидени във Финансовия регламент, приложим спрямо общия бюджет на ЕС. Комисията прави редовна оценка на операции за хуманитарна помощ с цел да установи дали те са постигнали набелязаните цели и да разработи насоки за подобряване на ефективността на следващи операции Комисията докладва на Комитета, създаден в съответствие с член 17 от Регламента.</w:t>
      </w:r>
    </w:p>
    <w:p>
      <w:pPr>
        <w:pStyle w:val="ManualHeading2"/>
        <w:rPr>
          <w:bCs/>
          <w:noProof/>
          <w:szCs w:val="24"/>
        </w:rPr>
      </w:pPr>
      <w:bookmarkStart w:id="45" w:name="_Toc514941984"/>
      <w:bookmarkStart w:id="46" w:name="_Toc39837057"/>
      <w:bookmarkStart w:id="47" w:name="_Toc39839404"/>
      <w:bookmarkStart w:id="48" w:name="_Toc41651890"/>
      <w:r>
        <w:t>2.2.</w:t>
      </w:r>
      <w:r>
        <w:tab/>
      </w:r>
      <w:r>
        <w:rPr>
          <w:noProof/>
        </w:rPr>
        <w:t>Системи за управление и контрол</w:t>
      </w:r>
      <w:bookmarkEnd w:id="45"/>
      <w:bookmarkEnd w:id="46"/>
      <w:bookmarkEnd w:id="47"/>
      <w:bookmarkEnd w:id="48"/>
      <w:r>
        <w:rPr>
          <w:noProof/>
        </w:rPr>
        <w:t xml:space="preserve"> </w:t>
      </w:r>
    </w:p>
    <w:p>
      <w:pPr>
        <w:pStyle w:val="Text1"/>
        <w:pBdr>
          <w:top w:val="single" w:sz="4" w:space="1" w:color="auto"/>
          <w:left w:val="single" w:sz="4" w:space="4" w:color="auto"/>
          <w:bottom w:val="single" w:sz="4" w:space="1" w:color="auto"/>
          <w:right w:val="single" w:sz="4" w:space="4" w:color="auto"/>
        </w:pBdr>
        <w:rPr>
          <w:noProof/>
          <w:szCs w:val="24"/>
        </w:rPr>
      </w:pPr>
      <w:bookmarkStart w:id="49" w:name="_Toc514941985"/>
      <w:bookmarkStart w:id="50" w:name="_Toc39837058"/>
      <w:bookmarkStart w:id="51" w:name="_Toc39839405"/>
      <w:r>
        <w:rPr>
          <w:noProof/>
          <w:szCs w:val="24"/>
          <w:shd w:val="clear" w:color="auto" w:fill="FFFFFF"/>
        </w:rPr>
        <w:t xml:space="preserve">С цел да се гарантира прозрачност и отчетност на начина, по който се изразходват средствата на европейската помощ, в края на всяка година генерална дирекция „Европейска гражданска защита и европейски операции за хуманитарна помощ“ (ECHO) на Европейската комисия съставя годишен доклад. В доклада, който е на разположение на обществеността, се представят начинът на изразходване на бюджета, както и извършените дейности. ECHO подлежи редовно на годишен подробен преглед на процедурите и на валидиране на разходите на дирекцията. </w:t>
      </w:r>
      <w:hyperlink r:id="rId16" w:history="1">
        <w:r>
          <w:rPr>
            <w:rStyle w:val="Hyperlink"/>
            <w:noProof/>
          </w:rPr>
          <w:t>Одитите</w:t>
        </w:r>
      </w:hyperlink>
      <w:r>
        <w:rPr>
          <w:noProof/>
          <w:szCs w:val="24"/>
          <w:shd w:val="clear" w:color="auto" w:fill="FFFFFF"/>
        </w:rPr>
        <w:t xml:space="preserve"> се извършват от Европейската сметна палата, както и от Службата за вътрешен одит на Комисията. </w:t>
      </w:r>
      <w:r>
        <w:rPr>
          <w:noProof/>
        </w:rPr>
        <w:t xml:space="preserve">ECHO извършва също така одити на партньорите с цел оценяване на това, дали отпуснатите безвъзмездни средства са изразходвани съгласно установените правила, и предоставяне на препоръки за подобряване на финансовото управление на партньорите. </w:t>
      </w:r>
      <w:bookmarkEnd w:id="49"/>
      <w:bookmarkEnd w:id="50"/>
      <w:bookmarkEnd w:id="51"/>
    </w:p>
    <w:p>
      <w:pPr>
        <w:pStyle w:val="ManualHeading2"/>
        <w:rPr>
          <w:bCs/>
          <w:noProof/>
          <w:szCs w:val="24"/>
        </w:rPr>
      </w:pPr>
      <w:bookmarkStart w:id="52" w:name="_Toc514941988"/>
      <w:bookmarkStart w:id="53" w:name="_Toc39837061"/>
      <w:bookmarkStart w:id="54" w:name="_Toc39839408"/>
      <w:bookmarkStart w:id="55" w:name="_Toc41651891"/>
      <w:r>
        <w:t>2.3.</w:t>
      </w:r>
      <w:r>
        <w:tab/>
      </w:r>
      <w:r>
        <w:rPr>
          <w:noProof/>
        </w:rPr>
        <w:t>Мерки за предотвратяване на измами и нередности</w:t>
      </w:r>
      <w:bookmarkEnd w:id="52"/>
      <w:bookmarkEnd w:id="53"/>
      <w:bookmarkEnd w:id="54"/>
      <w:bookmarkEnd w:id="55"/>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ECHO разполага със стратегия против измамите. Стратегията обхваща всички ключови области, като например всички етапи на цикъла на борба с измамите (предотвратяване, разкриване, и корективни мерки); вътрешни и външни измами; всички дейности на генералната дирекция, по-специално действията в областта на хуманитарната помощ и гражданската защита; режими на пряко и непряко управление; и включване в законодателството на ефективни защити в срещу измамите.</w:t>
      </w:r>
    </w:p>
    <w:p>
      <w:pPr>
        <w:pStyle w:val="ManualHeading1"/>
        <w:rPr>
          <w:bCs/>
          <w:noProof/>
          <w:szCs w:val="24"/>
        </w:rPr>
      </w:pPr>
      <w:r>
        <w:t>3.</w:t>
      </w:r>
      <w:r>
        <w:tab/>
      </w:r>
      <w:r>
        <w:rPr>
          <w:noProof/>
        </w:rPr>
        <w:t xml:space="preserve"> </w:t>
      </w:r>
      <w:bookmarkStart w:id="56" w:name="_Toc514941989"/>
      <w:bookmarkStart w:id="57" w:name="_Toc41651892"/>
      <w:r>
        <w:rPr>
          <w:noProof/>
        </w:rPr>
        <w:t>ОЧАКВАНО ФИНАНСОВО ОТРАЖЕНИЕ НА ПРЕДЛОЖЕНИЕТО/ИНИЦИАТИВАТА</w:t>
      </w:r>
      <w:bookmarkEnd w:id="56"/>
      <w:bookmarkEnd w:id="57"/>
      <w:r>
        <w:rPr>
          <w:noProof/>
        </w:rPr>
        <w:t xml:space="preserve"> </w:t>
      </w:r>
    </w:p>
    <w:p>
      <w:pPr>
        <w:pStyle w:val="ManualHeading2"/>
        <w:rPr>
          <w:noProof/>
        </w:rPr>
      </w:pPr>
      <w:bookmarkStart w:id="58" w:name="_Toc514941990"/>
      <w:bookmarkStart w:id="59" w:name="_Toc41651893"/>
      <w:r>
        <w:t>3.1.</w:t>
      </w:r>
      <w:r>
        <w:tab/>
      </w:r>
      <w:r>
        <w:rPr>
          <w:noProof/>
        </w:rPr>
        <w:t>Функции от многогодишната финансова рамка и предложени нови разходни бюджетни редове</w:t>
      </w:r>
      <w:bookmarkEnd w:id="58"/>
      <w:bookmarkEnd w:id="59"/>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Align w:val="center"/>
          </w:tcPr>
          <w:p>
            <w:pPr>
              <w:spacing w:before="60" w:after="60"/>
              <w:jc w:val="center"/>
              <w:rPr>
                <w:noProof/>
                <w:sz w:val="18"/>
              </w:rPr>
            </w:pPr>
          </w:p>
        </w:tc>
        <w:tc>
          <w:tcPr>
            <w:tcW w:w="3960" w:type="dxa"/>
            <w:vAlign w:val="center"/>
          </w:tcPr>
          <w:p>
            <w:pPr>
              <w:spacing w:before="60" w:after="60"/>
              <w:jc w:val="center"/>
              <w:rPr>
                <w:noProof/>
                <w:sz w:val="20"/>
              </w:rPr>
            </w:pPr>
          </w:p>
        </w:tc>
        <w:tc>
          <w:tcPr>
            <w:tcW w:w="1080" w:type="dxa"/>
            <w:vAlign w:val="center"/>
          </w:tcPr>
          <w:p>
            <w:pPr>
              <w:spacing w:before="60" w:after="60"/>
              <w:jc w:val="center"/>
              <w:rPr>
                <w:noProof/>
                <w:sz w:val="18"/>
              </w:rPr>
            </w:pPr>
          </w:p>
        </w:tc>
        <w:tc>
          <w:tcPr>
            <w:tcW w:w="4440" w:type="dxa"/>
            <w:gridSpan w:val="4"/>
            <w:vAlign w:val="center"/>
          </w:tcPr>
          <w:p>
            <w:pPr>
              <w:spacing w:before="60" w:after="60"/>
              <w:jc w:val="center"/>
              <w:rPr>
                <w:noProof/>
                <w:sz w:val="20"/>
              </w:rPr>
            </w:pPr>
          </w:p>
        </w:tc>
      </w:tr>
      <w:tr>
        <w:tc>
          <w:tcPr>
            <w:tcW w:w="1080" w:type="dxa"/>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sz w:val="18"/>
                <w:szCs w:val="18"/>
              </w:rPr>
            </w:pPr>
            <w:r>
              <w:rPr>
                <w:noProof/>
                <w:sz w:val="18"/>
                <w:szCs w:val="18"/>
              </w:rPr>
              <w:t>Вид на 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Align w:val="center"/>
          </w:tcPr>
          <w:p>
            <w:pPr>
              <w:jc w:val="center"/>
              <w:rPr>
                <w:noProof/>
              </w:rPr>
            </w:pPr>
          </w:p>
        </w:tc>
        <w:tc>
          <w:tcPr>
            <w:tcW w:w="3960" w:type="dxa"/>
            <w:vAlign w:val="center"/>
          </w:tcPr>
          <w:p>
            <w:pPr>
              <w:rPr>
                <w:b/>
                <w:noProof/>
              </w:rPr>
            </w:pPr>
            <w:r>
              <w:rPr>
                <w:b/>
                <w:noProof/>
                <w:sz w:val="20"/>
              </w:rPr>
              <w:t>Функция 6 Съседните региони и светът</w:t>
            </w:r>
          </w:p>
        </w:tc>
        <w:tc>
          <w:tcPr>
            <w:tcW w:w="1080" w:type="dxa"/>
            <w:vAlign w:val="center"/>
          </w:tcPr>
          <w:p>
            <w:pPr>
              <w:jc w:val="center"/>
              <w:rPr>
                <w:noProof/>
              </w:rPr>
            </w:pPr>
            <w:r>
              <w:rPr>
                <w:noProof/>
                <w:sz w:val="18"/>
              </w:rPr>
              <w:t>Многогод./едногод</w:t>
            </w:r>
            <w:r>
              <w:rPr>
                <w:rStyle w:val="FootnoteReference"/>
                <w:noProof/>
                <w:sz w:val="18"/>
              </w:rPr>
              <w:footnoteReference w:id="7"/>
            </w:r>
            <w:r>
              <w:rPr>
                <w:noProof/>
              </w:rPr>
              <w:t>.</w:t>
            </w:r>
          </w:p>
        </w:tc>
        <w:tc>
          <w:tcPr>
            <w:tcW w:w="1044" w:type="dxa"/>
            <w:vAlign w:val="center"/>
          </w:tcPr>
          <w:p>
            <w:pPr>
              <w:jc w:val="center"/>
              <w:rPr>
                <w:noProof/>
              </w:rPr>
            </w:pPr>
            <w:r>
              <w:rPr>
                <w:noProof/>
                <w:sz w:val="18"/>
              </w:rPr>
              <w:t>от държави от ЕАСТ</w:t>
            </w:r>
            <w:r>
              <w:rPr>
                <w:rStyle w:val="FootnoteReference"/>
                <w:noProof/>
                <w:sz w:val="18"/>
              </w:rPr>
              <w:footnoteReference w:id="8"/>
            </w:r>
          </w:p>
          <w:p>
            <w:pPr>
              <w:spacing w:before="0" w:after="0"/>
              <w:jc w:val="center"/>
              <w:rPr>
                <w:b/>
                <w:noProof/>
                <w:sz w:val="18"/>
              </w:rPr>
            </w:pPr>
          </w:p>
        </w:tc>
        <w:tc>
          <w:tcPr>
            <w:tcW w:w="1134" w:type="dxa"/>
            <w:vAlign w:val="center"/>
          </w:tcPr>
          <w:p>
            <w:pPr>
              <w:jc w:val="center"/>
              <w:rPr>
                <w:noProof/>
              </w:rPr>
            </w:pPr>
            <w:r>
              <w:rPr>
                <w:noProof/>
                <w:sz w:val="18"/>
              </w:rPr>
              <w:t>от държави кандидатки</w:t>
            </w:r>
            <w:r>
              <w:rPr>
                <w:rStyle w:val="FootnoteReference"/>
                <w:noProof/>
                <w:sz w:val="18"/>
              </w:rPr>
              <w:footnoteReference w:id="9"/>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6.</w:t>
            </w:r>
          </w:p>
        </w:tc>
        <w:tc>
          <w:tcPr>
            <w:tcW w:w="3960" w:type="dxa"/>
            <w:vAlign w:val="center"/>
          </w:tcPr>
          <w:p>
            <w:pPr>
              <w:spacing w:after="60"/>
              <w:rPr>
                <w:noProof/>
              </w:rPr>
            </w:pPr>
            <w:r>
              <w:rPr>
                <w:noProof/>
              </w:rPr>
              <w:t>15 01 02 Разходи за подкрепа на „Хуманитарна помощ“</w:t>
            </w:r>
          </w:p>
        </w:tc>
        <w:tc>
          <w:tcPr>
            <w:tcW w:w="1080" w:type="dxa"/>
            <w:vAlign w:val="center"/>
          </w:tcPr>
          <w:p>
            <w:pPr>
              <w:jc w:val="center"/>
              <w:rPr>
                <w:noProof/>
                <w:color w:val="0000FF"/>
              </w:rPr>
            </w:pPr>
            <w:r>
              <w:rPr>
                <w:noProof/>
                <w:sz w:val="22"/>
              </w:rPr>
              <w:t>Едногод.</w:t>
            </w:r>
          </w:p>
        </w:tc>
        <w:tc>
          <w:tcPr>
            <w:tcW w:w="1044" w:type="dxa"/>
            <w:vAlign w:val="center"/>
          </w:tcPr>
          <w:p>
            <w:pPr>
              <w:jc w:val="center"/>
              <w:rPr>
                <w:noProof/>
              </w:rPr>
            </w:pPr>
            <w:r>
              <w:rPr>
                <w:noProof/>
                <w:sz w:val="22"/>
              </w:rPr>
              <w:t>ДА</w:t>
            </w:r>
          </w:p>
        </w:tc>
        <w:tc>
          <w:tcPr>
            <w:tcW w:w="1134" w:type="dxa"/>
            <w:vAlign w:val="center"/>
          </w:tcPr>
          <w:p>
            <w:pPr>
              <w:jc w:val="center"/>
              <w:rPr>
                <w:noProof/>
              </w:rPr>
            </w:pPr>
            <w:r>
              <w:rPr>
                <w:noProof/>
                <w:sz w:val="22"/>
              </w:rPr>
              <w:t>ДА</w:t>
            </w:r>
          </w:p>
        </w:tc>
        <w:tc>
          <w:tcPr>
            <w:tcW w:w="814" w:type="dxa"/>
            <w:vAlign w:val="center"/>
          </w:tcPr>
          <w:p>
            <w:pPr>
              <w:jc w:val="center"/>
              <w:rPr>
                <w:noProof/>
              </w:rPr>
            </w:pPr>
            <w:r>
              <w:rPr>
                <w:noProof/>
                <w:sz w:val="22"/>
              </w:rPr>
              <w:t>ДА</w:t>
            </w:r>
          </w:p>
        </w:tc>
        <w:tc>
          <w:tcPr>
            <w:tcW w:w="1448" w:type="dxa"/>
            <w:vAlign w:val="center"/>
          </w:tcPr>
          <w:p>
            <w:pPr>
              <w:jc w:val="center"/>
              <w:rPr>
                <w:noProof/>
              </w:rPr>
            </w:pPr>
            <w:r>
              <w:rPr>
                <w:noProof/>
                <w:sz w:val="22"/>
              </w:rPr>
              <w:t>НЕ</w:t>
            </w:r>
          </w:p>
        </w:tc>
      </w:tr>
      <w:tr>
        <w:tc>
          <w:tcPr>
            <w:tcW w:w="1080" w:type="dxa"/>
            <w:vAlign w:val="center"/>
          </w:tcPr>
          <w:p>
            <w:pPr>
              <w:jc w:val="center"/>
              <w:rPr>
                <w:noProof/>
                <w:color w:val="0000FF"/>
              </w:rPr>
            </w:pPr>
            <w:r>
              <w:rPr>
                <w:noProof/>
                <w:color w:val="0000FF"/>
              </w:rPr>
              <w:t>6.</w:t>
            </w:r>
          </w:p>
        </w:tc>
        <w:tc>
          <w:tcPr>
            <w:tcW w:w="3960" w:type="dxa"/>
            <w:vAlign w:val="center"/>
          </w:tcPr>
          <w:p>
            <w:pPr>
              <w:spacing w:before="60"/>
              <w:rPr>
                <w:noProof/>
              </w:rPr>
            </w:pPr>
            <w:r>
              <w:rPr>
                <w:noProof/>
              </w:rPr>
              <w:t>15 03 01 Хуманитарна помощ</w:t>
            </w:r>
          </w:p>
        </w:tc>
        <w:tc>
          <w:tcPr>
            <w:tcW w:w="1080" w:type="dxa"/>
            <w:vAlign w:val="center"/>
          </w:tcPr>
          <w:p>
            <w:pPr>
              <w:jc w:val="center"/>
              <w:rPr>
                <w:noProof/>
                <w:sz w:val="22"/>
              </w:rPr>
            </w:pPr>
            <w:r>
              <w:rPr>
                <w:noProof/>
                <w:sz w:val="22"/>
              </w:rPr>
              <w:t>Многогод.</w:t>
            </w:r>
          </w:p>
        </w:tc>
        <w:tc>
          <w:tcPr>
            <w:tcW w:w="1044" w:type="dxa"/>
            <w:vAlign w:val="center"/>
          </w:tcPr>
          <w:p>
            <w:pPr>
              <w:jc w:val="center"/>
              <w:rPr>
                <w:noProof/>
                <w:sz w:val="22"/>
              </w:rPr>
            </w:pPr>
            <w:r>
              <w:rPr>
                <w:noProof/>
                <w:sz w:val="22"/>
              </w:rPr>
              <w:t>ДА</w:t>
            </w:r>
          </w:p>
        </w:tc>
        <w:tc>
          <w:tcPr>
            <w:tcW w:w="1134" w:type="dxa"/>
            <w:vAlign w:val="center"/>
          </w:tcPr>
          <w:p>
            <w:pPr>
              <w:jc w:val="center"/>
              <w:rPr>
                <w:noProof/>
                <w:sz w:val="22"/>
              </w:rPr>
            </w:pPr>
            <w:r>
              <w:rPr>
                <w:noProof/>
                <w:sz w:val="22"/>
              </w:rPr>
              <w:t>ДА</w:t>
            </w:r>
          </w:p>
        </w:tc>
        <w:tc>
          <w:tcPr>
            <w:tcW w:w="814"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60" w:name="_Toc514941991"/>
      <w:bookmarkStart w:id="61" w:name="_Toc41651894"/>
      <w:r>
        <w:t>3.2.</w:t>
      </w:r>
      <w:r>
        <w:tab/>
      </w:r>
      <w:r>
        <w:rPr>
          <w:noProof/>
        </w:rPr>
        <w:t>Очаквано отражение върху разходите</w:t>
      </w:r>
      <w:bookmarkEnd w:id="60"/>
      <w:bookmarkEnd w:id="61"/>
      <w:r>
        <w:rPr>
          <w:noProof/>
        </w:rPr>
        <w:t xml:space="preserve"> </w:t>
      </w:r>
    </w:p>
    <w:p>
      <w:pPr>
        <w:pStyle w:val="ManualHeading3"/>
        <w:rPr>
          <w:noProof/>
          <w:u w:val="single"/>
        </w:rPr>
      </w:pPr>
      <w:bookmarkStart w:id="62" w:name="_Toc514941992"/>
      <w:bookmarkStart w:id="63" w:name="_Toc41651895"/>
      <w:r>
        <w:t>3.2.1.</w:t>
      </w:r>
      <w:r>
        <w:tab/>
      </w:r>
      <w:r>
        <w:rPr>
          <w:noProof/>
        </w:rPr>
        <w:t>Обобщение на очакваното отражение върху разходите</w:t>
      </w:r>
      <w:bookmarkEnd w:id="62"/>
      <w:bookmarkEnd w:id="63"/>
      <w:r>
        <w:rPr>
          <w:noProof/>
        </w:rPr>
        <w:t xml:space="preserve"> </w:t>
      </w:r>
    </w:p>
    <w:p>
      <w:pPr>
        <w:rPr>
          <w:i/>
          <w:noProof/>
        </w:rPr>
      </w:pPr>
      <w:r>
        <w:rPr>
          <w:noProof/>
          <w:sz w:val="20"/>
        </w:rPr>
        <w:t>млн. EUR (до 3-тия знак след десетичната запетая)</w:t>
      </w:r>
    </w:p>
    <w:p>
      <w:pPr>
        <w:rPr>
          <w:i/>
          <w:noProof/>
        </w:rPr>
      </w:pPr>
    </w:p>
    <w:p>
      <w:pPr>
        <w:rPr>
          <w:i/>
          <w:iCs/>
          <w:noProof/>
        </w:rPr>
      </w:pPr>
      <w:r>
        <w:rPr>
          <w:i/>
          <w:iCs/>
          <w:noProof/>
        </w:rPr>
        <w:t xml:space="preserve">В допълнение към ресурсите, предоставени съгласно тавана на </w:t>
      </w:r>
      <w:r>
        <w:rPr>
          <w:i/>
          <w:noProof/>
          <w:highlight w:val="yellow"/>
        </w:rPr>
        <w:t xml:space="preserve">МФР </w:t>
      </w:r>
      <w:r>
        <w:rPr>
          <w:i/>
          <w:iCs/>
          <w:noProof/>
        </w:rPr>
        <w:t>за функция, [5 468 000 000 EUR ] (по текущи цени) ще бъдат на разположение като външни целеви приходи по смисъла на член 21, параграф 5 от Финансовия регламент като финансиране от Инструмента на Европейския съюз за възстановяване. От тях до 42 000 000 EUR могат да бъдат предназначени за административни разходи, включително разходи за външен персонал.</w:t>
      </w:r>
    </w:p>
    <w:p>
      <w:pPr>
        <w:rPr>
          <w:i/>
          <w:noProof/>
        </w:rPr>
      </w:pPr>
      <w:r>
        <w:rPr>
          <w:i/>
          <w:noProof/>
        </w:rPr>
        <w:t>Индикативната разбивка на разходите от външни целеви приходи е както следва:</w:t>
      </w:r>
    </w:p>
    <w:p>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709"/>
        <w:gridCol w:w="1134"/>
        <w:gridCol w:w="1134"/>
        <w:gridCol w:w="1134"/>
        <w:gridCol w:w="1134"/>
        <w:gridCol w:w="992"/>
        <w:gridCol w:w="992"/>
        <w:gridCol w:w="851"/>
        <w:gridCol w:w="1196"/>
      </w:tblGrid>
      <w:tr>
        <w:tc>
          <w:tcPr>
            <w:tcW w:w="2943" w:type="dxa"/>
            <w:vAlign w:val="center"/>
          </w:tcPr>
          <w:p>
            <w:pPr>
              <w:jc w:val="center"/>
              <w:rPr>
                <w:noProof/>
                <w:sz w:val="20"/>
                <w:szCs w:val="20"/>
              </w:rPr>
            </w:pPr>
            <w:r>
              <w:rPr>
                <w:noProof/>
                <w:sz w:val="20"/>
                <w:szCs w:val="20"/>
              </w:rPr>
              <w:t>[–Хуманитарна помощ]</w:t>
            </w:r>
          </w:p>
        </w:tc>
        <w:tc>
          <w:tcPr>
            <w:tcW w:w="1418" w:type="dxa"/>
            <w:vAlign w:val="center"/>
          </w:tcPr>
          <w:p>
            <w:pPr>
              <w:jc w:val="center"/>
              <w:rPr>
                <w:noProof/>
                <w:sz w:val="20"/>
                <w:szCs w:val="20"/>
              </w:rPr>
            </w:pPr>
          </w:p>
        </w:tc>
        <w:tc>
          <w:tcPr>
            <w:tcW w:w="709" w:type="dxa"/>
            <w:vAlign w:val="center"/>
          </w:tcPr>
          <w:p>
            <w:pPr>
              <w:jc w:val="center"/>
              <w:rPr>
                <w:noProof/>
                <w:sz w:val="20"/>
                <w:szCs w:val="20"/>
              </w:rPr>
            </w:pPr>
          </w:p>
        </w:tc>
        <w:tc>
          <w:tcPr>
            <w:tcW w:w="1134" w:type="dxa"/>
            <w:vAlign w:val="center"/>
          </w:tcPr>
          <w:p>
            <w:pPr>
              <w:jc w:val="center"/>
              <w:rPr>
                <w:noProof/>
                <w:sz w:val="20"/>
                <w:szCs w:val="20"/>
              </w:rPr>
            </w:pPr>
            <w:r>
              <w:rPr>
                <w:b/>
                <w:noProof/>
                <w:sz w:val="20"/>
                <w:szCs w:val="20"/>
              </w:rPr>
              <w:t>2021 г.</w:t>
            </w:r>
          </w:p>
        </w:tc>
        <w:tc>
          <w:tcPr>
            <w:tcW w:w="1134" w:type="dxa"/>
            <w:vAlign w:val="center"/>
          </w:tcPr>
          <w:p>
            <w:pPr>
              <w:jc w:val="center"/>
              <w:rPr>
                <w:noProof/>
                <w:sz w:val="20"/>
                <w:szCs w:val="20"/>
              </w:rPr>
            </w:pPr>
            <w:r>
              <w:rPr>
                <w:b/>
                <w:noProof/>
                <w:sz w:val="20"/>
                <w:szCs w:val="20"/>
              </w:rPr>
              <w:t>2022 г.</w:t>
            </w:r>
          </w:p>
        </w:tc>
        <w:tc>
          <w:tcPr>
            <w:tcW w:w="1134" w:type="dxa"/>
            <w:vAlign w:val="center"/>
          </w:tcPr>
          <w:p>
            <w:pPr>
              <w:jc w:val="center"/>
              <w:rPr>
                <w:noProof/>
                <w:sz w:val="20"/>
                <w:szCs w:val="20"/>
              </w:rPr>
            </w:pPr>
            <w:r>
              <w:rPr>
                <w:b/>
                <w:noProof/>
                <w:sz w:val="20"/>
                <w:szCs w:val="20"/>
              </w:rPr>
              <w:t>2023 г.</w:t>
            </w:r>
          </w:p>
        </w:tc>
        <w:tc>
          <w:tcPr>
            <w:tcW w:w="1134" w:type="dxa"/>
            <w:vAlign w:val="center"/>
          </w:tcPr>
          <w:p>
            <w:pPr>
              <w:jc w:val="center"/>
              <w:rPr>
                <w:noProof/>
                <w:sz w:val="20"/>
                <w:szCs w:val="20"/>
              </w:rPr>
            </w:pPr>
            <w:r>
              <w:rPr>
                <w:b/>
                <w:noProof/>
                <w:sz w:val="20"/>
                <w:szCs w:val="20"/>
              </w:rPr>
              <w:t>2024 г.</w:t>
            </w:r>
          </w:p>
        </w:tc>
        <w:tc>
          <w:tcPr>
            <w:tcW w:w="992" w:type="dxa"/>
            <w:vAlign w:val="center"/>
          </w:tcPr>
          <w:p>
            <w:pPr>
              <w:jc w:val="center"/>
              <w:rPr>
                <w:b/>
                <w:noProof/>
                <w:sz w:val="20"/>
                <w:szCs w:val="20"/>
              </w:rPr>
            </w:pPr>
            <w:r>
              <w:rPr>
                <w:b/>
                <w:noProof/>
                <w:sz w:val="20"/>
                <w:szCs w:val="20"/>
              </w:rPr>
              <w:t>2025 г.</w:t>
            </w:r>
          </w:p>
        </w:tc>
        <w:tc>
          <w:tcPr>
            <w:tcW w:w="992" w:type="dxa"/>
            <w:vAlign w:val="center"/>
          </w:tcPr>
          <w:p>
            <w:pPr>
              <w:jc w:val="center"/>
              <w:rPr>
                <w:b/>
                <w:noProof/>
                <w:sz w:val="20"/>
                <w:szCs w:val="20"/>
              </w:rPr>
            </w:pPr>
            <w:r>
              <w:rPr>
                <w:b/>
                <w:noProof/>
                <w:sz w:val="20"/>
                <w:szCs w:val="20"/>
              </w:rPr>
              <w:t>2026 г.</w:t>
            </w:r>
          </w:p>
        </w:tc>
        <w:tc>
          <w:tcPr>
            <w:tcW w:w="851" w:type="dxa"/>
            <w:vAlign w:val="center"/>
          </w:tcPr>
          <w:p>
            <w:pPr>
              <w:jc w:val="center"/>
              <w:rPr>
                <w:b/>
                <w:noProof/>
                <w:sz w:val="20"/>
                <w:szCs w:val="20"/>
              </w:rPr>
            </w:pPr>
            <w:r>
              <w:rPr>
                <w:b/>
                <w:noProof/>
                <w:sz w:val="20"/>
                <w:szCs w:val="20"/>
              </w:rPr>
              <w:t>2027 г.</w:t>
            </w:r>
          </w:p>
        </w:tc>
        <w:tc>
          <w:tcPr>
            <w:tcW w:w="1196" w:type="dxa"/>
            <w:vAlign w:val="center"/>
          </w:tcPr>
          <w:p>
            <w:pPr>
              <w:jc w:val="center"/>
              <w:rPr>
                <w:b/>
                <w:noProof/>
                <w:sz w:val="20"/>
                <w:szCs w:val="20"/>
              </w:rPr>
            </w:pPr>
            <w:r>
              <w:rPr>
                <w:b/>
                <w:noProof/>
                <w:sz w:val="20"/>
                <w:szCs w:val="20"/>
              </w:rPr>
              <w:t>ОБЩО</w:t>
            </w:r>
          </w:p>
        </w:tc>
      </w:tr>
      <w:tr>
        <w:tc>
          <w:tcPr>
            <w:tcW w:w="2943"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Оперативни разходи от външните целеви приходи от ИЕСВ</w:t>
            </w:r>
          </w:p>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Поети задължения</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1316,170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1341,170 </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1368,170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1400,490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color w:val="000000"/>
                <w:sz w:val="20"/>
                <w:szCs w:val="20"/>
              </w:rPr>
              <w:t xml:space="preserve">5426,000   </w:t>
            </w:r>
          </w:p>
        </w:tc>
      </w:tr>
      <w:tr>
        <w:tc>
          <w:tcPr>
            <w:tcW w:w="2943"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Плащания</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864,621</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1214,845</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noProof/>
                <w:color w:val="000000"/>
                <w:sz w:val="20"/>
                <w:szCs w:val="20"/>
              </w:rPr>
              <w:t>1356,504</w:t>
            </w:r>
          </w:p>
          <w:p>
            <w:pPr>
              <w:jc w:val="center"/>
              <w:rPr>
                <w:rFonts w:asciiTheme="minorHAnsi" w:hAnsiTheme="minorHAnsi" w:cstheme="minorHAnsi"/>
                <w:b/>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noProof/>
                <w:color w:val="000000"/>
                <w:sz w:val="20"/>
                <w:szCs w:val="20"/>
              </w:rPr>
              <w:t>1383,504</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477,110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129,416</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      </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color w:val="000000"/>
                <w:sz w:val="20"/>
                <w:szCs w:val="20"/>
              </w:rPr>
              <w:t xml:space="preserve">5426,000   </w:t>
            </w:r>
          </w:p>
        </w:tc>
      </w:tr>
      <w:tr>
        <w:tc>
          <w:tcPr>
            <w:tcW w:w="2943"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Административни разходи от външните целеви приходи от ИЕСВ</w:t>
            </w:r>
          </w:p>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Поети задължения = Плащания</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noProof/>
                <w:sz w:val="20"/>
                <w:szCs w:val="20"/>
              </w:rPr>
              <w:t>5,830</w:t>
            </w:r>
          </w:p>
          <w:p>
            <w:pPr>
              <w:jc w:val="center"/>
              <w:rPr>
                <w:rFonts w:asciiTheme="minorHAnsi" w:hAnsiTheme="minorHAnsi" w:cstheme="minorHAnsi"/>
                <w:b/>
                <w:noProo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sz w:val="20"/>
                <w:szCs w:val="20"/>
              </w:rPr>
              <w:t>7,830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sz w:val="20"/>
                <w:szCs w:val="20"/>
              </w:rPr>
              <w:t>7,830</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sz w:val="20"/>
                <w:szCs w:val="20"/>
              </w:rPr>
              <w:t>7,830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noProof/>
                <w:sz w:val="20"/>
                <w:szCs w:val="20"/>
              </w:rPr>
              <w:t>5,830</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sz w:val="20"/>
                <w:szCs w:val="20"/>
              </w:rPr>
              <w:t>4,230</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sz w:val="20"/>
                <w:szCs w:val="20"/>
              </w:rPr>
            </w:pPr>
            <w:r>
              <w:rPr>
                <w:rFonts w:ascii="Calibri" w:hAnsi="Calibri"/>
                <w:noProof/>
                <w:sz w:val="20"/>
                <w:szCs w:val="20"/>
              </w:rPr>
              <w:t>2,620</w:t>
            </w:r>
          </w:p>
          <w:p>
            <w:pPr>
              <w:jc w:val="center"/>
              <w:rPr>
                <w:rFonts w:asciiTheme="minorHAnsi" w:hAnsiTheme="minorHAnsi" w:cstheme="minorHAnsi"/>
                <w:b/>
                <w:noProof/>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42,000 </w:t>
            </w:r>
          </w:p>
        </w:tc>
      </w:tr>
      <w:tr>
        <w:tc>
          <w:tcPr>
            <w:tcW w:w="2943"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noProof/>
                <w:sz w:val="20"/>
                <w:szCs w:val="20"/>
              </w:rPr>
              <w:t>Общо външни целеви приходи</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Поети задължения</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1322,000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1349,000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1376,000   </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1408,320</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noProof/>
                <w:sz w:val="20"/>
                <w:szCs w:val="20"/>
              </w:rPr>
            </w:pPr>
          </w:p>
          <w:p>
            <w:pPr>
              <w:spacing w:before="0" w:after="0"/>
              <w:jc w:val="center"/>
              <w:rPr>
                <w:rFonts w:ascii="Calibri" w:hAnsi="Calibri" w:cs="Calibri"/>
                <w:noProof/>
                <w:color w:val="000000"/>
                <w:sz w:val="20"/>
                <w:szCs w:val="20"/>
              </w:rPr>
            </w:pPr>
            <w:r>
              <w:rPr>
                <w:rFonts w:ascii="Calibri" w:hAnsi="Calibri"/>
                <w:noProof/>
                <w:color w:val="000000"/>
                <w:sz w:val="20"/>
                <w:szCs w:val="20"/>
              </w:rPr>
              <w:t>5,830</w:t>
            </w:r>
          </w:p>
          <w:p>
            <w:pPr>
              <w:jc w:val="center"/>
              <w:rPr>
                <w:rFonts w:asciiTheme="minorHAnsi" w:hAnsiTheme="minorHAnsi" w:cstheme="minorHAnsi"/>
                <w:b/>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4,230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2,620</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color w:val="000000"/>
                <w:sz w:val="20"/>
                <w:szCs w:val="20"/>
              </w:rPr>
              <w:t xml:space="preserve">5468,000   </w:t>
            </w:r>
          </w:p>
        </w:tc>
      </w:tr>
      <w:tr>
        <w:tc>
          <w:tcPr>
            <w:tcW w:w="2943"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Плащания</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noProof/>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870,451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1222,675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1364,334   </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1391,334   </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sz w:val="20"/>
                <w:szCs w:val="20"/>
              </w:rPr>
              <w:t xml:space="preserve">482,940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133,646</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0" w:after="0"/>
              <w:jc w:val="center"/>
              <w:rPr>
                <w:rFonts w:asciiTheme="minorHAnsi" w:hAnsiTheme="minorHAnsi" w:cstheme="minorHAnsi"/>
                <w:b/>
                <w:noProof/>
                <w:sz w:val="20"/>
                <w:szCs w:val="20"/>
              </w:rPr>
            </w:pPr>
            <w:r>
              <w:rPr>
                <w:rFonts w:ascii="Calibri" w:hAnsi="Calibri"/>
                <w:noProof/>
                <w:color w:val="000000"/>
                <w:sz w:val="20"/>
                <w:szCs w:val="20"/>
              </w:rPr>
              <w:t>2,620</w:t>
            </w:r>
          </w:p>
        </w:tc>
        <w:tc>
          <w:tcPr>
            <w:tcW w:w="1196" w:type="dxa"/>
            <w:tcBorders>
              <w:top w:val="single" w:sz="4" w:space="0" w:color="auto"/>
              <w:left w:val="single" w:sz="4" w:space="0" w:color="auto"/>
              <w:bottom w:val="single" w:sz="4" w:space="0" w:color="auto"/>
              <w:right w:val="single" w:sz="4" w:space="0" w:color="auto"/>
            </w:tcBorders>
            <w:vAlign w:val="center"/>
          </w:tcPr>
          <w:p>
            <w:pPr>
              <w:jc w:val="center"/>
              <w:rPr>
                <w:rFonts w:asciiTheme="minorHAnsi" w:hAnsiTheme="minorHAnsi" w:cstheme="minorHAnsi"/>
                <w:b/>
                <w:noProof/>
                <w:sz w:val="20"/>
                <w:szCs w:val="20"/>
              </w:rPr>
            </w:pPr>
            <w:r>
              <w:rPr>
                <w:rFonts w:asciiTheme="minorHAnsi" w:hAnsiTheme="minorHAnsi"/>
                <w:noProof/>
                <w:color w:val="000000"/>
                <w:sz w:val="20"/>
                <w:szCs w:val="20"/>
              </w:rPr>
              <w:t xml:space="preserve">5468,000   </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color w:val="0000FF"/>
        </w:rPr>
      </w:pPr>
    </w:p>
    <w:p>
      <w:pPr>
        <w:jc w:val="left"/>
        <w:rPr>
          <w:noProof/>
        </w:rPr>
      </w:pPr>
    </w:p>
    <w:p>
      <w:pPr>
        <w:jc w:val="right"/>
        <w:rPr>
          <w:noProof/>
          <w:sz w:val="20"/>
        </w:rPr>
      </w:pPr>
      <w:r>
        <w:rPr>
          <w:noProof/>
          <w:sz w:val="20"/>
        </w:rPr>
        <w:t>млн. EUR (до 3-тия знак след десетичната запетая)</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oбщо плащания)</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868" w:type="dxa"/>
            <w:vAlign w:val="center"/>
          </w:tcPr>
          <w:p>
            <w:pPr>
              <w:spacing w:before="20" w:after="20"/>
              <w:jc w:val="right"/>
              <w:rPr>
                <w:b/>
                <w:noProof/>
                <w:sz w:val="20"/>
              </w:rPr>
            </w:pPr>
            <w:r>
              <w:rPr>
                <w:b/>
                <w:noProof/>
                <w:sz w:val="20"/>
              </w:rPr>
              <w:t>-</w:t>
            </w:r>
          </w:p>
        </w:tc>
        <w:tc>
          <w:tcPr>
            <w:tcW w:w="1291" w:type="dxa"/>
            <w:vAlign w:val="center"/>
          </w:tcPr>
          <w:p>
            <w:pPr>
              <w:spacing w:before="20" w:after="20"/>
              <w:jc w:val="right"/>
              <w:rPr>
                <w:b/>
                <w:noProof/>
                <w:sz w:val="20"/>
              </w:rPr>
            </w:pPr>
            <w:r>
              <w:rPr>
                <w:b/>
                <w:noProof/>
                <w:sz w:val="20"/>
              </w:rPr>
              <w:t>-</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bCs/>
          <w:noProof/>
          <w:szCs w:val="24"/>
        </w:rPr>
      </w:pPr>
      <w:bookmarkStart w:id="64" w:name="_Toc514941993"/>
      <w:bookmarkStart w:id="65" w:name="_Toc41651896"/>
      <w:r>
        <w:t>3.2.2.</w:t>
      </w:r>
      <w:r>
        <w:tab/>
      </w:r>
      <w:r>
        <w:rPr>
          <w:noProof/>
        </w:rPr>
        <w:t>Резюме на очаквано отражение върху бюджетните кредити за административни разходи</w:t>
      </w:r>
      <w:bookmarkEnd w:id="64"/>
      <w:bookmarkEnd w:id="65"/>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noProof/>
                <w:sz w:val="16"/>
                <w:szCs w:val="16"/>
              </w:rPr>
            </w:pPr>
            <w:r>
              <w:rPr>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c>
          <w:tcPr>
            <w:tcW w:w="1080" w:type="dxa"/>
            <w:vAlign w:val="center"/>
          </w:tcPr>
          <w:p>
            <w:pPr>
              <w:spacing w:before="60" w:after="60" w:line="200" w:lineRule="exact"/>
              <w:jc w:val="center"/>
              <w:rPr>
                <w:b/>
                <w:noProof/>
                <w:sz w:val="16"/>
                <w:szCs w:val="16"/>
              </w:rPr>
            </w:pPr>
            <w:r>
              <w:rPr>
                <w:b/>
                <w:noProof/>
                <w:sz w:val="16"/>
                <w:szCs w:val="16"/>
              </w:rPr>
              <w:t>-</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10"/>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rPr>
            </w:pPr>
            <w:r>
              <w:rPr>
                <w:noProof/>
                <w:sz w:val="16"/>
              </w:rPr>
              <w:t xml:space="preserve">Човешки ресурси — външни целеви приходи (без връзка с научните изследвания) </w:t>
            </w:r>
          </w:p>
        </w:tc>
        <w:tc>
          <w:tcPr>
            <w:tcW w:w="1080" w:type="dxa"/>
            <w:vAlign w:val="center"/>
          </w:tcPr>
          <w:p>
            <w:pPr>
              <w:spacing w:before="60" w:after="60" w:line="200" w:lineRule="exact"/>
              <w:jc w:val="right"/>
              <w:rPr>
                <w:noProof/>
                <w:sz w:val="16"/>
                <w:szCs w:val="16"/>
              </w:rPr>
            </w:pPr>
            <w:r>
              <w:rPr>
                <w:noProof/>
                <w:sz w:val="16"/>
                <w:szCs w:val="16"/>
              </w:rPr>
              <w:t>4,000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6,000</w:t>
            </w:r>
          </w:p>
        </w:tc>
        <w:tc>
          <w:tcPr>
            <w:tcW w:w="1080" w:type="dxa"/>
            <w:vAlign w:val="center"/>
          </w:tcPr>
          <w:p>
            <w:pPr>
              <w:spacing w:before="60" w:after="60" w:line="200" w:lineRule="exact"/>
              <w:jc w:val="right"/>
              <w:rPr>
                <w:noProof/>
                <w:sz w:val="16"/>
                <w:szCs w:val="16"/>
              </w:rPr>
            </w:pPr>
            <w:r>
              <w:rPr>
                <w:noProof/>
                <w:sz w:val="16"/>
                <w:szCs w:val="16"/>
              </w:rPr>
              <w:t>4,000</w:t>
            </w:r>
          </w:p>
        </w:tc>
        <w:tc>
          <w:tcPr>
            <w:tcW w:w="1080" w:type="dxa"/>
            <w:vAlign w:val="center"/>
          </w:tcPr>
          <w:p>
            <w:pPr>
              <w:spacing w:before="60" w:after="60" w:line="200" w:lineRule="exact"/>
              <w:jc w:val="right"/>
              <w:rPr>
                <w:noProof/>
                <w:sz w:val="16"/>
                <w:szCs w:val="16"/>
              </w:rPr>
            </w:pPr>
            <w:r>
              <w:rPr>
                <w:noProof/>
                <w:sz w:val="16"/>
                <w:szCs w:val="16"/>
              </w:rPr>
              <w:t>2,400</w:t>
            </w:r>
          </w:p>
        </w:tc>
        <w:tc>
          <w:tcPr>
            <w:tcW w:w="1080" w:type="dxa"/>
            <w:vAlign w:val="center"/>
          </w:tcPr>
          <w:p>
            <w:pPr>
              <w:spacing w:before="60" w:after="60" w:line="200" w:lineRule="exact"/>
              <w:jc w:val="right"/>
              <w:rPr>
                <w:noProof/>
                <w:sz w:val="16"/>
                <w:szCs w:val="16"/>
              </w:rPr>
            </w:pPr>
            <w:r>
              <w:rPr>
                <w:noProof/>
                <w:sz w:val="16"/>
                <w:szCs w:val="16"/>
              </w:rPr>
              <w:t>0,800</w:t>
            </w:r>
          </w:p>
        </w:tc>
        <w:tc>
          <w:tcPr>
            <w:tcW w:w="1080" w:type="dxa"/>
            <w:vAlign w:val="center"/>
          </w:tcPr>
          <w:p>
            <w:pPr>
              <w:spacing w:before="60" w:after="60" w:line="200" w:lineRule="exact"/>
              <w:jc w:val="right"/>
              <w:rPr>
                <w:noProof/>
                <w:sz w:val="16"/>
                <w:szCs w:val="16"/>
              </w:rPr>
            </w:pPr>
            <w:r>
              <w:rPr>
                <w:noProof/>
                <w:sz w:val="16"/>
                <w:szCs w:val="16"/>
              </w:rPr>
              <w:t>29,200</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с административен характер — външни целеви приходи (без връзка с научните изследвания) </w:t>
            </w: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1,830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1,820</w:t>
            </w:r>
          </w:p>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16"/>
                <w:szCs w:val="16"/>
              </w:rPr>
              <w:t xml:space="preserve">    12,800 </w:t>
            </w:r>
          </w:p>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rPr>
            </w:pPr>
            <w:r>
              <w:rPr>
                <w:noProof/>
                <w:sz w:val="16"/>
              </w:rPr>
              <w:t>Междинен сбор на външните целеви приходи (без връзка с научните изследвания)</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4,230</w:t>
            </w:r>
          </w:p>
        </w:tc>
        <w:tc>
          <w:tcPr>
            <w:tcW w:w="1080" w:type="dxa"/>
            <w:vAlign w:val="center"/>
          </w:tcPr>
          <w:p>
            <w:pPr>
              <w:spacing w:before="60" w:after="60" w:line="200" w:lineRule="exact"/>
              <w:jc w:val="right"/>
              <w:rPr>
                <w:noProof/>
                <w:sz w:val="16"/>
                <w:szCs w:val="16"/>
              </w:rPr>
            </w:pPr>
            <w:r>
              <w:rPr>
                <w:noProof/>
                <w:sz w:val="16"/>
                <w:szCs w:val="16"/>
              </w:rPr>
              <w:t>2,620</w:t>
            </w:r>
          </w:p>
        </w:tc>
        <w:tc>
          <w:tcPr>
            <w:tcW w:w="1080" w:type="dxa"/>
            <w:vAlign w:val="center"/>
          </w:tcPr>
          <w:p>
            <w:pPr>
              <w:spacing w:before="60" w:after="60" w:line="200" w:lineRule="exact"/>
              <w:jc w:val="right"/>
              <w:rPr>
                <w:noProof/>
                <w:sz w:val="16"/>
                <w:szCs w:val="16"/>
              </w:rPr>
            </w:pPr>
            <w:r>
              <w:rPr>
                <w:noProof/>
                <w:sz w:val="16"/>
                <w:szCs w:val="16"/>
              </w:rPr>
              <w:t>42,000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rPr>
              <w:t xml:space="preserve"> </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7,830</w:t>
            </w:r>
          </w:p>
        </w:tc>
        <w:tc>
          <w:tcPr>
            <w:tcW w:w="1080" w:type="dxa"/>
            <w:vAlign w:val="center"/>
          </w:tcPr>
          <w:p>
            <w:pPr>
              <w:spacing w:before="60" w:after="60" w:line="200" w:lineRule="exact"/>
              <w:jc w:val="right"/>
              <w:rPr>
                <w:noProof/>
                <w:sz w:val="16"/>
                <w:szCs w:val="16"/>
              </w:rPr>
            </w:pPr>
            <w:r>
              <w:rPr>
                <w:noProof/>
                <w:sz w:val="16"/>
                <w:szCs w:val="16"/>
              </w:rPr>
              <w:t>5,830</w:t>
            </w:r>
          </w:p>
        </w:tc>
        <w:tc>
          <w:tcPr>
            <w:tcW w:w="1080" w:type="dxa"/>
            <w:vAlign w:val="center"/>
          </w:tcPr>
          <w:p>
            <w:pPr>
              <w:spacing w:before="60" w:after="60" w:line="200" w:lineRule="exact"/>
              <w:jc w:val="right"/>
              <w:rPr>
                <w:noProof/>
                <w:sz w:val="16"/>
                <w:szCs w:val="16"/>
              </w:rPr>
            </w:pPr>
            <w:r>
              <w:rPr>
                <w:noProof/>
                <w:sz w:val="16"/>
                <w:szCs w:val="16"/>
              </w:rPr>
              <w:t>4,230</w:t>
            </w:r>
          </w:p>
        </w:tc>
        <w:tc>
          <w:tcPr>
            <w:tcW w:w="1080" w:type="dxa"/>
            <w:vAlign w:val="center"/>
          </w:tcPr>
          <w:p>
            <w:pPr>
              <w:spacing w:before="60" w:after="60" w:line="200" w:lineRule="exact"/>
              <w:jc w:val="right"/>
              <w:rPr>
                <w:b/>
                <w:noProof/>
                <w:sz w:val="16"/>
                <w:szCs w:val="16"/>
              </w:rPr>
            </w:pPr>
            <w:r>
              <w:rPr>
                <w:noProof/>
                <w:sz w:val="16"/>
                <w:szCs w:val="16"/>
              </w:rPr>
              <w:t>2,620</w:t>
            </w:r>
          </w:p>
        </w:tc>
        <w:tc>
          <w:tcPr>
            <w:tcW w:w="1080" w:type="dxa"/>
            <w:vAlign w:val="center"/>
          </w:tcPr>
          <w:p>
            <w:pPr>
              <w:spacing w:before="60" w:after="60" w:line="200" w:lineRule="exact"/>
              <w:jc w:val="right"/>
              <w:rPr>
                <w:b/>
                <w:noProof/>
                <w:sz w:val="16"/>
                <w:szCs w:val="16"/>
              </w:rPr>
            </w:pPr>
            <w:r>
              <w:rPr>
                <w:noProof/>
                <w:sz w:val="16"/>
                <w:szCs w:val="16"/>
              </w:rPr>
              <w:t>42,000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7,830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5,830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4,230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2,620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42,000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 Допълнителният персонал ще бъде само външен персонал и ще се финансира единствено от целеви приходи.</w:t>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 — ДНП, МП, КНЕ, ПНА и МЕД</w:t>
            </w:r>
            <w:r>
              <w:rPr>
                <w:noProof/>
                <w:sz w:val="16"/>
              </w:rPr>
              <w:t xml:space="preserve"> </w:t>
            </w:r>
            <w:r>
              <w:rPr>
                <w:rStyle w:val="FootnoteReference"/>
                <w:noProof/>
                <w:sz w:val="16"/>
              </w:rPr>
              <w:footnoteReference w:id="11"/>
            </w:r>
          </w:p>
          <w:p>
            <w:pPr>
              <w:pStyle w:val="Text1"/>
              <w:spacing w:before="0" w:after="0"/>
              <w:ind w:left="0"/>
              <w:jc w:val="left"/>
              <w:rPr>
                <w:noProof/>
                <w:sz w:val="16"/>
                <w:szCs w:val="16"/>
              </w:rPr>
            </w:pPr>
            <w:r>
              <w:rPr>
                <w:noProof/>
                <w:sz w:val="16"/>
                <w:szCs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финансовия пакет на програмата</w:t>
            </w:r>
            <w:r>
              <w:rPr>
                <w:b/>
                <w:noProof/>
                <w:sz w:val="16"/>
                <w:szCs w:val="16"/>
              </w:rPr>
              <w:t xml:space="preserve"> </w:t>
            </w:r>
            <w:r>
              <w:rPr>
                <w:rStyle w:val="FootnoteReference"/>
                <w:b/>
                <w:noProof/>
                <w:sz w:val="16"/>
              </w:rPr>
              <w:footnoteReference w:id="1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 xml:space="preserve">Други: външни целеви приходи (научни изследвания)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 xml:space="preserve">Други: външни целеви приходи (без връзка с научните изследвания) </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50</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75</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50</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30</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10</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75</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50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w:t>
            </w:r>
          </w:p>
        </w:tc>
      </w:tr>
    </w:tbl>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 xml:space="preserve"> </w:t>
      </w:r>
      <w:r>
        <w:rPr>
          <w:noProof/>
          <w:sz w:val="18"/>
        </w:rPr>
        <w:t>Допълнителният персонал ще бъде само външен персонал и ще се финансира единствено от целеви приходи.</w:t>
      </w:r>
    </w:p>
    <w:p>
      <w:pPr>
        <w:rPr>
          <w:noProof/>
          <w:sz w:val="20"/>
        </w:rPr>
      </w:pPr>
      <w:r>
        <w:rPr>
          <w:noProof/>
          <w:sz w:val="20"/>
        </w:rPr>
        <w:t>Описание на задачите, които трябва да се изпълнят:</w:t>
      </w:r>
    </w:p>
    <w:tbl>
      <w:tblPr>
        <w:tblW w:w="18024"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gridCol w:w="7392"/>
      </w:tblGrid>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 xml:space="preserve">Външният персонал ще подпомага длъжностните лица и срочно наетите служители да допринасят за изпълнението на мерките, посочени в Регламента за Европейски инструмент за възстановяване, като те бъдат осъществявани по линия на Регламента за хуманитарната помощ. </w:t>
            </w:r>
          </w:p>
        </w:tc>
        <w:tc>
          <w:tcPr>
            <w:tcW w:w="7392" w:type="dxa"/>
          </w:tcPr>
          <w:p>
            <w:pPr>
              <w:rPr>
                <w:noProof/>
                <w:sz w:val="20"/>
              </w:rPr>
            </w:pP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66" w:name="_Toc514941995"/>
      <w:bookmarkStart w:id="67" w:name="_Toc41651897"/>
      <w:r>
        <w:t>3.3.</w:t>
      </w:r>
      <w:r>
        <w:tab/>
      </w:r>
      <w:r>
        <w:rPr>
          <w:noProof/>
        </w:rPr>
        <w:t>Очаквано отражение върху приходите</w:t>
      </w:r>
      <w:bookmarkEnd w:id="66"/>
      <w:bookmarkEnd w:id="67"/>
      <w:r>
        <w:rPr>
          <w:noProof/>
        </w:rPr>
        <w:t xml:space="preserve">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върху разните приходи</w:t>
      </w:r>
    </w:p>
    <w:p>
      <w:pPr>
        <w:rPr>
          <w:noProof/>
        </w:rPr>
      </w:pPr>
      <w:r>
        <w:rPr>
          <w:noProof/>
        </w:rPr>
        <w:t xml:space="preserve">Моля, посочете дали приходите са записани по разходни бюджетни редове </w:t>
      </w:r>
      <w:r>
        <w:rPr>
          <w:noProof/>
        </w:rPr>
        <w:sym w:font="Wingdings" w:char="F0A8"/>
      </w:r>
      <w:r>
        <w:rPr>
          <w:noProof/>
        </w:rPr>
        <w:t>.</w:t>
      </w:r>
      <w:r>
        <w:rPr>
          <w:noProof/>
        </w:rPr>
        <w:tab/>
      </w:r>
    </w:p>
    <w:p>
      <w:pPr>
        <w:jc w:val="right"/>
        <w:rPr>
          <w:i/>
          <w:noProof/>
          <w:sz w:val="20"/>
        </w:rPr>
      </w:pPr>
      <w:r>
        <w:rPr>
          <w:noProof/>
        </w:rPr>
        <w:t>млн. EUR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rPr>
          <w:noProof/>
        </w:rPr>
      </w:pPr>
    </w:p>
    <w:p>
      <w:pPr>
        <w:pStyle w:val="Text1"/>
        <w:rPr>
          <w:rStyle w:val="CommentReference"/>
          <w:noProof/>
        </w:rPr>
      </w:pPr>
      <w:r>
        <w:rPr>
          <w:noProof/>
          <w:sz w:val="20"/>
        </w:rPr>
        <w:t>Други забележки (например метод/формула за изчисляване на отражението върху приходите или друга информация).</w:t>
      </w:r>
      <w:r>
        <w:rPr>
          <w:noProof/>
        </w:rPr>
        <w:t xml:space="preserv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https://ec.europa.eu/commission/sites/beta-political/files/budget-may2018-neighbourhood-world-swd_en.pdf</w:t>
      </w:r>
    </w:p>
  </w:footnote>
  <w:footnote w:id="3">
    <w:p>
      <w:pPr>
        <w:pStyle w:val="FootnoteText"/>
      </w:pPr>
      <w:r>
        <w:rPr>
          <w:rStyle w:val="FootnoteReference"/>
        </w:rPr>
        <w:footnoteRef/>
      </w:r>
      <w:r>
        <w:tab/>
        <w:t>https://ec.europa.eu/echo/partnerships/consultations/consultations_en</w:t>
      </w:r>
    </w:p>
  </w:footnote>
  <w:footnote w:id="4">
    <w:p>
      <w:pPr>
        <w:pStyle w:val="FootnoteText"/>
      </w:pPr>
      <w:r>
        <w:rPr>
          <w:rStyle w:val="FootnoteReference"/>
        </w:rPr>
        <w:footnoteRef/>
      </w:r>
      <w:r>
        <w:tab/>
        <w:t>https://ec.europa.eu/echo/funding-evaluations/evaluations_en</w:t>
      </w:r>
    </w:p>
  </w:footnote>
  <w:footnote w:id="5">
    <w:p>
      <w:pPr>
        <w:pStyle w:val="FootnoteText"/>
        <w:rPr>
          <w:szCs w:val="24"/>
        </w:rPr>
      </w:pPr>
      <w:r>
        <w:rPr>
          <w:rStyle w:val="FootnoteReference"/>
        </w:rPr>
        <w:footnoteRef/>
      </w:r>
      <w:r>
        <w:tab/>
        <w:t>Съгласно член 58, параграф 2, буква а) или б) от Финансовия регламент.</w:t>
      </w:r>
    </w:p>
  </w:footnote>
  <w:footnote w:id="6">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7">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8">
    <w:p>
      <w:pPr>
        <w:pStyle w:val="FootnoteText"/>
        <w:rPr>
          <w:szCs w:val="24"/>
        </w:rPr>
      </w:pPr>
      <w:r>
        <w:rPr>
          <w:rStyle w:val="FootnoteReference"/>
        </w:rPr>
        <w:footnoteRef/>
      </w:r>
      <w:r>
        <w:tab/>
        <w:t xml:space="preserve">ЕАСТ: Европейска асоциация за свободна търговия. </w:t>
      </w:r>
    </w:p>
  </w:footnote>
  <w:footnote w:id="9">
    <w:p>
      <w:pPr>
        <w:pStyle w:val="FootnoteText"/>
      </w:pPr>
      <w:r>
        <w:rPr>
          <w:rStyle w:val="FootnoteReference"/>
        </w:rPr>
        <w:footnoteRef/>
      </w:r>
      <w:r>
        <w:tab/>
        <w:t>Държави кандидати и, ако е приложимо, държави потенциални кандидати от Западните Балкани.</w:t>
      </w:r>
    </w:p>
  </w:footnote>
  <w:footnote w:id="1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1">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2">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4:46:54"/>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12E926-4745-4E27-8EE4-B4B2DE65649E"/>
    <w:docVar w:name="LW_COVERPAGE_TYPE" w:val="1"/>
    <w:docVar w:name="LW_CROSSREFERENCE" w:val="&lt;UNUSED&gt;"/>
    <w:docVar w:name="LW_DocType" w:val="COM"/>
    <w:docVar w:name="LW_EMISSION" w:val="29.5.2020"/>
    <w:docVar w:name="LW_EMISSION_ISODATE" w:val="2020-05-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10"/>
    <w:docVar w:name="LW_REF.II.NEW.CP_YEAR" w:val="2020"/>
    <w:docVar w:name="LW_REF.INST.NEW" w:val="COM"/>
    <w:docVar w:name="LW_REF.INST.NEW_ADOPTED" w:val="final"/>
    <w:docVar w:name="LW_REF.INST.NEW_TEXT" w:val="(2020)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257/96 \u1085?\u1072? \u1057?\u1098?\u1074?\u1077?\u1090?\u1072? \u1086?\u1090? 20 \u1102?\u1085?\u1080? 1996 \u1075?. \u1086?\u1090?\u1085?\u1086?\u1089?\u1085?\u1086? \u1093?\u1091?\u1084?\u1072?\u1085?\u1080?\u1090?\u1072?\u1088?\u1085?\u1072?\u1090?\u1072? \u1087?\u1086?\u1084?\u1086?\u109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ighlight">
    <w:name w:val="highlight"/>
    <w:basedOn w:val="DefaultParagraphFont"/>
  </w:style>
  <w:style w:type="paragraph" w:customStyle="1" w:styleId="Text">
    <w:name w:val="Text"/>
    <w:basedOn w:val="Text1"/>
  </w:style>
  <w:style w:type="paragraph" w:customStyle="1" w:styleId="Hear">
    <w:name w:val="Hear"/>
    <w:basedOn w:val="Heading3"/>
    <w:pPr>
      <w:numPr>
        <w:numId w:val="0"/>
      </w:numPr>
      <w:ind w:left="850"/>
    </w:pPr>
    <w:rPr>
      <w:noProof/>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ighlight">
    <w:name w:val="highlight"/>
    <w:basedOn w:val="DefaultParagraphFont"/>
  </w:style>
  <w:style w:type="paragraph" w:customStyle="1" w:styleId="Text">
    <w:name w:val="Text"/>
    <w:basedOn w:val="Text1"/>
  </w:style>
  <w:style w:type="paragraph" w:customStyle="1" w:styleId="Hear">
    <w:name w:val="Hear"/>
    <w:basedOn w:val="Heading3"/>
    <w:pPr>
      <w:numPr>
        <w:numId w:val="0"/>
      </w:numPr>
      <w:ind w:left="850"/>
    </w:pPr>
    <w:rPr>
      <w:noProof/>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1858">
      <w:bodyDiv w:val="1"/>
      <w:marLeft w:val="0"/>
      <w:marRight w:val="0"/>
      <w:marTop w:val="0"/>
      <w:marBottom w:val="0"/>
      <w:divBdr>
        <w:top w:val="none" w:sz="0" w:space="0" w:color="auto"/>
        <w:left w:val="none" w:sz="0" w:space="0" w:color="auto"/>
        <w:bottom w:val="none" w:sz="0" w:space="0" w:color="auto"/>
        <w:right w:val="none" w:sz="0" w:space="0" w:color="auto"/>
      </w:divBdr>
    </w:div>
    <w:div w:id="175733498">
      <w:bodyDiv w:val="1"/>
      <w:marLeft w:val="0"/>
      <w:marRight w:val="0"/>
      <w:marTop w:val="0"/>
      <w:marBottom w:val="0"/>
      <w:divBdr>
        <w:top w:val="none" w:sz="0" w:space="0" w:color="auto"/>
        <w:left w:val="none" w:sz="0" w:space="0" w:color="auto"/>
        <w:bottom w:val="none" w:sz="0" w:space="0" w:color="auto"/>
        <w:right w:val="none" w:sz="0" w:space="0" w:color="auto"/>
      </w:divBdr>
    </w:div>
    <w:div w:id="187261865">
      <w:bodyDiv w:val="1"/>
      <w:marLeft w:val="0"/>
      <w:marRight w:val="0"/>
      <w:marTop w:val="0"/>
      <w:marBottom w:val="0"/>
      <w:divBdr>
        <w:top w:val="none" w:sz="0" w:space="0" w:color="auto"/>
        <w:left w:val="none" w:sz="0" w:space="0" w:color="auto"/>
        <w:bottom w:val="none" w:sz="0" w:space="0" w:color="auto"/>
        <w:right w:val="none" w:sz="0" w:space="0" w:color="auto"/>
      </w:divBdr>
    </w:div>
    <w:div w:id="221258745">
      <w:bodyDiv w:val="1"/>
      <w:marLeft w:val="0"/>
      <w:marRight w:val="0"/>
      <w:marTop w:val="0"/>
      <w:marBottom w:val="0"/>
      <w:divBdr>
        <w:top w:val="none" w:sz="0" w:space="0" w:color="auto"/>
        <w:left w:val="none" w:sz="0" w:space="0" w:color="auto"/>
        <w:bottom w:val="none" w:sz="0" w:space="0" w:color="auto"/>
        <w:right w:val="none" w:sz="0" w:space="0" w:color="auto"/>
      </w:divBdr>
    </w:div>
    <w:div w:id="421069426">
      <w:bodyDiv w:val="1"/>
      <w:marLeft w:val="0"/>
      <w:marRight w:val="0"/>
      <w:marTop w:val="0"/>
      <w:marBottom w:val="0"/>
      <w:divBdr>
        <w:top w:val="none" w:sz="0" w:space="0" w:color="auto"/>
        <w:left w:val="none" w:sz="0" w:space="0" w:color="auto"/>
        <w:bottom w:val="none" w:sz="0" w:space="0" w:color="auto"/>
        <w:right w:val="none" w:sz="0" w:space="0" w:color="auto"/>
      </w:divBdr>
    </w:div>
    <w:div w:id="486552079">
      <w:bodyDiv w:val="1"/>
      <w:marLeft w:val="0"/>
      <w:marRight w:val="0"/>
      <w:marTop w:val="0"/>
      <w:marBottom w:val="0"/>
      <w:divBdr>
        <w:top w:val="none" w:sz="0" w:space="0" w:color="auto"/>
        <w:left w:val="none" w:sz="0" w:space="0" w:color="auto"/>
        <w:bottom w:val="none" w:sz="0" w:space="0" w:color="auto"/>
        <w:right w:val="none" w:sz="0" w:space="0" w:color="auto"/>
      </w:divBdr>
    </w:div>
    <w:div w:id="538904667">
      <w:bodyDiv w:val="1"/>
      <w:marLeft w:val="0"/>
      <w:marRight w:val="0"/>
      <w:marTop w:val="0"/>
      <w:marBottom w:val="0"/>
      <w:divBdr>
        <w:top w:val="none" w:sz="0" w:space="0" w:color="auto"/>
        <w:left w:val="none" w:sz="0" w:space="0" w:color="auto"/>
        <w:bottom w:val="none" w:sz="0" w:space="0" w:color="auto"/>
        <w:right w:val="none" w:sz="0" w:space="0" w:color="auto"/>
      </w:divBdr>
    </w:div>
    <w:div w:id="544173126">
      <w:bodyDiv w:val="1"/>
      <w:marLeft w:val="0"/>
      <w:marRight w:val="0"/>
      <w:marTop w:val="0"/>
      <w:marBottom w:val="0"/>
      <w:divBdr>
        <w:top w:val="none" w:sz="0" w:space="0" w:color="auto"/>
        <w:left w:val="none" w:sz="0" w:space="0" w:color="auto"/>
        <w:bottom w:val="none" w:sz="0" w:space="0" w:color="auto"/>
        <w:right w:val="none" w:sz="0" w:space="0" w:color="auto"/>
      </w:divBdr>
    </w:div>
    <w:div w:id="566762418">
      <w:bodyDiv w:val="1"/>
      <w:marLeft w:val="0"/>
      <w:marRight w:val="0"/>
      <w:marTop w:val="0"/>
      <w:marBottom w:val="0"/>
      <w:divBdr>
        <w:top w:val="none" w:sz="0" w:space="0" w:color="auto"/>
        <w:left w:val="none" w:sz="0" w:space="0" w:color="auto"/>
        <w:bottom w:val="none" w:sz="0" w:space="0" w:color="auto"/>
        <w:right w:val="none" w:sz="0" w:space="0" w:color="auto"/>
      </w:divBdr>
    </w:div>
    <w:div w:id="630869635">
      <w:bodyDiv w:val="1"/>
      <w:marLeft w:val="0"/>
      <w:marRight w:val="0"/>
      <w:marTop w:val="0"/>
      <w:marBottom w:val="0"/>
      <w:divBdr>
        <w:top w:val="none" w:sz="0" w:space="0" w:color="auto"/>
        <w:left w:val="none" w:sz="0" w:space="0" w:color="auto"/>
        <w:bottom w:val="none" w:sz="0" w:space="0" w:color="auto"/>
        <w:right w:val="none" w:sz="0" w:space="0" w:color="auto"/>
      </w:divBdr>
    </w:div>
    <w:div w:id="636766789">
      <w:bodyDiv w:val="1"/>
      <w:marLeft w:val="0"/>
      <w:marRight w:val="0"/>
      <w:marTop w:val="0"/>
      <w:marBottom w:val="0"/>
      <w:divBdr>
        <w:top w:val="none" w:sz="0" w:space="0" w:color="auto"/>
        <w:left w:val="none" w:sz="0" w:space="0" w:color="auto"/>
        <w:bottom w:val="none" w:sz="0" w:space="0" w:color="auto"/>
        <w:right w:val="none" w:sz="0" w:space="0" w:color="auto"/>
      </w:divBdr>
    </w:div>
    <w:div w:id="714430175">
      <w:bodyDiv w:val="1"/>
      <w:marLeft w:val="0"/>
      <w:marRight w:val="0"/>
      <w:marTop w:val="0"/>
      <w:marBottom w:val="0"/>
      <w:divBdr>
        <w:top w:val="none" w:sz="0" w:space="0" w:color="auto"/>
        <w:left w:val="none" w:sz="0" w:space="0" w:color="auto"/>
        <w:bottom w:val="none" w:sz="0" w:space="0" w:color="auto"/>
        <w:right w:val="none" w:sz="0" w:space="0" w:color="auto"/>
      </w:divBdr>
    </w:div>
    <w:div w:id="754475775">
      <w:bodyDiv w:val="1"/>
      <w:marLeft w:val="0"/>
      <w:marRight w:val="0"/>
      <w:marTop w:val="0"/>
      <w:marBottom w:val="0"/>
      <w:divBdr>
        <w:top w:val="none" w:sz="0" w:space="0" w:color="auto"/>
        <w:left w:val="none" w:sz="0" w:space="0" w:color="auto"/>
        <w:bottom w:val="none" w:sz="0" w:space="0" w:color="auto"/>
        <w:right w:val="none" w:sz="0" w:space="0" w:color="auto"/>
      </w:divBdr>
    </w:div>
    <w:div w:id="918636408">
      <w:bodyDiv w:val="1"/>
      <w:marLeft w:val="0"/>
      <w:marRight w:val="0"/>
      <w:marTop w:val="0"/>
      <w:marBottom w:val="0"/>
      <w:divBdr>
        <w:top w:val="none" w:sz="0" w:space="0" w:color="auto"/>
        <w:left w:val="none" w:sz="0" w:space="0" w:color="auto"/>
        <w:bottom w:val="none" w:sz="0" w:space="0" w:color="auto"/>
        <w:right w:val="none" w:sz="0" w:space="0" w:color="auto"/>
      </w:divBdr>
    </w:div>
    <w:div w:id="1356733354">
      <w:bodyDiv w:val="1"/>
      <w:marLeft w:val="0"/>
      <w:marRight w:val="0"/>
      <w:marTop w:val="0"/>
      <w:marBottom w:val="0"/>
      <w:divBdr>
        <w:top w:val="none" w:sz="0" w:space="0" w:color="auto"/>
        <w:left w:val="none" w:sz="0" w:space="0" w:color="auto"/>
        <w:bottom w:val="none" w:sz="0" w:space="0" w:color="auto"/>
        <w:right w:val="none" w:sz="0" w:space="0" w:color="auto"/>
      </w:divBdr>
    </w:div>
    <w:div w:id="1359043054">
      <w:bodyDiv w:val="1"/>
      <w:marLeft w:val="0"/>
      <w:marRight w:val="0"/>
      <w:marTop w:val="0"/>
      <w:marBottom w:val="0"/>
      <w:divBdr>
        <w:top w:val="none" w:sz="0" w:space="0" w:color="auto"/>
        <w:left w:val="none" w:sz="0" w:space="0" w:color="auto"/>
        <w:bottom w:val="none" w:sz="0" w:space="0" w:color="auto"/>
        <w:right w:val="none" w:sz="0" w:space="0" w:color="auto"/>
      </w:divBdr>
    </w:div>
    <w:div w:id="1363897704">
      <w:bodyDiv w:val="1"/>
      <w:marLeft w:val="0"/>
      <w:marRight w:val="0"/>
      <w:marTop w:val="0"/>
      <w:marBottom w:val="0"/>
      <w:divBdr>
        <w:top w:val="none" w:sz="0" w:space="0" w:color="auto"/>
        <w:left w:val="none" w:sz="0" w:space="0" w:color="auto"/>
        <w:bottom w:val="none" w:sz="0" w:space="0" w:color="auto"/>
        <w:right w:val="none" w:sz="0" w:space="0" w:color="auto"/>
      </w:divBdr>
    </w:div>
    <w:div w:id="1368024780">
      <w:bodyDiv w:val="1"/>
      <w:marLeft w:val="0"/>
      <w:marRight w:val="0"/>
      <w:marTop w:val="0"/>
      <w:marBottom w:val="0"/>
      <w:divBdr>
        <w:top w:val="none" w:sz="0" w:space="0" w:color="auto"/>
        <w:left w:val="none" w:sz="0" w:space="0" w:color="auto"/>
        <w:bottom w:val="none" w:sz="0" w:space="0" w:color="auto"/>
        <w:right w:val="none" w:sz="0" w:space="0" w:color="auto"/>
      </w:divBdr>
    </w:div>
    <w:div w:id="1379890444">
      <w:bodyDiv w:val="1"/>
      <w:marLeft w:val="0"/>
      <w:marRight w:val="0"/>
      <w:marTop w:val="0"/>
      <w:marBottom w:val="0"/>
      <w:divBdr>
        <w:top w:val="none" w:sz="0" w:space="0" w:color="auto"/>
        <w:left w:val="none" w:sz="0" w:space="0" w:color="auto"/>
        <w:bottom w:val="none" w:sz="0" w:space="0" w:color="auto"/>
        <w:right w:val="none" w:sz="0" w:space="0" w:color="auto"/>
      </w:divBdr>
    </w:div>
    <w:div w:id="1385107298">
      <w:bodyDiv w:val="1"/>
      <w:marLeft w:val="0"/>
      <w:marRight w:val="0"/>
      <w:marTop w:val="0"/>
      <w:marBottom w:val="0"/>
      <w:divBdr>
        <w:top w:val="none" w:sz="0" w:space="0" w:color="auto"/>
        <w:left w:val="none" w:sz="0" w:space="0" w:color="auto"/>
        <w:bottom w:val="none" w:sz="0" w:space="0" w:color="auto"/>
        <w:right w:val="none" w:sz="0" w:space="0" w:color="auto"/>
      </w:divBdr>
    </w:div>
    <w:div w:id="1543516095">
      <w:bodyDiv w:val="1"/>
      <w:marLeft w:val="0"/>
      <w:marRight w:val="0"/>
      <w:marTop w:val="0"/>
      <w:marBottom w:val="0"/>
      <w:divBdr>
        <w:top w:val="none" w:sz="0" w:space="0" w:color="auto"/>
        <w:left w:val="none" w:sz="0" w:space="0" w:color="auto"/>
        <w:bottom w:val="none" w:sz="0" w:space="0" w:color="auto"/>
        <w:right w:val="none" w:sz="0" w:space="0" w:color="auto"/>
      </w:divBdr>
    </w:div>
    <w:div w:id="1569488521">
      <w:bodyDiv w:val="1"/>
      <w:marLeft w:val="0"/>
      <w:marRight w:val="0"/>
      <w:marTop w:val="0"/>
      <w:marBottom w:val="0"/>
      <w:divBdr>
        <w:top w:val="none" w:sz="0" w:space="0" w:color="auto"/>
        <w:left w:val="none" w:sz="0" w:space="0" w:color="auto"/>
        <w:bottom w:val="none" w:sz="0" w:space="0" w:color="auto"/>
        <w:right w:val="none" w:sz="0" w:space="0" w:color="auto"/>
      </w:divBdr>
    </w:div>
    <w:div w:id="1675913232">
      <w:bodyDiv w:val="1"/>
      <w:marLeft w:val="0"/>
      <w:marRight w:val="0"/>
      <w:marTop w:val="0"/>
      <w:marBottom w:val="0"/>
      <w:divBdr>
        <w:top w:val="none" w:sz="0" w:space="0" w:color="auto"/>
        <w:left w:val="none" w:sz="0" w:space="0" w:color="auto"/>
        <w:bottom w:val="none" w:sz="0" w:space="0" w:color="auto"/>
        <w:right w:val="none" w:sz="0" w:space="0" w:color="auto"/>
      </w:divBdr>
    </w:div>
    <w:div w:id="1799491612">
      <w:bodyDiv w:val="1"/>
      <w:marLeft w:val="0"/>
      <w:marRight w:val="0"/>
      <w:marTop w:val="0"/>
      <w:marBottom w:val="0"/>
      <w:divBdr>
        <w:top w:val="none" w:sz="0" w:space="0" w:color="auto"/>
        <w:left w:val="none" w:sz="0" w:space="0" w:color="auto"/>
        <w:bottom w:val="none" w:sz="0" w:space="0" w:color="auto"/>
        <w:right w:val="none" w:sz="0" w:space="0" w:color="auto"/>
      </w:divBdr>
    </w:div>
    <w:div w:id="1932082463">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20740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echo/who/accountability/auditing_e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9747DB-2494-41A7-848A-2797BB1E0151}">
  <ds:schemaRefs>
    <ds:schemaRef ds:uri="http://schemas.microsoft.com/sharepoint/v3/contenttype/forms"/>
  </ds:schemaRefs>
</ds:datastoreItem>
</file>

<file path=customXml/itemProps2.xml><?xml version="1.0" encoding="utf-8"?>
<ds:datastoreItem xmlns:ds="http://schemas.openxmlformats.org/officeDocument/2006/customXml" ds:itemID="{A2B59795-9B47-444D-A185-0B8292140D4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AE1817-33CC-498E-AF38-44FCE655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EC9A7A-E16D-4514-88FD-ABCAE8C1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18</Pages>
  <Words>3871</Words>
  <Characters>22918</Characters>
  <Application>Microsoft Office Word</Application>
  <DocSecurity>0</DocSecurity>
  <Lines>916</Lines>
  <Paragraphs>478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2020-05-26T10:18:00Z</cp:lastPrinted>
  <dcterms:created xsi:type="dcterms:W3CDTF">2020-05-29T12:03:00Z</dcterms:created>
  <dcterms:modified xsi:type="dcterms:W3CDTF">2020-06-02T12:46:00Z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Green (DQC version 03)</vt:lpwstr>
  </property>
</Properties>
</file>