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4C0FAE8-6240-40AB-A9B3-D183D1A609D9" style="width:451pt;height:337.8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Bdr>
          <w:top w:val="nil"/>
          <w:left w:val="nil"/>
          <w:bottom w:val="nil"/>
          <w:right w:val="nil"/>
          <w:between w:val="nil"/>
          <w:bar w:val="nil"/>
        </w:pBdr>
        <w:spacing w:before="0" w:after="240"/>
        <w:rPr>
          <w:rFonts w:eastAsia="Arial Unicode MS"/>
          <w:noProof/>
        </w:rPr>
      </w:pPr>
      <w:r>
        <w:rPr>
          <w:noProof/>
        </w:rPr>
        <w:t>La flambée de maladie à coronavirus («COVID-19») a été qualifiée de pandémie par l’Organisation mondiale de la santé (OMS) le 11 mars 2020.  Depuis, des pays du monde entier ont adopté des mesures exceptionnelles pour faire face à la pandémie et la contenir.</w:t>
      </w:r>
    </w:p>
    <w:p>
      <w:pPr>
        <w:pBdr>
          <w:top w:val="nil"/>
          <w:left w:val="nil"/>
          <w:bottom w:val="nil"/>
          <w:right w:val="nil"/>
          <w:between w:val="nil"/>
          <w:bar w:val="nil"/>
        </w:pBdr>
        <w:spacing w:before="0" w:after="240"/>
        <w:rPr>
          <w:rFonts w:eastAsia="Arial Unicode MS"/>
          <w:noProof/>
        </w:rPr>
      </w:pPr>
      <w:r>
        <w:rPr>
          <w:noProof/>
        </w:rPr>
        <w:t xml:space="preserve">La crise engendrée par la pandémie de COVID-19 a des incidences majeures sur les sociétés dans le monde, en premier lieu sur les systèmes de santé, et a de graves conséquences sociales et économiques à l’échelle mondiale. Cette situation constitue un défi important pour les pays tiers dotés d’institutions faibles ou confrontés à des conflits ou à d’autres crises telles que des catastrophes naturelles. Les groupes vulnérables, parmi lesquels les réfugiés et les personnes déplacées, pourraient être particulièrement menacés. La stratégie de riposte de l’Union devrait être globale, cohérente et intégrée, en permettant de s’attaquer aux défis socio-économiques et de santé publique et de répondre aux besoins humanitaires immédiats engendrés ou aggravés par la pandémie. </w:t>
      </w:r>
    </w:p>
    <w:p>
      <w:pPr>
        <w:pBdr>
          <w:top w:val="nil"/>
          <w:left w:val="nil"/>
          <w:bottom w:val="nil"/>
          <w:right w:val="nil"/>
          <w:between w:val="nil"/>
          <w:bar w:val="nil"/>
        </w:pBdr>
        <w:spacing w:before="0" w:after="240"/>
        <w:rPr>
          <w:rFonts w:eastAsia="Arial Unicode MS"/>
          <w:noProof/>
        </w:rPr>
      </w:pPr>
      <w:r>
        <w:rPr>
          <w:noProof/>
        </w:rPr>
        <w:t xml:space="preserve">Cette situation exceptionnelle appelle une approche cohérente et unifiée au niveau de l’Union. Par conséquent, des investissements publics et privés substantiels sont nécessaires pour trouver des solutions aux défis posés par la pandémie de COVID-19. </w:t>
      </w:r>
    </w:p>
    <w:p>
      <w:pPr>
        <w:pBdr>
          <w:top w:val="nil"/>
          <w:left w:val="nil"/>
          <w:bottom w:val="nil"/>
          <w:right w:val="nil"/>
          <w:between w:val="nil"/>
          <w:bar w:val="nil"/>
        </w:pBdr>
        <w:spacing w:before="0" w:after="240"/>
        <w:rPr>
          <w:rFonts w:eastAsia="Arial Unicode MS"/>
          <w:noProof/>
        </w:rPr>
      </w:pPr>
      <w:r>
        <w:rPr>
          <w:noProof/>
        </w:rPr>
        <w:t xml:space="preserve">La Commission propose dès lors un ensemble de mesures ambitieux comprenant une proposition visant à établir un instrument de l’Union européenne pour la relance. En plus de soutenir les économies au sein de l’UE comme dans les pays tiers, l’instrument devrait également renforcer l’aide humanitaire de l’Union et soutenir le renforcement des capacités afin d’améliorer la prévention des crises futures et la préparation à celles-ci. </w:t>
      </w:r>
    </w:p>
    <w:p>
      <w:pPr>
        <w:pBdr>
          <w:top w:val="nil"/>
          <w:left w:val="nil"/>
          <w:bottom w:val="nil"/>
          <w:right w:val="nil"/>
          <w:between w:val="nil"/>
          <w:bar w:val="nil"/>
        </w:pBdr>
        <w:spacing w:before="0" w:after="240"/>
        <w:rPr>
          <w:rFonts w:eastAsia="Arial Unicode MS"/>
          <w:noProof/>
        </w:rPr>
      </w:pPr>
      <w:r>
        <w:rPr>
          <w:noProof/>
        </w:rPr>
        <w:t xml:space="preserve">Il est proposé que ces mesures soient mises en œuvre dans le cadre des instruments et programmes spécifiques de l’Union, conformément aux actes correspondants de l’Union établissant les règles relatives à ces instruments et programmes. </w:t>
      </w:r>
    </w:p>
    <w:p>
      <w:pPr>
        <w:autoSpaceDE w:val="0"/>
        <w:autoSpaceDN w:val="0"/>
        <w:adjustRightInd w:val="0"/>
        <w:spacing w:before="0" w:after="0"/>
        <w:rPr>
          <w:rFonts w:eastAsia="Arial Unicode MS"/>
          <w:bCs/>
          <w:noProof/>
        </w:rPr>
      </w:pPr>
      <w:r>
        <w:rPr>
          <w:noProof/>
        </w:rPr>
        <w:t>Il y a donc lieu de permettre la mise en œuvre de ces mesures au moyen des mécanismes de fourniture de l’aide prévus par le règlement (CE) n° 1257/96 du 20 juin 1996 concernant l’aide humanitaire.</w:t>
      </w:r>
    </w:p>
    <w:p>
      <w:pPr>
        <w:autoSpaceDE w:val="0"/>
        <w:autoSpaceDN w:val="0"/>
        <w:adjustRightInd w:val="0"/>
        <w:spacing w:before="0" w:after="0"/>
        <w:jc w:val="left"/>
        <w:rPr>
          <w:rFonts w:eastAsia="Arial Unicode MS"/>
          <w:bCs/>
          <w:noProof/>
        </w:rPr>
      </w:pP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autoSpaceDE w:val="0"/>
        <w:autoSpaceDN w:val="0"/>
        <w:adjustRightInd w:val="0"/>
        <w:spacing w:before="0" w:after="0"/>
        <w:rPr>
          <w:rFonts w:eastAsia="Arial Unicode MS"/>
          <w:noProof/>
        </w:rPr>
      </w:pPr>
      <w:r>
        <w:rPr>
          <w:noProof/>
        </w:rPr>
        <w:t xml:space="preserve">L’intervention de l’Union est justifiée par l’article 214, paragraphe 3, du traité sur le fonctionnement de l’Union européenne. </w:t>
      </w:r>
    </w:p>
    <w:p>
      <w:pPr>
        <w:autoSpaceDE w:val="0"/>
        <w:autoSpaceDN w:val="0"/>
        <w:adjustRightInd w:val="0"/>
        <w:spacing w:before="0" w:after="0"/>
        <w:jc w:val="left"/>
        <w:rPr>
          <w:rFonts w:eastAsia="Arial Unicode MS"/>
          <w:noProof/>
        </w:rPr>
      </w:pP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et proportionnalité </w:t>
      </w:r>
    </w:p>
    <w:p>
      <w:pPr>
        <w:pBdr>
          <w:top w:val="nil"/>
          <w:left w:val="nil"/>
          <w:bottom w:val="nil"/>
          <w:right w:val="nil"/>
          <w:between w:val="nil"/>
          <w:bar w:val="nil"/>
        </w:pBdr>
        <w:spacing w:before="0" w:after="240"/>
        <w:rPr>
          <w:rFonts w:eastAsia="Arial Unicode MS"/>
          <w:noProof/>
        </w:rPr>
      </w:pPr>
      <w:r>
        <w:rPr>
          <w:noProof/>
        </w:rPr>
        <w:t>L’exposé des motifs de la proposition de règlement établissant l’instrument de l’Union européenne pour la relance détaille les considérations relatives à la subsidiarité et à la proportionnalité.</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Choix de l’instrument</w:t>
      </w:r>
    </w:p>
    <w:p>
      <w:pPr>
        <w:autoSpaceDE w:val="0"/>
        <w:autoSpaceDN w:val="0"/>
        <w:adjustRightInd w:val="0"/>
        <w:spacing w:before="0" w:after="0"/>
        <w:rPr>
          <w:rFonts w:eastAsia="Arial Unicode MS"/>
          <w:bCs/>
          <w:noProof/>
        </w:rPr>
      </w:pPr>
      <w:r>
        <w:rPr>
          <w:noProof/>
        </w:rPr>
        <w:t>Le présent règlement modifie le règlement (CE) nº 1257/96 du 20 juin 1996 concernant l’aide humanitaire.</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Style w:val="ManualHeading2"/>
        <w:tabs>
          <w:tab w:val="clear" w:pos="850"/>
          <w:tab w:val="left" w:pos="0"/>
        </w:tabs>
        <w:ind w:left="0" w:firstLine="0"/>
        <w:rPr>
          <w:rFonts w:eastAsia="Arial Unicode MS"/>
          <w:b w:val="0"/>
          <w:noProof/>
          <w:u w:color="000000"/>
          <w:bdr w:val="nil"/>
        </w:rPr>
      </w:pPr>
      <w:r>
        <w:rPr>
          <w:b w:val="0"/>
          <w:noProof/>
        </w:rPr>
        <w:t>L’annexe 8 du document de travail des services de la Commission SWD(2018) 337 final</w:t>
      </w:r>
      <w:r>
        <w:rPr>
          <w:rStyle w:val="FootnoteReference"/>
          <w:b w:val="0"/>
          <w:noProof/>
          <w:lang w:eastAsia="en-GB"/>
        </w:rPr>
        <w:footnoteReference w:id="2"/>
      </w:r>
      <w:r>
        <w:rPr>
          <w:b w:val="0"/>
          <w:noProof/>
        </w:rPr>
        <w:t xml:space="preserve"> fournit des informations supplémentaires. Des informations supplémentaires sur la consultation des parties intéressées concernant l’aide humanitaire sont également disponibles sur internet</w:t>
      </w:r>
      <w:r>
        <w:rPr>
          <w:rStyle w:val="FootnoteReference"/>
          <w:rFonts w:eastAsia="Arial Unicode MS"/>
          <w:b w:val="0"/>
          <w:noProof/>
          <w:u w:color="000000"/>
          <w:bdr w:val="nil"/>
          <w:lang w:eastAsia="en-GB"/>
        </w:rPr>
        <w:footnoteReference w:id="3"/>
      </w:r>
      <w:r>
        <w:rPr>
          <w:b w:val="0"/>
          <w:noProof/>
        </w:rPr>
        <w:t>.</w:t>
      </w:r>
    </w:p>
    <w:p>
      <w:pPr>
        <w:pStyle w:val="ManualHeading2"/>
        <w:rPr>
          <w:rFonts w:eastAsia="Arial Unicode MS"/>
          <w:noProof/>
          <w:u w:color="000000"/>
          <w:bdr w:val="nil"/>
          <w:lang w:eastAsia="en-GB"/>
        </w:rPr>
      </w:pP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et analyses d’impact</w:t>
      </w:r>
    </w:p>
    <w:p>
      <w:pPr>
        <w:pStyle w:val="ManualHeading1"/>
        <w:ind w:left="0" w:firstLine="0"/>
        <w:rPr>
          <w:b w:val="0"/>
          <w:smallCaps w:val="0"/>
          <w:noProof/>
        </w:rPr>
      </w:pPr>
      <w:r>
        <w:rPr>
          <w:b w:val="0"/>
          <w:smallCaps w:val="0"/>
          <w:noProof/>
        </w:rPr>
        <w:t>L’annexe 8 du document de travail des services de la Commission SWD(2018) 337 final fournit des informations supplémentaires. Des évaluations de l’aide humanitaire sont aussi effectuées régulièrement et sont disponibles sur l’internet</w:t>
      </w:r>
      <w:r>
        <w:rPr>
          <w:rStyle w:val="FootnoteReference"/>
          <w:b w:val="0"/>
          <w:smallCaps w:val="0"/>
          <w:noProof/>
          <w:lang w:eastAsia="en-GB"/>
        </w:rPr>
        <w:footnoteReference w:id="4"/>
      </w:r>
      <w:r>
        <w:rPr>
          <w:b w:val="0"/>
          <w:smallCaps w:val="0"/>
          <w:noProof/>
        </w:rPr>
        <w:t>.</w:t>
      </w:r>
      <w:r>
        <w:rPr>
          <w:noProof/>
        </w:rPr>
        <w:t xml:space="preserve">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L’Union mettra à disposition des fonds pour la mise en œuvre du programme d’aide humanitaire.  Un montant de 5 468 000 000 EUR (en prix courants) proviendra</w:t>
      </w:r>
      <w:r>
        <w:rPr>
          <w:noProof/>
          <w:szCs w:val="24"/>
          <w:shd w:val="clear" w:color="auto" w:fill="FFFFFF"/>
        </w:rPr>
        <w:t xml:space="preserve"> d’un financement de l’instrument de l’Union européenne pour la relance</w:t>
      </w:r>
      <w:r>
        <w:rPr>
          <w:noProof/>
        </w:rPr>
        <w:t>.</w:t>
      </w:r>
    </w:p>
    <w:p>
      <w:pPr>
        <w:pBdr>
          <w:top w:val="nil"/>
          <w:left w:val="nil"/>
          <w:bottom w:val="nil"/>
          <w:right w:val="nil"/>
          <w:between w:val="nil"/>
          <w:bar w:val="nil"/>
        </w:pBdr>
        <w:spacing w:before="0" w:after="240"/>
        <w:rPr>
          <w:rFonts w:eastAsia="Arial Unicode MS"/>
          <w:noProof/>
        </w:rPr>
      </w:pPr>
      <w:r>
        <w:rPr>
          <w:noProof/>
        </w:rPr>
        <w:t>De plus amples détails sur l’incidence budgétaire sont fournis dans la fiche financière législative.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autoSpaceDE w:val="0"/>
        <w:autoSpaceDN w:val="0"/>
        <w:adjustRightInd w:val="0"/>
        <w:spacing w:before="0" w:after="0"/>
        <w:rPr>
          <w:rFonts w:eastAsia="Arial Unicode MS"/>
          <w:bCs/>
          <w:noProof/>
        </w:rPr>
      </w:pPr>
      <w:r>
        <w:rPr>
          <w:noProof/>
        </w:rPr>
        <w:t>Le cadre juridique consiste en des modifications ciblées du règlement (CE) n° 1257/96 du 20 juin 1996 concernant l’aide humanitaire.</w:t>
      </w:r>
    </w:p>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rFonts w:eastAsia="Arial Unicode MS"/>
          <w:noProof/>
        </w:rPr>
      </w:pPr>
      <w:r>
        <w:rPr>
          <w:noProof/>
        </w:rPr>
        <w:t xml:space="preserve">Les principales modifications introduites visent à:  </w:t>
      </w:r>
    </w:p>
    <w:p>
      <w:pPr>
        <w:pStyle w:val="Tiret0"/>
        <w:numPr>
          <w:ilvl w:val="0"/>
          <w:numId w:val="17"/>
        </w:numPr>
        <w:rPr>
          <w:noProof/>
        </w:rPr>
      </w:pPr>
      <w:r>
        <w:rPr>
          <w:noProof/>
        </w:rPr>
        <w:t>permettre la mise en œuvre des mesures prévues dans la proposition de règlement établissant l’instrument de l’Union européenne pour la relance au moyen des mécanismes de fourniture de l’aide humanitaire;</w:t>
      </w:r>
    </w:p>
    <w:p>
      <w:pPr>
        <w:pStyle w:val="Tiret0"/>
        <w:rPr>
          <w:noProof/>
        </w:rPr>
      </w:pPr>
      <w:r>
        <w:rPr>
          <w:noProof/>
        </w:rPr>
        <w:lastRenderedPageBreak/>
        <w:t>permettre un financement provenant de l’instrument de l’Union européenne pour la relance en tant que recettes affectées externes, conformément à l’article 21, paragraphe 5, du règlement financier;</w:t>
      </w:r>
    </w:p>
    <w:p>
      <w:pPr>
        <w:pStyle w:val="Tiret0"/>
        <w:rPr>
          <w:noProof/>
        </w:rPr>
      </w:pPr>
      <w:r>
        <w:rPr>
          <w:noProof/>
        </w:rPr>
        <w:t>garantir le respect des délais fixés à l’article 4 de la proposition de règlement établissant un instrument de l’Union européenne pour la relance grâce à des renvois appropriés.</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2020/0110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modifiant le règlement (CE) nº 1257/96 du 20 juin 1996 concernant l’aide humanitaire       </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214, paragraphe 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La crise engendrée par la pandémie de COVID-19 a des incidences majeures sur les sociétés dans le monde, en premier lieu sur les systèmes de santé, et a de graves conséquences sociales et économiques à l’échelle mondiale tout en suscitant ou en aggravant des besoins humanitaires. </w:t>
      </w:r>
    </w:p>
    <w:p>
      <w:pPr>
        <w:pStyle w:val="ManualConsidrant"/>
        <w:rPr>
          <w:noProof/>
        </w:rPr>
      </w:pPr>
      <w:r>
        <w:t>(2)</w:t>
      </w:r>
      <w:r>
        <w:tab/>
      </w:r>
      <w:r>
        <w:rPr>
          <w:noProof/>
        </w:rPr>
        <w:t>Les pays tiers dotés d’institutions étatiques faibles sont particulièrement vulnérables face aux effets de la pandémie. Cette situation exige et exigera de plus en plus des acteurs de l’</w:t>
      </w:r>
      <w:r>
        <w:rPr>
          <w:rStyle w:val="highlight"/>
          <w:noProof/>
        </w:rPr>
        <w:t>aide humanitaire</w:t>
      </w:r>
      <w:r>
        <w:rPr>
          <w:noProof/>
        </w:rPr>
        <w:t xml:space="preserve"> qu’ils fournissent une réponse efficace, efficiente et cohérente et viennent en aide aux communautés locales de pays tiers. La stratégie de riposte de l’Union devrait être globale, cohérente et intégrée, en permettant de s’attaquer aux défis socio-économiques et de santé publique et de répondre aux besoins humanitaires. Les pays et les populations vulnérables, en particulier, sont menacés et ont besoin d’assistance, d’aide et de protection.     </w:t>
      </w:r>
    </w:p>
    <w:p>
      <w:pPr>
        <w:pStyle w:val="ManualConsidrant"/>
        <w:rPr>
          <w:noProof/>
        </w:rPr>
      </w:pPr>
      <w:r>
        <w:t>(3)</w:t>
      </w:r>
      <w:r>
        <w:tab/>
      </w:r>
      <w:r>
        <w:rPr>
          <w:noProof/>
        </w:rPr>
        <w:t>Conformément au règlement [instrument de l’Union européenne pour la relance] et dans les limites des ressources qui y sont affectées, des mesures en faveur de la reprise et de la résilience relevant du domaine de l’aide humanitaire devraient être mises en œuvre pour faire face à l’impact sans précédent de la crise de la COVID-19.  Ces ressources supplémentaires devraient être utilisées de manière à garantir le respect des délais prévus par le règlement [ERI].   </w:t>
      </w:r>
    </w:p>
    <w:p>
      <w:pPr>
        <w:pStyle w:val="ManualConsidrant"/>
        <w:rPr>
          <w:noProof/>
        </w:rPr>
      </w:pPr>
      <w:r>
        <w:t>(4)</w:t>
      </w:r>
      <w:r>
        <w:tab/>
      </w:r>
      <w:r>
        <w:rPr>
          <w:noProof/>
        </w:rPr>
        <w:t>Il convient dès lors de modifier le règlement (CE) n° 1257/96 en conséquence,</w:t>
      </w:r>
    </w:p>
    <w:p>
      <w:pPr>
        <w:rPr>
          <w:noProof/>
        </w:rPr>
      </w:pP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(CE) n° 1257/96 est modifié comme suit:</w:t>
      </w:r>
    </w:p>
    <w:p>
      <w:pPr>
        <w:rPr>
          <w:noProof/>
        </w:rPr>
      </w:pPr>
    </w:p>
    <w:p>
      <w:pPr>
        <w:pStyle w:val="Point0"/>
        <w:rPr>
          <w:noProof/>
        </w:rPr>
      </w:pPr>
      <w:r>
        <w:t>(1)</w:t>
      </w:r>
      <w:r>
        <w:tab/>
      </w:r>
      <w:r>
        <w:rPr>
          <w:noProof/>
        </w:rPr>
        <w:t xml:space="preserve">L’article 14 </w:t>
      </w:r>
      <w:r>
        <w:rPr>
          <w:i/>
          <w:noProof/>
        </w:rPr>
        <w:t>bis</w:t>
      </w:r>
      <w:r>
        <w:rPr>
          <w:noProof/>
        </w:rPr>
        <w:t xml:space="preserve"> suivant est inséré:</w:t>
      </w:r>
    </w:p>
    <w:p>
      <w:pPr>
        <w:pStyle w:val="Text1"/>
        <w:rPr>
          <w:noProof/>
        </w:rPr>
      </w:pPr>
      <w:r>
        <w:rPr>
          <w:noProof/>
        </w:rPr>
        <w:t xml:space="preserve">«Article 14 </w:t>
      </w:r>
      <w:r>
        <w:rPr>
          <w:i/>
          <w:noProof/>
        </w:rPr>
        <w:t>bis</w:t>
      </w:r>
    </w:p>
    <w:p>
      <w:pPr>
        <w:pStyle w:val="Text1"/>
        <w:rPr>
          <w:b/>
          <w:noProof/>
        </w:rPr>
      </w:pPr>
      <w:r>
        <w:rPr>
          <w:b/>
          <w:noProof/>
        </w:rPr>
        <w:lastRenderedPageBreak/>
        <w:t>Ressources provenant de l’instrument de l’Union européenne pour la relance</w:t>
      </w:r>
    </w:p>
    <w:p>
      <w:pPr>
        <w:pStyle w:val="Text1"/>
        <w:rPr>
          <w:noProof/>
        </w:rPr>
      </w:pPr>
      <w:r>
        <w:rPr>
          <w:noProof/>
        </w:rPr>
        <w:t xml:space="preserve">Les mesures visées à l’article 2 du règlement [ERI] sont mises en œuvre au titre du présent programme au moyen des montants visés à l’article 3, paragraphe 2, lettre a), point vii), dudit règlement, sous réserve de son article 4, paragraphes 4 et 8.  </w:t>
      </w:r>
    </w:p>
    <w:p>
      <w:pPr>
        <w:pStyle w:val="Text1"/>
        <w:rPr>
          <w:noProof/>
        </w:rPr>
      </w:pPr>
      <w:r>
        <w:rPr>
          <w:noProof/>
        </w:rPr>
        <w:t>Ces montants constituent des recettes affectées externes conformément à l’article 21, paragraphe 5, du règlement financier.»</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les États membres conformément aux traités.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bookmarkStart w:id="1" w:name="_Toc514941970"/>
      <w:r>
        <w:rPr>
          <w:noProof/>
        </w:rPr>
        <w:lastRenderedPageBreak/>
        <w:t>FICHE FINANCIÈRE LÉGISLATIVE</w:t>
      </w:r>
    </w:p>
    <w:p>
      <w:pPr>
        <w:pStyle w:val="TOC1"/>
        <w:rPr>
          <w:rFonts w:asciiTheme="minorHAnsi" w:eastAsiaTheme="minorEastAsia" w:hAnsiTheme="minorHAnsi" w:cstheme="minorBidi"/>
          <w:noProof/>
          <w:sz w:val="22"/>
          <w:lang w:val="en-US"/>
        </w:rPr>
      </w:pPr>
      <w:r>
        <w:rPr>
          <w:noProof/>
        </w:rPr>
        <w:fldChar w:fldCharType="begin"/>
      </w:r>
      <w:r>
        <w:rPr>
          <w:noProof/>
        </w:rPr>
        <w:instrText xml:space="preserve"> TOC \h \z \t "Heading 1;1;Heading 2;2;Heading 3;3;Hear;3" </w:instrText>
      </w:r>
      <w:r>
        <w:rPr>
          <w:noProof/>
        </w:rPr>
        <w:fldChar w:fldCharType="separate"/>
      </w:r>
      <w:hyperlink w:anchor="_Toc41647970" w:history="1">
        <w:r>
          <w:rPr>
            <w:rStyle w:val="Hyperlink"/>
            <w:noProof/>
          </w:rPr>
          <w:t>1.</w:t>
        </w:r>
        <w:r>
          <w:rPr>
            <w:rFonts w:asciiTheme="minorHAnsi" w:eastAsiaTheme="minorEastAsia" w:hAnsiTheme="minorHAnsi" w:cstheme="minorBidi"/>
            <w:noProof/>
            <w:sz w:val="22"/>
            <w:lang w:val="en-US"/>
          </w:rPr>
          <w:tab/>
        </w:r>
        <w:r>
          <w:rPr>
            <w:rStyle w:val="Hyperlink"/>
            <w:noProof/>
          </w:rPr>
          <w:t>CADRE DE LA PROPOSITION/DE L’INITIATIVE</w:t>
        </w:r>
        <w:r>
          <w:rPr>
            <w:noProof/>
            <w:webHidden/>
          </w:rPr>
          <w:tab/>
        </w:r>
        <w:r>
          <w:rPr>
            <w:noProof/>
            <w:webHidden/>
          </w:rPr>
          <w:fldChar w:fldCharType="begin"/>
        </w:r>
        <w:r>
          <w:rPr>
            <w:noProof/>
            <w:webHidden/>
          </w:rPr>
          <w:instrText xml:space="preserve"> PAGEREF _Toc41647970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41647971" w:history="1">
        <w:r>
          <w:rPr>
            <w:rStyle w:val="Hyperlink"/>
            <w:noProof/>
          </w:rPr>
          <w:t>1.1.</w:t>
        </w:r>
        <w:r>
          <w:rPr>
            <w:rFonts w:asciiTheme="minorHAnsi" w:eastAsiaTheme="minorEastAsia" w:hAnsiTheme="minorHAnsi" w:cstheme="minorBidi"/>
            <w:noProof/>
            <w:sz w:val="22"/>
            <w:lang w:val="en-US"/>
          </w:rPr>
          <w:tab/>
        </w:r>
        <w:r>
          <w:rPr>
            <w:rStyle w:val="Hyperlink"/>
            <w:noProof/>
          </w:rPr>
          <w:t>Dénomination de la proposition/de l’initiative</w:t>
        </w:r>
        <w:r>
          <w:rPr>
            <w:noProof/>
            <w:webHidden/>
          </w:rPr>
          <w:tab/>
        </w:r>
        <w:r>
          <w:rPr>
            <w:noProof/>
            <w:webHidden/>
          </w:rPr>
          <w:fldChar w:fldCharType="begin"/>
        </w:r>
        <w:r>
          <w:rPr>
            <w:noProof/>
            <w:webHidden/>
          </w:rPr>
          <w:instrText xml:space="preserve"> PAGEREF _Toc41647971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41647972" w:history="1">
        <w:r>
          <w:rPr>
            <w:rStyle w:val="Hyperlink"/>
            <w:noProof/>
          </w:rPr>
          <w:t>1.2</w:t>
        </w:r>
        <w:r>
          <w:rPr>
            <w:rStyle w:val="Hyperlink"/>
            <w:i/>
            <w:noProof/>
          </w:rPr>
          <w:t>.</w:t>
        </w:r>
        <w:r>
          <w:rPr>
            <w:rFonts w:asciiTheme="minorHAnsi" w:eastAsiaTheme="minorEastAsia" w:hAnsiTheme="minorHAnsi" w:cstheme="minorBidi"/>
            <w:noProof/>
            <w:sz w:val="22"/>
            <w:lang w:val="en-US"/>
          </w:rPr>
          <w:tab/>
        </w:r>
        <w:r>
          <w:rPr>
            <w:rStyle w:val="Hyperlink"/>
            <w:noProof/>
          </w:rPr>
          <w:t>Domaine(s) politique(s) concerné(s) (groupe de programmes)</w:t>
        </w:r>
        <w:r>
          <w:rPr>
            <w:noProof/>
            <w:webHidden/>
          </w:rPr>
          <w:tab/>
        </w:r>
        <w:r>
          <w:rPr>
            <w:noProof/>
            <w:webHidden/>
          </w:rPr>
          <w:fldChar w:fldCharType="begin"/>
        </w:r>
        <w:r>
          <w:rPr>
            <w:noProof/>
            <w:webHidden/>
          </w:rPr>
          <w:instrText xml:space="preserve"> PAGEREF _Toc41647972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41647973" w:history="1">
        <w:r>
          <w:rPr>
            <w:rStyle w:val="Hyperlink"/>
            <w:noProof/>
          </w:rPr>
          <w:t>1.3.</w:t>
        </w:r>
        <w:r>
          <w:rPr>
            <w:rFonts w:asciiTheme="minorHAnsi" w:eastAsiaTheme="minorEastAsia" w:hAnsiTheme="minorHAnsi" w:cstheme="minorBidi"/>
            <w:noProof/>
            <w:sz w:val="22"/>
            <w:lang w:val="en-US"/>
          </w:rPr>
          <w:tab/>
        </w:r>
        <w:r>
          <w:rPr>
            <w:rStyle w:val="Hyperlink"/>
            <w:noProof/>
          </w:rPr>
          <w:t>La proposition/l’initiative porte sur:</w:t>
        </w:r>
        <w:r>
          <w:rPr>
            <w:noProof/>
            <w:webHidden/>
          </w:rPr>
          <w:tab/>
        </w:r>
        <w:r>
          <w:rPr>
            <w:noProof/>
            <w:webHidden/>
          </w:rPr>
          <w:fldChar w:fldCharType="begin"/>
        </w:r>
        <w:r>
          <w:rPr>
            <w:noProof/>
            <w:webHidden/>
          </w:rPr>
          <w:instrText xml:space="preserve"> PAGEREF _Toc41647973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41647974" w:history="1">
        <w:r>
          <w:rPr>
            <w:rStyle w:val="Hyperlink"/>
            <w:noProof/>
          </w:rPr>
          <w:t>1.4.</w:t>
        </w:r>
        <w:r>
          <w:rPr>
            <w:rFonts w:asciiTheme="minorHAnsi" w:eastAsiaTheme="minorEastAsia" w:hAnsiTheme="minorHAnsi" w:cstheme="minorBidi"/>
            <w:noProof/>
            <w:sz w:val="22"/>
            <w:lang w:val="en-US"/>
          </w:rPr>
          <w:tab/>
        </w:r>
        <w:r>
          <w:rPr>
            <w:rStyle w:val="Hyperlink"/>
            <w:noProof/>
          </w:rPr>
          <w:t>Justification(s) de la proposition/de l’initiative</w:t>
        </w:r>
        <w:r>
          <w:rPr>
            <w:noProof/>
            <w:webHidden/>
          </w:rPr>
          <w:tab/>
        </w:r>
        <w:r>
          <w:rPr>
            <w:noProof/>
            <w:webHidden/>
          </w:rPr>
          <w:fldChar w:fldCharType="begin"/>
        </w:r>
        <w:r>
          <w:rPr>
            <w:noProof/>
            <w:webHidden/>
          </w:rPr>
          <w:instrText xml:space="preserve"> PAGEREF _Toc41647974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val="en-US"/>
        </w:rPr>
      </w:pPr>
      <w:hyperlink w:anchor="_Toc41647975" w:history="1">
        <w:r>
          <w:rPr>
            <w:rStyle w:val="Hyperlink"/>
            <w:noProof/>
          </w:rPr>
          <w:t>1.4.1.</w:t>
        </w:r>
        <w:r>
          <w:rPr>
            <w:rFonts w:asciiTheme="minorHAnsi" w:eastAsiaTheme="minorEastAsia" w:hAnsiTheme="minorHAnsi" w:cstheme="minorBidi"/>
            <w:noProof/>
            <w:sz w:val="22"/>
            <w:lang w:val="en-US"/>
          </w:rPr>
          <w:tab/>
        </w:r>
        <w:r>
          <w:rPr>
            <w:rStyle w:val="Hyperlink"/>
            <w:noProof/>
          </w:rPr>
          <w:t>Besoin(s) à satisfaire à court ou à long terme, assorti(s) d’un calendrier détaillé pour la mise en œuvre de l’initiative</w:t>
        </w:r>
        <w:r>
          <w:rPr>
            <w:noProof/>
            <w:webHidden/>
          </w:rPr>
          <w:tab/>
        </w:r>
        <w:r>
          <w:rPr>
            <w:noProof/>
            <w:webHidden/>
          </w:rPr>
          <w:fldChar w:fldCharType="begin"/>
        </w:r>
        <w:r>
          <w:rPr>
            <w:noProof/>
            <w:webHidden/>
          </w:rPr>
          <w:instrText xml:space="preserve"> PAGEREF _Toc41647975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val="en-US"/>
        </w:rPr>
      </w:pPr>
      <w:hyperlink w:anchor="_Toc41647976" w:history="1">
        <w:r>
          <w:rPr>
            <w:rStyle w:val="Hyperlink"/>
            <w:noProof/>
          </w:rPr>
          <w:t>1.4.2.</w:t>
        </w:r>
        <w:r>
          <w:rPr>
            <w:rFonts w:asciiTheme="minorHAnsi" w:eastAsiaTheme="minorEastAsia" w:hAnsiTheme="minorHAnsi" w:cstheme="minorBidi"/>
            <w:noProof/>
            <w:sz w:val="22"/>
            <w:lang w:val="en-US"/>
          </w:rPr>
          <w:tab/>
        </w:r>
        <w:r>
          <w:rPr>
            <w:rStyle w:val="Hyperlink"/>
            <w:noProof/>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r>
          <w:rPr>
            <w:noProof/>
            <w:webHidden/>
          </w:rPr>
          <w:tab/>
        </w:r>
        <w:r>
          <w:rPr>
            <w:noProof/>
            <w:webHidden/>
          </w:rPr>
          <w:fldChar w:fldCharType="begin"/>
        </w:r>
        <w:r>
          <w:rPr>
            <w:noProof/>
            <w:webHidden/>
          </w:rPr>
          <w:instrText xml:space="preserve"> PAGEREF _Toc41647976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val="en-US"/>
        </w:rPr>
      </w:pPr>
      <w:hyperlink w:anchor="_Toc41647977" w:history="1">
        <w:r>
          <w:rPr>
            <w:rStyle w:val="Hyperlink"/>
            <w:noProof/>
          </w:rPr>
          <w:t>1.4.3.</w:t>
        </w:r>
        <w:r>
          <w:rPr>
            <w:rFonts w:asciiTheme="minorHAnsi" w:eastAsiaTheme="minorEastAsia" w:hAnsiTheme="minorHAnsi" w:cstheme="minorBidi"/>
            <w:noProof/>
            <w:sz w:val="22"/>
            <w:lang w:val="en-US"/>
          </w:rPr>
          <w:tab/>
        </w:r>
        <w:r>
          <w:rPr>
            <w:rStyle w:val="Hyperlink"/>
            <w:noProof/>
          </w:rPr>
          <w:t>Leçons tirées d'expériences similaires</w:t>
        </w:r>
        <w:r>
          <w:rPr>
            <w:noProof/>
            <w:webHidden/>
          </w:rPr>
          <w:tab/>
        </w:r>
        <w:r>
          <w:rPr>
            <w:noProof/>
            <w:webHidden/>
          </w:rPr>
          <w:fldChar w:fldCharType="begin"/>
        </w:r>
        <w:r>
          <w:rPr>
            <w:noProof/>
            <w:webHidden/>
          </w:rPr>
          <w:instrText xml:space="preserve"> PAGEREF _Toc41647977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val="en-US"/>
        </w:rPr>
      </w:pPr>
      <w:hyperlink w:anchor="_Toc41647978" w:history="1">
        <w:r>
          <w:rPr>
            <w:rStyle w:val="Hyperlink"/>
            <w:noProof/>
          </w:rPr>
          <w:t>1.4.4.</w:t>
        </w:r>
        <w:r>
          <w:rPr>
            <w:rFonts w:asciiTheme="minorHAnsi" w:eastAsiaTheme="minorEastAsia" w:hAnsiTheme="minorHAnsi" w:cstheme="minorBidi"/>
            <w:noProof/>
            <w:sz w:val="22"/>
            <w:lang w:val="en-US"/>
          </w:rPr>
          <w:tab/>
        </w:r>
        <w:r>
          <w:rPr>
            <w:rStyle w:val="Hyperlink"/>
            <w:noProof/>
          </w:rPr>
          <w:t>Compatibilité et synergie éventuelle avec d'autres instruments appropriés</w:t>
        </w:r>
        <w:r>
          <w:rPr>
            <w:noProof/>
            <w:webHidden/>
          </w:rPr>
          <w:tab/>
        </w:r>
        <w:r>
          <w:rPr>
            <w:noProof/>
            <w:webHidden/>
          </w:rPr>
          <w:fldChar w:fldCharType="begin"/>
        </w:r>
        <w:r>
          <w:rPr>
            <w:noProof/>
            <w:webHidden/>
          </w:rPr>
          <w:instrText xml:space="preserve"> PAGEREF _Toc41647978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US"/>
        </w:rPr>
      </w:pPr>
      <w:hyperlink w:anchor="_Toc41647979" w:history="1">
        <w:r>
          <w:rPr>
            <w:rStyle w:val="Hyperlink"/>
            <w:noProof/>
          </w:rPr>
          <w:t>1.5.</w:t>
        </w:r>
        <w:r>
          <w:rPr>
            <w:rFonts w:asciiTheme="minorHAnsi" w:eastAsiaTheme="minorEastAsia" w:hAnsiTheme="minorHAnsi" w:cstheme="minorBidi"/>
            <w:noProof/>
            <w:sz w:val="22"/>
            <w:lang w:val="en-US"/>
          </w:rPr>
          <w:tab/>
        </w:r>
        <w:r>
          <w:rPr>
            <w:rStyle w:val="Hyperlink"/>
            <w:noProof/>
          </w:rPr>
          <w:t>Durée et incidence financière</w:t>
        </w:r>
        <w:r>
          <w:rPr>
            <w:noProof/>
            <w:webHidden/>
          </w:rPr>
          <w:tab/>
        </w:r>
        <w:r>
          <w:rPr>
            <w:noProof/>
            <w:webHidden/>
          </w:rPr>
          <w:fldChar w:fldCharType="begin"/>
        </w:r>
        <w:r>
          <w:rPr>
            <w:noProof/>
            <w:webHidden/>
          </w:rPr>
          <w:instrText xml:space="preserve"> PAGEREF _Toc41647979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41647980" w:history="1">
        <w:r>
          <w:rPr>
            <w:rStyle w:val="Hyperlink"/>
            <w:noProof/>
          </w:rPr>
          <w:t>1.6.</w:t>
        </w:r>
        <w:r>
          <w:rPr>
            <w:rFonts w:asciiTheme="minorHAnsi" w:eastAsiaTheme="minorEastAsia" w:hAnsiTheme="minorHAnsi" w:cstheme="minorBidi"/>
            <w:noProof/>
            <w:sz w:val="22"/>
            <w:lang w:val="en-US"/>
          </w:rPr>
          <w:tab/>
        </w:r>
        <w:r>
          <w:rPr>
            <w:rStyle w:val="Hyperlink"/>
            <w:noProof/>
          </w:rPr>
          <w:t>Mode(s) de gestion prévu(s)</w:t>
        </w:r>
        <w:r>
          <w:rPr>
            <w:noProof/>
            <w:webHidden/>
          </w:rPr>
          <w:tab/>
        </w:r>
        <w:r>
          <w:rPr>
            <w:noProof/>
            <w:webHidden/>
          </w:rPr>
          <w:fldChar w:fldCharType="begin"/>
        </w:r>
        <w:r>
          <w:rPr>
            <w:noProof/>
            <w:webHidden/>
          </w:rPr>
          <w:instrText xml:space="preserve"> PAGEREF _Toc41647980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val="en-US"/>
        </w:rPr>
      </w:pPr>
      <w:hyperlink w:anchor="_Toc41647981" w:history="1">
        <w:r>
          <w:rPr>
            <w:rStyle w:val="Hyperlink"/>
            <w:noProof/>
          </w:rPr>
          <w:t>2.</w:t>
        </w:r>
        <w:r>
          <w:rPr>
            <w:rFonts w:asciiTheme="minorHAnsi" w:eastAsiaTheme="minorEastAsia" w:hAnsiTheme="minorHAnsi" w:cstheme="minorBidi"/>
            <w:noProof/>
            <w:sz w:val="22"/>
            <w:lang w:val="en-US"/>
          </w:rPr>
          <w:tab/>
        </w:r>
        <w:r>
          <w:rPr>
            <w:rStyle w:val="Hyperlink"/>
            <w:noProof/>
          </w:rPr>
          <w:t>MESURES DE GESTION</w:t>
        </w:r>
        <w:r>
          <w:rPr>
            <w:noProof/>
            <w:webHidden/>
          </w:rPr>
          <w:tab/>
        </w:r>
        <w:r>
          <w:rPr>
            <w:noProof/>
            <w:webHidden/>
          </w:rPr>
          <w:fldChar w:fldCharType="begin"/>
        </w:r>
        <w:r>
          <w:rPr>
            <w:noProof/>
            <w:webHidden/>
          </w:rPr>
          <w:instrText xml:space="preserve"> PAGEREF _Toc41647981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rPr>
      </w:pPr>
      <w:hyperlink w:anchor="_Toc41647982" w:history="1">
        <w:r>
          <w:rPr>
            <w:rStyle w:val="Hyperlink"/>
            <w:noProof/>
          </w:rPr>
          <w:t>2.1.</w:t>
        </w:r>
        <w:r>
          <w:rPr>
            <w:rFonts w:asciiTheme="minorHAnsi" w:eastAsiaTheme="minorEastAsia" w:hAnsiTheme="minorHAnsi" w:cstheme="minorBidi"/>
            <w:noProof/>
            <w:sz w:val="22"/>
            <w:lang w:val="en-US"/>
          </w:rPr>
          <w:tab/>
        </w:r>
        <w:r>
          <w:rPr>
            <w:rStyle w:val="Hyperlink"/>
            <w:noProof/>
          </w:rPr>
          <w:t>Dispositions en matière de suivi et de compte rendu</w:t>
        </w:r>
        <w:r>
          <w:rPr>
            <w:noProof/>
            <w:webHidden/>
          </w:rPr>
          <w:tab/>
        </w:r>
        <w:r>
          <w:rPr>
            <w:noProof/>
            <w:webHidden/>
          </w:rPr>
          <w:fldChar w:fldCharType="begin"/>
        </w:r>
        <w:r>
          <w:rPr>
            <w:noProof/>
            <w:webHidden/>
          </w:rPr>
          <w:instrText xml:space="preserve"> PAGEREF _Toc41647982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rPr>
      </w:pPr>
      <w:hyperlink w:anchor="_Toc41647983" w:history="1">
        <w:r>
          <w:rPr>
            <w:rStyle w:val="Hyperlink"/>
            <w:noProof/>
          </w:rPr>
          <w:t>2.2.</w:t>
        </w:r>
        <w:r>
          <w:rPr>
            <w:rFonts w:asciiTheme="minorHAnsi" w:eastAsiaTheme="minorEastAsia" w:hAnsiTheme="minorHAnsi" w:cstheme="minorBidi"/>
            <w:noProof/>
            <w:sz w:val="22"/>
            <w:lang w:val="en-US"/>
          </w:rPr>
          <w:tab/>
        </w:r>
        <w:r>
          <w:rPr>
            <w:rStyle w:val="Hyperlink"/>
            <w:noProof/>
          </w:rPr>
          <w:t>Système(s) de gestion et de contrôle</w:t>
        </w:r>
        <w:r>
          <w:rPr>
            <w:noProof/>
            <w:webHidden/>
          </w:rPr>
          <w:tab/>
        </w:r>
        <w:r>
          <w:rPr>
            <w:noProof/>
            <w:webHidden/>
          </w:rPr>
          <w:fldChar w:fldCharType="begin"/>
        </w:r>
        <w:r>
          <w:rPr>
            <w:noProof/>
            <w:webHidden/>
          </w:rPr>
          <w:instrText xml:space="preserve"> PAGEREF _Toc41647983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rPr>
      </w:pPr>
      <w:hyperlink w:anchor="_Toc41647984" w:history="1">
        <w:r>
          <w:rPr>
            <w:rStyle w:val="Hyperlink"/>
            <w:noProof/>
          </w:rPr>
          <w:t>2.3.</w:t>
        </w:r>
        <w:r>
          <w:rPr>
            <w:rFonts w:asciiTheme="minorHAnsi" w:eastAsiaTheme="minorEastAsia" w:hAnsiTheme="minorHAnsi" w:cstheme="minorBidi"/>
            <w:noProof/>
            <w:sz w:val="22"/>
            <w:lang w:val="en-US"/>
          </w:rPr>
          <w:tab/>
        </w:r>
        <w:r>
          <w:rPr>
            <w:rStyle w:val="Hyperlink"/>
            <w:noProof/>
          </w:rPr>
          <w:t>Mesures de prévention des fraudes et irrégularités</w:t>
        </w:r>
        <w:r>
          <w:rPr>
            <w:noProof/>
            <w:webHidden/>
          </w:rPr>
          <w:tab/>
        </w:r>
        <w:r>
          <w:rPr>
            <w:noProof/>
            <w:webHidden/>
          </w:rPr>
          <w:fldChar w:fldCharType="begin"/>
        </w:r>
        <w:r>
          <w:rPr>
            <w:noProof/>
            <w:webHidden/>
          </w:rPr>
          <w:instrText xml:space="preserve"> PAGEREF _Toc41647984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val="en-US"/>
        </w:rPr>
      </w:pPr>
      <w:hyperlink w:anchor="_Toc41647985" w:history="1">
        <w:r>
          <w:rPr>
            <w:rStyle w:val="Hyperlink"/>
            <w:noProof/>
          </w:rPr>
          <w:t>3.</w:t>
        </w:r>
        <w:r>
          <w:rPr>
            <w:rFonts w:asciiTheme="minorHAnsi" w:eastAsiaTheme="minorEastAsia" w:hAnsiTheme="minorHAnsi" w:cstheme="minorBidi"/>
            <w:noProof/>
            <w:sz w:val="22"/>
            <w:lang w:val="en-US"/>
          </w:rPr>
          <w:tab/>
        </w:r>
        <w:r>
          <w:rPr>
            <w:rStyle w:val="Hyperlink"/>
            <w:noProof/>
          </w:rPr>
          <w:t>INCIDENCE FINANCIÈRE ESTIMÉE DE LA PROPOSITION/DE L'INITIATIVE</w:t>
        </w:r>
        <w:r>
          <w:rPr>
            <w:noProof/>
            <w:webHidden/>
          </w:rPr>
          <w:tab/>
        </w:r>
        <w:r>
          <w:rPr>
            <w:noProof/>
            <w:webHidden/>
          </w:rPr>
          <w:fldChar w:fldCharType="begin"/>
        </w:r>
        <w:r>
          <w:rPr>
            <w:noProof/>
            <w:webHidden/>
          </w:rPr>
          <w:instrText xml:space="preserve"> PAGEREF _Toc41647985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rPr>
      </w:pPr>
      <w:hyperlink w:anchor="_Toc41647986" w:history="1">
        <w:r>
          <w:rPr>
            <w:rStyle w:val="Hyperlink"/>
            <w:noProof/>
          </w:rPr>
          <w:t>3.1.</w:t>
        </w:r>
        <w:r>
          <w:rPr>
            <w:rFonts w:asciiTheme="minorHAnsi" w:eastAsiaTheme="minorEastAsia" w:hAnsiTheme="minorHAnsi" w:cstheme="minorBidi"/>
            <w:noProof/>
            <w:sz w:val="22"/>
            <w:lang w:val="en-US"/>
          </w:rPr>
          <w:tab/>
        </w:r>
        <w:r>
          <w:rPr>
            <w:rStyle w:val="Hyperlink"/>
            <w:noProof/>
          </w:rPr>
          <w:t>Rubrique du cadre financier pluriannuel et nouvelle(s) ligne(s) budgétaire(s) de dépenses proposée(s)</w:t>
        </w:r>
        <w:r>
          <w:rPr>
            <w:noProof/>
            <w:webHidden/>
          </w:rPr>
          <w:tab/>
        </w:r>
        <w:r>
          <w:rPr>
            <w:noProof/>
            <w:webHidden/>
          </w:rPr>
          <w:fldChar w:fldCharType="begin"/>
        </w:r>
        <w:r>
          <w:rPr>
            <w:noProof/>
            <w:webHidden/>
          </w:rPr>
          <w:instrText xml:space="preserve"> PAGEREF _Toc41647986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rPr>
      </w:pPr>
      <w:hyperlink w:anchor="_Toc41647987" w:history="1">
        <w:r>
          <w:rPr>
            <w:rStyle w:val="Hyperlink"/>
            <w:noProof/>
          </w:rPr>
          <w:t>3.2.</w:t>
        </w:r>
        <w:r>
          <w:rPr>
            <w:rFonts w:asciiTheme="minorHAnsi" w:eastAsiaTheme="minorEastAsia" w:hAnsiTheme="minorHAnsi" w:cstheme="minorBidi"/>
            <w:noProof/>
            <w:sz w:val="22"/>
            <w:lang w:val="en-US"/>
          </w:rPr>
          <w:tab/>
        </w:r>
        <w:r>
          <w:rPr>
            <w:rStyle w:val="Hyperlink"/>
            <w:noProof/>
          </w:rPr>
          <w:t>Incidence estimée sur les dépenses</w:t>
        </w:r>
        <w:r>
          <w:rPr>
            <w:noProof/>
            <w:webHidden/>
          </w:rPr>
          <w:tab/>
        </w:r>
        <w:r>
          <w:rPr>
            <w:noProof/>
            <w:webHidden/>
          </w:rPr>
          <w:fldChar w:fldCharType="begin"/>
        </w:r>
        <w:r>
          <w:rPr>
            <w:noProof/>
            <w:webHidden/>
          </w:rPr>
          <w:instrText xml:space="preserve"> PAGEREF _Toc41647987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en-US"/>
        </w:rPr>
      </w:pPr>
      <w:hyperlink w:anchor="_Toc41647988" w:history="1">
        <w:r>
          <w:rPr>
            <w:rStyle w:val="Hyperlink"/>
            <w:noProof/>
          </w:rPr>
          <w:t>3.2.1.</w:t>
        </w:r>
        <w:r>
          <w:rPr>
            <w:rFonts w:asciiTheme="minorHAnsi" w:eastAsiaTheme="minorEastAsia" w:hAnsiTheme="minorHAnsi" w:cstheme="minorBidi"/>
            <w:noProof/>
            <w:sz w:val="22"/>
            <w:lang w:val="en-US"/>
          </w:rPr>
          <w:tab/>
        </w:r>
        <w:r>
          <w:rPr>
            <w:rStyle w:val="Hyperlink"/>
            <w:noProof/>
          </w:rPr>
          <w:t>Synthèse de l'incidence estimée sur les dépenses</w:t>
        </w:r>
        <w:r>
          <w:rPr>
            <w:noProof/>
            <w:webHidden/>
          </w:rPr>
          <w:tab/>
        </w:r>
        <w:r>
          <w:rPr>
            <w:noProof/>
            <w:webHidden/>
          </w:rPr>
          <w:fldChar w:fldCharType="begin"/>
        </w:r>
        <w:r>
          <w:rPr>
            <w:noProof/>
            <w:webHidden/>
          </w:rPr>
          <w:instrText xml:space="preserve"> PAGEREF _Toc41647988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en-US"/>
        </w:rPr>
      </w:pPr>
      <w:hyperlink w:anchor="_Toc41647989" w:history="1">
        <w:r>
          <w:rPr>
            <w:rStyle w:val="Hyperlink"/>
            <w:noProof/>
          </w:rPr>
          <w:t>3.2.2.</w:t>
        </w:r>
        <w:r>
          <w:rPr>
            <w:rFonts w:asciiTheme="minorHAnsi" w:eastAsiaTheme="minorEastAsia" w:hAnsiTheme="minorHAnsi" w:cstheme="minorBidi"/>
            <w:noProof/>
            <w:sz w:val="22"/>
            <w:lang w:val="en-US"/>
          </w:rPr>
          <w:tab/>
        </w:r>
        <w:r>
          <w:rPr>
            <w:rStyle w:val="Hyperlink"/>
            <w:noProof/>
          </w:rPr>
          <w:t>Synthèse de l’incidence estimée sur les crédits de nature administrative</w:t>
        </w:r>
        <w:r>
          <w:rPr>
            <w:noProof/>
            <w:webHidden/>
          </w:rPr>
          <w:tab/>
        </w:r>
        <w:r>
          <w:rPr>
            <w:noProof/>
            <w:webHidden/>
          </w:rPr>
          <w:fldChar w:fldCharType="begin"/>
        </w:r>
        <w:r>
          <w:rPr>
            <w:noProof/>
            <w:webHidden/>
          </w:rPr>
          <w:instrText xml:space="preserve"> PAGEREF _Toc41647989 \h </w:instrText>
        </w:r>
        <w:r>
          <w:rPr>
            <w:noProof/>
            <w:webHidden/>
          </w:rPr>
        </w:r>
        <w:r>
          <w:rPr>
            <w:noProof/>
            <w:webHidden/>
          </w:rPr>
          <w:fldChar w:fldCharType="separate"/>
        </w:r>
        <w:r>
          <w:rPr>
            <w:noProof/>
            <w:webHidden/>
          </w:rPr>
          <w:t>10</w:t>
        </w:r>
        <w:r>
          <w:rPr>
            <w:noProof/>
            <w:webHidden/>
          </w:rPr>
          <w:fldChar w:fldCharType="end"/>
        </w:r>
      </w:hyperlink>
    </w:p>
    <w:p>
      <w:pPr>
        <w:pStyle w:val="TOC2"/>
        <w:rPr>
          <w:noProof/>
        </w:rPr>
      </w:pPr>
      <w:hyperlink w:anchor="_Toc41647990" w:history="1">
        <w:r>
          <w:rPr>
            <w:rStyle w:val="Hyperlink"/>
            <w:noProof/>
          </w:rPr>
          <w:t>3.3.</w:t>
        </w:r>
        <w:r>
          <w:rPr>
            <w:rFonts w:asciiTheme="minorHAnsi" w:eastAsiaTheme="minorEastAsia" w:hAnsiTheme="minorHAnsi" w:cstheme="minorBidi"/>
            <w:noProof/>
            <w:sz w:val="22"/>
            <w:lang w:val="en-US"/>
          </w:rPr>
          <w:tab/>
        </w:r>
        <w:r>
          <w:rPr>
            <w:rStyle w:val="Hyperlink"/>
            <w:noProof/>
          </w:rPr>
          <w:t>Incidence estimée sur les recettes</w:t>
        </w:r>
        <w:r>
          <w:rPr>
            <w:noProof/>
            <w:webHidden/>
          </w:rPr>
          <w:tab/>
        </w:r>
        <w:r>
          <w:rPr>
            <w:noProof/>
            <w:webHidden/>
          </w:rPr>
          <w:fldChar w:fldCharType="begin"/>
        </w:r>
        <w:r>
          <w:rPr>
            <w:noProof/>
            <w:webHidden/>
          </w:rPr>
          <w:instrText xml:space="preserve"> PAGEREF _Toc41647990 \h </w:instrText>
        </w:r>
        <w:r>
          <w:rPr>
            <w:noProof/>
            <w:webHidden/>
          </w:rPr>
        </w:r>
        <w:r>
          <w:rPr>
            <w:noProof/>
            <w:webHidden/>
          </w:rPr>
          <w:fldChar w:fldCharType="separate"/>
        </w:r>
        <w:r>
          <w:rPr>
            <w:noProof/>
            <w:webHidden/>
          </w:rPr>
          <w:t>12</w:t>
        </w:r>
        <w:r>
          <w:rPr>
            <w:noProof/>
            <w:webHidden/>
          </w:rPr>
          <w:fldChar w:fldCharType="end"/>
        </w:r>
      </w:hyperlink>
    </w:p>
    <w:p>
      <w:pPr>
        <w:rPr>
          <w:noProof/>
        </w:rPr>
      </w:pPr>
    </w:p>
    <w:p>
      <w:pPr>
        <w:rPr>
          <w:noProof/>
        </w:rPr>
        <w:sectPr>
          <w:pgSz w:w="11907" w:h="16840" w:code="9"/>
          <w:pgMar w:top="1134" w:right="1418" w:bottom="1134" w:left="1418" w:header="709" w:footer="709" w:gutter="0"/>
          <w:pgNumType w:start="1"/>
          <w:cols w:space="708"/>
          <w:docGrid w:linePitch="360"/>
        </w:sectPr>
      </w:pPr>
      <w:r>
        <w:rPr>
          <w:noProof/>
        </w:rPr>
        <w:fldChar w:fldCharType="end"/>
      </w:r>
    </w:p>
    <w:p>
      <w:pPr>
        <w:jc w:val="center"/>
        <w:rPr>
          <w:b/>
          <w:noProof/>
          <w:u w:val="single"/>
        </w:rPr>
      </w:pPr>
      <w:r>
        <w:rPr>
          <w:b/>
          <w:noProof/>
          <w:u w:val="single"/>
        </w:rPr>
        <w:t>FICHE FINANCIÈRE LÉGISLATIVE</w:t>
      </w:r>
      <w:bookmarkEnd w:id="1"/>
    </w:p>
    <w:p>
      <w:pPr>
        <w:pStyle w:val="ManualHeading1"/>
        <w:rPr>
          <w:noProof/>
        </w:rPr>
      </w:pPr>
      <w:bookmarkStart w:id="2" w:name="_Toc514941971"/>
      <w:bookmarkStart w:id="3" w:name="_Toc41647970"/>
      <w:r>
        <w:t>1.</w:t>
      </w:r>
      <w:r>
        <w:tab/>
      </w:r>
      <w:r>
        <w:rPr>
          <w:noProof/>
        </w:rPr>
        <w:t>CADRE DE LA PROPOSITION/DE L’INITIATIVE</w:t>
      </w:r>
      <w:bookmarkEnd w:id="2"/>
      <w:bookmarkEnd w:id="3"/>
      <w:r>
        <w:rPr>
          <w:noProof/>
        </w:rPr>
        <w:t xml:space="preserve"> </w:t>
      </w:r>
    </w:p>
    <w:p>
      <w:pPr>
        <w:pStyle w:val="ManualHeading2"/>
        <w:rPr>
          <w:noProof/>
        </w:rPr>
      </w:pPr>
      <w:bookmarkStart w:id="4" w:name="_Toc514941972"/>
      <w:bookmarkStart w:id="5" w:name="_Toc41647971"/>
      <w:r>
        <w:t>1.1.</w:t>
      </w:r>
      <w:r>
        <w:tab/>
      </w:r>
      <w:r>
        <w:rPr>
          <w:noProof/>
        </w:rPr>
        <w:t>Dénomination de la proposition/de l’initiative</w:t>
      </w:r>
      <w:bookmarkEnd w:id="4"/>
      <w:bookmarkEnd w:id="5"/>
      <w:r>
        <w:rPr>
          <w:noProof/>
        </w:rPr>
        <w:t xml:space="preserve"> </w:t>
      </w:r>
    </w:p>
    <w:p>
      <w:pPr>
        <w:pStyle w:val="Text1"/>
        <w:rPr>
          <w:noProof/>
        </w:rPr>
      </w:pPr>
      <w:bookmarkStart w:id="6" w:name="_Toc514941973"/>
      <w:r>
        <w:rPr>
          <w:noProof/>
        </w:rPr>
        <w:t xml:space="preserve">Proposition de modification du RÈGLEMENT (CE) N° 1257/96 DU CONSEIL du 20 juin 1996 concernant l'aide humanitaire </w:t>
      </w:r>
    </w:p>
    <w:p>
      <w:pPr>
        <w:pStyle w:val="ManualHeading2"/>
        <w:rPr>
          <w:i/>
          <w:noProof/>
        </w:rPr>
      </w:pPr>
      <w:bookmarkStart w:id="7" w:name="_Toc41647972"/>
      <w:r>
        <w:t>1.2.</w:t>
      </w:r>
      <w:r>
        <w:tab/>
      </w:r>
      <w:r>
        <w:rPr>
          <w:noProof/>
        </w:rPr>
        <w:t>Domaine(s) politique(s) concerné(s) (groupe de programmes)</w:t>
      </w:r>
      <w:bookmarkEnd w:id="6"/>
      <w:bookmarkEnd w:id="7"/>
    </w:p>
    <w:p>
      <w:pPr>
        <w:pStyle w:val="Text1"/>
        <w:pBdr>
          <w:top w:val="single" w:sz="4" w:space="1" w:color="auto"/>
          <w:left w:val="single" w:sz="4" w:space="4" w:color="auto"/>
          <w:bottom w:val="single" w:sz="4" w:space="1" w:color="auto"/>
          <w:right w:val="single" w:sz="4" w:space="4" w:color="auto"/>
        </w:pBdr>
        <w:rPr>
          <w:noProof/>
        </w:rPr>
      </w:pPr>
      <w:bookmarkStart w:id="8" w:name="_Toc514941974"/>
      <w:r>
        <w:rPr>
          <w:noProof/>
        </w:rPr>
        <w:t>15 Action extérieure</w:t>
      </w:r>
    </w:p>
    <w:p>
      <w:pPr>
        <w:pStyle w:val="ManualHeading2"/>
        <w:rPr>
          <w:bCs/>
          <w:noProof/>
          <w:szCs w:val="24"/>
        </w:rPr>
      </w:pPr>
      <w:bookmarkStart w:id="9" w:name="_Toc41647973"/>
      <w:r>
        <w:t>1.3.</w:t>
      </w:r>
      <w:r>
        <w:tab/>
      </w:r>
      <w:r>
        <w:rPr>
          <w:noProof/>
        </w:rPr>
        <w:t>La proposition/l’initiative porte sur:</w:t>
      </w:r>
      <w:bookmarkEnd w:id="8"/>
      <w:bookmarkEnd w:id="9"/>
      <w:r>
        <w:rPr>
          <w:noProof/>
        </w:rPr>
        <w:t xml:space="preserve"> </w:t>
      </w:r>
    </w:p>
    <w:p>
      <w:pPr>
        <w:pStyle w:val="Text1"/>
        <w:rPr>
          <w:b/>
          <w:noProof/>
          <w:sz w:val="22"/>
        </w:rPr>
      </w:pPr>
      <w:r>
        <w:rPr>
          <w:noProof/>
          <w:sz w:val="22"/>
        </w:rPr>
        <w:sym w:font="Wingdings" w:char="F0A8"/>
      </w:r>
      <w:r>
        <w:rPr>
          <w:b/>
          <w:i/>
          <w:noProof/>
          <w:sz w:val="22"/>
        </w:rPr>
        <w:t xml:space="preserve">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5"/>
      </w:r>
      <w:r>
        <w:rPr>
          <w:noProof/>
          <w:sz w:val="22"/>
        </w:rPr>
        <w:t xml:space="preserve"> </w:t>
      </w:r>
    </w:p>
    <w:p>
      <w:pPr>
        <w:pStyle w:val="Text1"/>
        <w:rPr>
          <w:noProof/>
          <w:sz w:val="22"/>
        </w:rPr>
      </w:pPr>
      <w:r>
        <w:rPr>
          <w:noProof/>
          <w:sz w:val="22"/>
        </w:rPr>
        <w:t>X</w:t>
      </w:r>
      <w:r>
        <w:rPr>
          <w:noProof/>
        </w:rPr>
        <w:t xml:space="preserve">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bCs/>
          <w:noProof/>
          <w:szCs w:val="24"/>
        </w:rPr>
      </w:pPr>
      <w:bookmarkStart w:id="10" w:name="_Toc514941975"/>
      <w:bookmarkStart w:id="11" w:name="_Toc41647974"/>
      <w:r>
        <w:t>1.4.</w:t>
      </w:r>
      <w:r>
        <w:tab/>
      </w:r>
      <w:r>
        <w:rPr>
          <w:noProof/>
        </w:rPr>
        <w:t>Justification(s) de la proposition/de l’initiative</w:t>
      </w:r>
      <w:bookmarkEnd w:id="10"/>
      <w:bookmarkEnd w:id="11"/>
      <w:r>
        <w:rPr>
          <w:noProof/>
        </w:rPr>
        <w:t xml:space="preserve"> </w:t>
      </w:r>
    </w:p>
    <w:p>
      <w:pPr>
        <w:pStyle w:val="ManualHeading3"/>
        <w:rPr>
          <w:noProof/>
        </w:rPr>
      </w:pPr>
      <w:bookmarkStart w:id="12" w:name="_Toc514941976"/>
      <w:bookmarkStart w:id="13" w:name="_Toc41647975"/>
      <w:r>
        <w:t>1.4.1.</w:t>
      </w:r>
      <w:r>
        <w:tab/>
      </w:r>
      <w:r>
        <w:rPr>
          <w:noProof/>
        </w:rPr>
        <w:t>Besoin(s) à satisfaire à court ou à long terme, assorti(s) d’un calendrier détaillé pour la mise en œuvre de l’initiative</w:t>
      </w:r>
      <w:bookmarkEnd w:id="12"/>
      <w:bookmarkEnd w:id="13"/>
    </w:p>
    <w:p>
      <w:pPr>
        <w:pStyle w:val="Text1"/>
        <w:pBdr>
          <w:top w:val="single" w:sz="4" w:space="1" w:color="auto"/>
          <w:left w:val="single" w:sz="4" w:space="4" w:color="auto"/>
          <w:bottom w:val="single" w:sz="4" w:space="1" w:color="auto"/>
          <w:right w:val="single" w:sz="4" w:space="4" w:color="auto"/>
        </w:pBdr>
        <w:rPr>
          <w:noProof/>
        </w:rPr>
      </w:pPr>
      <w:r>
        <w:rPr>
          <w:noProof/>
        </w:rPr>
        <w:t xml:space="preserve">La présente modification ciblée du règlement concernant l’aide humanitaire est proposée dans le cadre de la proposition révisée de CFP (2021-2027) comprenant l’instrument européen pour la relance. Ce nouvel instrument allouera des fonds à l’aide humanitaire, parallèlement à d’autres programmes, pendant une période limitée et au-delà des plafonds fixés pour les crédits d’engagement et de paiement par le CFP; ces fonds constituent des recettes affectées externes au sens de l’article 21 du règlement financier. </w:t>
      </w:r>
    </w:p>
    <w:p>
      <w:pPr>
        <w:pStyle w:val="Text1"/>
        <w:pBdr>
          <w:top w:val="single" w:sz="4" w:space="1" w:color="auto"/>
          <w:left w:val="single" w:sz="4" w:space="4" w:color="auto"/>
          <w:bottom w:val="single" w:sz="4" w:space="1" w:color="auto"/>
          <w:right w:val="single" w:sz="4" w:space="4" w:color="auto"/>
        </w:pBdr>
        <w:rPr>
          <w:noProof/>
          <w:color w:val="0000FF"/>
        </w:rPr>
      </w:pPr>
      <w:r>
        <w:rPr>
          <w:noProof/>
        </w:rPr>
        <w:t>La mise en œuvre des actions concernées au titre de l’aide humanitaire visera à aider les pays tiers à surmonter les effets négatifs de la pandémie de COVID-19 et à promouvoir la résilience.</w:t>
      </w:r>
    </w:p>
    <w:p>
      <w:pPr>
        <w:pStyle w:val="ManualHeading3"/>
        <w:rPr>
          <w:noProof/>
        </w:rPr>
      </w:pPr>
      <w:bookmarkStart w:id="14" w:name="_Toc514941977"/>
      <w:bookmarkStart w:id="15" w:name="_Toc41647976"/>
      <w:r>
        <w:t>1.4.2.</w:t>
      </w:r>
      <w:r>
        <w:tab/>
      </w:r>
      <w:r>
        <w:rPr>
          <w:noProof/>
        </w:rPr>
        <w:t>Valeur ajoutée de l’intervention de l’Union (celle</w:t>
      </w:r>
      <w:r>
        <w:rPr>
          <w:rFonts w:ascii="Cambria Math" w:hAnsi="Cambria Math" w:cs="Cambria Math"/>
          <w:noProof/>
        </w:rPr>
        <w:t>‑</w:t>
      </w:r>
      <w:r>
        <w:rPr>
          <w:noProof/>
        </w:rPr>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14"/>
      <w:bookmarkEnd w:id="15"/>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La flambée de maladie à coronavirus («COVID-19»), qui a été qualifiée de pandémie le 11 mars 2020 par l’Organisation mondiale de la santé, a mis à rude épreuve les pays tiers, en particulier les pays confrontés à des conflits ou à d’autres types de crises. En outre, les pays tiers ont adopté un ensemble de mesures inédites afin de contenir la propagation du virus. Ces mesures ont provoqué d’importantes perturbations de l’activité économique qui ont occasionné des difficultés supplémentaires à des systèmes déjà affaiblis dans certains de ces pays. Ces mesures ont notamment perturbé les chaînes d’approvisionnement et la production et ont été source d’absentéisme au travail. De manière plus générale, ces mesures ont déjà entraîné, ou entraîneront, une grave détérioration de la situation financière de nombreuses entreprises dans les pays tiers. </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La crise s’est rapidement propagée sur le territoire de l’Union et dans les pays tiers. Une forte contraction de la croissance dans le monde est désormais prévue pour 2020 et pourrait perdurer jusqu’en 2021, ce qui pourrait avoir des conséquences particulièrement graves pour des pays tiers et leurs populations ou des groupes vulnérables (par exemple les réfugiés), en particulier lorsque s’y ajoutent d’autres défis tels que des conflits, des catastrophes naturelles ou la rupture de systèmes de santé de pays tiers.</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Cette situation exceptionnelle appelle une approche cohérente et unifiée au niveau de l’Union afin d’éviter une nouvelle dégradation de l’économie et d’encourager une reprise équilibrée de l’activité économique, garantissant ainsi la continuité et l’augmentation des investissements en faveur de la transition écologique et numérique. En outre, compte tenu des lourdes répercussions que cette situation a sur les pays tiers ou les groupes vulnérables confrontés à d’autres défis tels que les conflits, la pauvreté et les catastrophes naturelles, il y a donc lieu d’établir un instrument de l’Union pour la relance afin de faire face aux conséquences de la pandémie de COVID-19 et aux besoins financiers immédiats nécessaires pour éviter sa réapparition.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(5) Outre le soutien apporté aux économies tant au sein de l’UE que dans les pays tiers, aux activités de recherche et d’innovation relatives à la santé et au climat menées dans l’Union, l’instrument devrait renforcer le soutien que l’Union est en mesure de fournir dans les cas de besoins humanitaires.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(6) La situation humanitaire globale, ainsi que les relations commerciales et économiques avec les pays voisins et les pays en développement, revêtent une grande importance pour l’économie de l’Union. Pour cette raison, et conformément au rôle et à la responsabilité de l’Union dans le monde ainsi qu’à ses valeurs, les ressources financières provenant de l’instrument de l’Union européenne pour la relance qui sont acheminées par le canal de l’instrument de voisinage, de coopération au développement et de coopération internationale (IVCDCI) devraient également servir à soutenir les efforts déployés par ces pays pour contrer les effets de la pandémie de COVID-19 et s’en rétablir. Ces ressources devraient également être utilisées, par l’intermédiaire de l’aide humanitaire, pour fournir une assistance humanitaire aux populations dans le besoin, et notamment une aide indispensable aux services de santé de pays tiers. </w:t>
      </w:r>
    </w:p>
    <w:p>
      <w:pPr>
        <w:pStyle w:val="ManualHeading3"/>
        <w:rPr>
          <w:noProof/>
        </w:rPr>
      </w:pPr>
      <w:bookmarkStart w:id="16" w:name="_Toc514941978"/>
      <w:bookmarkStart w:id="17" w:name="_Toc41647977"/>
      <w:r>
        <w:t>1.4.3.</w:t>
      </w:r>
      <w:r>
        <w:tab/>
      </w:r>
      <w:r>
        <w:rPr>
          <w:noProof/>
        </w:rPr>
        <w:t>Leçons tirées d'expériences similaires</w:t>
      </w:r>
      <w:bookmarkEnd w:id="16"/>
      <w:bookmarkEnd w:id="17"/>
    </w:p>
    <w:p>
      <w:pPr>
        <w:pStyle w:val="Text1"/>
        <w:pBdr>
          <w:top w:val="single" w:sz="4" w:space="1" w:color="auto"/>
          <w:left w:val="single" w:sz="4" w:space="4" w:color="auto"/>
          <w:bottom w:val="single" w:sz="4" w:space="1" w:color="auto"/>
          <w:right w:val="single" w:sz="4" w:space="4" w:color="auto"/>
        </w:pBdr>
        <w:rPr>
          <w:noProof/>
        </w:rPr>
      </w:pPr>
      <w:r>
        <w:rPr>
          <w:noProof/>
        </w:rPr>
        <w:t>L’expérience acquise dans le cadre du CFP 2014-2020 montre que les dotations annuelles de l’aide humanitaire n’ont pas suffi pour couvrir les nombreuses crises humanitaires nouvelles ou persistantes à l’échelle mondiale. C’est la raison pour laquelle il a fallu procéder à des renforcements importants au moyen de la réserve d'aide d'urgence et d’autres sources. La présente proposition répond aux besoins imprévus supplémentaires liés à la COVID-19 en augmentant la disponibilité de ressources supplémentaires au-delà des montants du CFP 2021-2027.</w:t>
      </w:r>
    </w:p>
    <w:p>
      <w:pPr>
        <w:pStyle w:val="ManualHeading3"/>
        <w:rPr>
          <w:noProof/>
        </w:rPr>
      </w:pPr>
      <w:bookmarkStart w:id="18" w:name="_Toc514941979"/>
      <w:bookmarkStart w:id="19" w:name="_Toc41647978"/>
      <w:r>
        <w:t>1.4.4.</w:t>
      </w:r>
      <w:r>
        <w:tab/>
      </w:r>
      <w:r>
        <w:rPr>
          <w:noProof/>
        </w:rPr>
        <w:t>Compatibilité et synergie éventuelle avec d'autres instruments appropriés</w:t>
      </w:r>
      <w:bookmarkEnd w:id="18"/>
      <w:bookmarkEnd w:id="19"/>
    </w:p>
    <w:p>
      <w:pPr>
        <w:pStyle w:val="Text1"/>
        <w:pBdr>
          <w:top w:val="single" w:sz="4" w:space="1" w:color="auto"/>
          <w:left w:val="single" w:sz="4" w:space="4" w:color="auto"/>
          <w:bottom w:val="single" w:sz="4" w:space="1" w:color="auto"/>
          <w:right w:val="single" w:sz="4" w:space="4" w:color="auto"/>
        </w:pBdr>
        <w:rPr>
          <w:noProof/>
        </w:rPr>
      </w:pPr>
      <w:r>
        <w:rPr>
          <w:noProof/>
        </w:rPr>
        <w:t>Outre les synergies avec l’IVCDCI, la présente initiative s’inscrivant dans le contexte de la proposition révisée de CFP crée des synergies fortes entre l’aide humanitaire et le nouvel instrument européen pour la relance, établi par la proposition de règlement (UE) XXX/XX. Ce dernier permettra d’allouer des fonds à ces programmes sectoriels pendant une période limitée et au-delà des plafonds du CFP, du fait de la complémentarité des objectifs et du fonctionnement de ces instruments et compte tenu des motifs et de la valeur ajoutée exposés à la section 1.4.2 ci-dessus.</w:t>
      </w:r>
    </w:p>
    <w:p>
      <w:pPr>
        <w:pStyle w:val="Text1"/>
        <w:rPr>
          <w:noProof/>
        </w:rPr>
      </w:pPr>
    </w:p>
    <w:p>
      <w:pPr>
        <w:pStyle w:val="ManualHeading2"/>
        <w:rPr>
          <w:bCs/>
          <w:noProof/>
          <w:szCs w:val="24"/>
        </w:rPr>
      </w:pPr>
      <w:r>
        <w:rPr>
          <w:noProof/>
        </w:rPr>
        <w:br w:type="page"/>
      </w:r>
      <w:bookmarkStart w:id="20" w:name="_Toc514941980"/>
      <w:bookmarkStart w:id="21" w:name="_Toc41647979"/>
      <w:r>
        <w:t>1.5.</w:t>
      </w:r>
      <w:r>
        <w:tab/>
      </w:r>
      <w:r>
        <w:rPr>
          <w:noProof/>
        </w:rPr>
        <w:t>Durée et incidence financière</w:t>
      </w:r>
      <w:bookmarkEnd w:id="20"/>
      <w:bookmarkEnd w:id="21"/>
      <w:r>
        <w:rPr>
          <w:noProof/>
        </w:rPr>
        <w:t xml:space="preserve"> </w:t>
      </w:r>
    </w:p>
    <w:p>
      <w:pPr>
        <w:pStyle w:val="Text1"/>
        <w:rPr>
          <w:noProof/>
        </w:rPr>
      </w:pPr>
      <w:r>
        <w:rPr>
          <w:noProof/>
        </w:rPr>
        <w:sym w:font="Wingdings" w:char="F0A8"/>
      </w:r>
      <w:r>
        <w:rPr>
          <w:b/>
          <w:i/>
          <w:noProof/>
        </w:rPr>
        <w:t xml:space="preserve"> </w:t>
      </w:r>
      <w:r>
        <w:rPr>
          <w:b/>
          <w:noProof/>
        </w:rPr>
        <w:t xml:space="preserve">durée limitée </w:t>
      </w:r>
    </w:p>
    <w:p>
      <w:pPr>
        <w:pStyle w:val="ListDash2"/>
        <w:rPr>
          <w:noProof/>
        </w:rPr>
      </w:pPr>
      <w:r>
        <w:rPr>
          <w:noProof/>
        </w:rPr>
        <w:sym w:font="Wingdings" w:char="F0A8"/>
      </w:r>
      <w:r>
        <w:rPr>
          <w:noProof/>
        </w:rPr>
        <w:tab/>
        <w:t xml:space="preserve">En vigueur à partir de [JJ/MM]AAAA jusqu’en/au [JJ/MM]AAAA </w:t>
      </w:r>
    </w:p>
    <w:p>
      <w:pPr>
        <w:pStyle w:val="ListDash2"/>
        <w:rPr>
          <w:noProof/>
        </w:rPr>
      </w:pPr>
      <w:r>
        <w:rPr>
          <w:noProof/>
        </w:rPr>
        <w:sym w:font="Wingdings" w:char="F0A8"/>
      </w:r>
      <w:r>
        <w:rPr>
          <w:noProof/>
        </w:rPr>
        <w:tab/>
        <w:t xml:space="preserve">Incidence financière de AAAA jusqu’en AAAA pour les crédits d’engagement et de AAAA jusqu’en AAAA pour les crédits de paiement. </w:t>
      </w:r>
    </w:p>
    <w:p>
      <w:pPr>
        <w:pStyle w:val="Text1"/>
        <w:rPr>
          <w:noProof/>
        </w:rPr>
      </w:pPr>
      <w:r>
        <w:rPr>
          <w:noProof/>
        </w:rPr>
        <w:t>X</w:t>
      </w:r>
      <w:r>
        <w:rPr>
          <w:b/>
          <w:i/>
          <w:noProof/>
        </w:rPr>
        <w:t xml:space="preserve"> </w:t>
      </w:r>
      <w:r>
        <w:rPr>
          <w:b/>
          <w:noProof/>
        </w:rPr>
        <w:t>durée illimitée</w:t>
      </w:r>
    </w:p>
    <w:p>
      <w:pPr>
        <w:pStyle w:val="ListDash1"/>
        <w:rPr>
          <w:noProof/>
        </w:rPr>
      </w:pPr>
      <w:r>
        <w:rPr>
          <w:noProof/>
        </w:rPr>
        <w:t>Application avec une période de démarrage à compter de 2021,</w:t>
      </w:r>
    </w:p>
    <w:p>
      <w:pPr>
        <w:pStyle w:val="ListDash1"/>
        <w:rPr>
          <w:noProof/>
        </w:rPr>
      </w:pPr>
      <w:r>
        <w:rPr>
          <w:noProof/>
        </w:rPr>
        <w:t>puis un fonctionnement en rythme de croisière au-delà.</w:t>
      </w:r>
    </w:p>
    <w:p>
      <w:pPr>
        <w:pStyle w:val="ManualHeading2"/>
        <w:rPr>
          <w:bCs/>
          <w:noProof/>
          <w:szCs w:val="24"/>
        </w:rPr>
      </w:pPr>
      <w:bookmarkStart w:id="22" w:name="_Toc41647980"/>
      <w:bookmarkStart w:id="23" w:name="_Toc514941981"/>
      <w:r>
        <w:t>1.6.</w:t>
      </w:r>
      <w:r>
        <w:tab/>
      </w:r>
      <w:r>
        <w:rPr>
          <w:noProof/>
        </w:rPr>
        <w:t>Mode(s) de gestion prévu(s)</w:t>
      </w:r>
      <w:r>
        <w:rPr>
          <w:rStyle w:val="FootnoteReference"/>
          <w:noProof/>
        </w:rPr>
        <w:footnoteReference w:id="6"/>
      </w:r>
      <w:bookmarkEnd w:id="22"/>
      <w:r>
        <w:rPr>
          <w:rStyle w:val="FootnoteReference"/>
          <w:noProof/>
        </w:rPr>
        <w:t xml:space="preserve"> </w:t>
      </w:r>
      <w:bookmarkEnd w:id="23"/>
      <w:r>
        <w:rPr>
          <w:rStyle w:val="FootnoteReference"/>
          <w:noProof/>
        </w:rPr>
        <w:t xml:space="preserve"> </w:t>
      </w:r>
    </w:p>
    <w:p>
      <w:pPr>
        <w:pStyle w:val="Text1"/>
        <w:rPr>
          <w:noProof/>
        </w:rPr>
      </w:pPr>
      <w:r>
        <w:rPr>
          <w:noProof/>
        </w:rPr>
        <w:t xml:space="preserve">X </w:t>
      </w:r>
      <w:r>
        <w:rPr>
          <w:b/>
          <w:noProof/>
        </w:rPr>
        <w:t>Gestion directe</w:t>
      </w:r>
      <w:r>
        <w:rPr>
          <w:noProof/>
        </w:rPr>
        <w:t xml:space="preserve"> par la Commission</w:t>
      </w:r>
    </w:p>
    <w:p>
      <w:pPr>
        <w:pStyle w:val="ListDash2"/>
        <w:rPr>
          <w:rFonts w:cs="EUAlbertina"/>
          <w:noProof/>
        </w:rPr>
      </w:pPr>
      <w:r>
        <w:rPr>
          <w:noProof/>
        </w:rPr>
        <w:t xml:space="preserve">X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t>X</w:t>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t>X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70 et 71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t>X à des organismes de droit privé investis d’une mission de service public, pour autant qu’ils présentent les garanties financières suffisantes;</w:t>
      </w:r>
    </w:p>
    <w:p>
      <w:pPr>
        <w:pStyle w:val="ListDash2"/>
        <w:rPr>
          <w:noProof/>
        </w:rPr>
      </w:pPr>
      <w:r>
        <w:rPr>
          <w:noProof/>
        </w:rPr>
        <w:t>X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4" w:name="_Toc514941982"/>
      <w:bookmarkStart w:id="25" w:name="_Toc39837055"/>
      <w:bookmarkStart w:id="26" w:name="_Toc39839402"/>
      <w:bookmarkStart w:id="27" w:name="_Toc41647981"/>
      <w:r>
        <w:t>2.</w:t>
      </w:r>
      <w:r>
        <w:tab/>
      </w:r>
      <w:r>
        <w:rPr>
          <w:noProof/>
        </w:rPr>
        <w:t>MESURES DE GESTION</w:t>
      </w:r>
      <w:bookmarkEnd w:id="24"/>
      <w:bookmarkEnd w:id="25"/>
      <w:bookmarkEnd w:id="26"/>
      <w:bookmarkEnd w:id="27"/>
      <w:r>
        <w:rPr>
          <w:noProof/>
        </w:rPr>
        <w:t xml:space="preserve"> </w:t>
      </w:r>
    </w:p>
    <w:p>
      <w:pPr>
        <w:pStyle w:val="ManualHeading2"/>
        <w:rPr>
          <w:noProof/>
        </w:rPr>
      </w:pPr>
      <w:bookmarkStart w:id="28" w:name="_Toc514941983"/>
      <w:bookmarkStart w:id="29" w:name="_Toc39837056"/>
      <w:bookmarkStart w:id="30" w:name="_Toc39839403"/>
      <w:bookmarkStart w:id="31" w:name="_Toc41647982"/>
      <w:r>
        <w:t>2.1.</w:t>
      </w:r>
      <w:r>
        <w:tab/>
      </w:r>
      <w:r>
        <w:rPr>
          <w:noProof/>
        </w:rPr>
        <w:t>Dispositions en matière de suivi et de compte rendu</w:t>
      </w:r>
      <w:bookmarkEnd w:id="28"/>
      <w:bookmarkEnd w:id="29"/>
      <w:bookmarkEnd w:id="30"/>
      <w:bookmarkEnd w:id="31"/>
      <w:r>
        <w:rPr>
          <w:noProof/>
        </w:rPr>
        <w:t xml:space="preserve">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Conformément au RÈGLEMENT (CE) n° 1257/96 DU CONSEIL du 20 juin 1996 concernant l'aide humanitaire, la Commission surveille et évalue les opérations relevant de l’aide humanitaire selon les procédures budgétaires et autres en vigueur, et notamment celles prévues au règlement financier applicable au budget général de l’Union. La Commission procède régulièrement à des évaluations d'opérations d'aide humanitaire en vue d'établir si les objectifs visés par ces opérations ont été atteints et en vue de fournir des lignes directrices pour améliorer l'efficacité des opérations futures. La Commission rend compte au comité institué en vertu de l’article 17 du règlement.</w:t>
      </w:r>
    </w:p>
    <w:p>
      <w:pPr>
        <w:pStyle w:val="ManualHeading2"/>
        <w:rPr>
          <w:bCs/>
          <w:noProof/>
          <w:szCs w:val="24"/>
        </w:rPr>
      </w:pPr>
      <w:bookmarkStart w:id="32" w:name="_Toc514941984"/>
      <w:bookmarkStart w:id="33" w:name="_Toc39837057"/>
      <w:bookmarkStart w:id="34" w:name="_Toc39839404"/>
      <w:bookmarkStart w:id="35" w:name="_Toc41647983"/>
      <w:r>
        <w:t>2.2.</w:t>
      </w:r>
      <w:r>
        <w:tab/>
      </w:r>
      <w:r>
        <w:rPr>
          <w:noProof/>
        </w:rPr>
        <w:t>Système(s) de gestion et de contrôle</w:t>
      </w:r>
      <w:bookmarkEnd w:id="32"/>
      <w:bookmarkEnd w:id="33"/>
      <w:bookmarkEnd w:id="34"/>
      <w:bookmarkEnd w:id="35"/>
      <w:r>
        <w:rPr>
          <w:noProof/>
        </w:rPr>
        <w:t xml:space="preserve"> </w:t>
      </w:r>
    </w:p>
    <w:p>
      <w:pPr>
        <w:pStyle w:val="Text1"/>
        <w:pBdr>
          <w:top w:val="single" w:sz="4" w:space="1" w:color="auto"/>
          <w:left w:val="single" w:sz="4" w:space="4" w:color="auto"/>
          <w:bottom w:val="single" w:sz="4" w:space="1" w:color="auto"/>
          <w:right w:val="single" w:sz="4" w:space="4" w:color="auto"/>
        </w:pBdr>
        <w:rPr>
          <w:noProof/>
          <w:szCs w:val="24"/>
        </w:rPr>
      </w:pPr>
      <w:bookmarkStart w:id="36" w:name="_Toc514941985"/>
      <w:bookmarkStart w:id="37" w:name="_Toc39837058"/>
      <w:bookmarkStart w:id="38" w:name="_Toc39839405"/>
      <w:r>
        <w:rPr>
          <w:noProof/>
          <w:szCs w:val="24"/>
          <w:shd w:val="clear" w:color="auto" w:fill="FFFFFF"/>
        </w:rPr>
        <w:t xml:space="preserve">Afin de garantir la transparence et l’obligation de rendre compte quant à l’utilisation faite des fonds européens, à la fin de chaque année, le service de la protection civile et des opérations d’aide humanitaire européennes (ECHO) de la Commission européenne établit un rapport annuel. Ce rapport présentant la manière dont le budget a été dépensé et les activités réalisées est accessible au public. ECHO fait régulièrement l’objet d’un examen annuel détaillé des procédures et de la validation de ses dépenses. </w:t>
      </w:r>
      <w:r>
        <w:rPr>
          <w:noProof/>
        </w:rPr>
        <w:t xml:space="preserve">Des </w:t>
      </w:r>
      <w:hyperlink r:id="rId16" w:history="1">
        <w:r>
          <w:rPr>
            <w:rStyle w:val="Hyperlink"/>
            <w:noProof/>
          </w:rPr>
          <w:t>audits</w:t>
        </w:r>
      </w:hyperlink>
      <w:r>
        <w:rPr>
          <w:noProof/>
          <w:szCs w:val="24"/>
          <w:shd w:val="clear" w:color="auto" w:fill="FFFFFF"/>
        </w:rPr>
        <w:t xml:space="preserve"> sont réalisés par la Cour des comptes européenne, ainsi que par le service d’audit interne de la Commission. </w:t>
      </w:r>
      <w:r>
        <w:rPr>
          <w:noProof/>
        </w:rPr>
        <w:t xml:space="preserve">ECHO effectue également des audits portant sur les partenaires afin d’examiner si les subventions ont été dépensées conformément aux règles établies et de formuler des recommandations permettant aux partenaires d’améliorer leur gestion financière. </w:t>
      </w:r>
      <w:bookmarkEnd w:id="36"/>
      <w:bookmarkEnd w:id="37"/>
      <w:bookmarkEnd w:id="38"/>
    </w:p>
    <w:p>
      <w:pPr>
        <w:pStyle w:val="ManualHeading2"/>
        <w:rPr>
          <w:bCs/>
          <w:noProof/>
          <w:szCs w:val="24"/>
        </w:rPr>
      </w:pPr>
      <w:bookmarkStart w:id="39" w:name="_Toc514941988"/>
      <w:bookmarkStart w:id="40" w:name="_Toc39837061"/>
      <w:bookmarkStart w:id="41" w:name="_Toc39839408"/>
      <w:bookmarkStart w:id="42" w:name="_Toc41647984"/>
      <w:r>
        <w:t>2.3.</w:t>
      </w:r>
      <w:r>
        <w:tab/>
      </w:r>
      <w:r>
        <w:rPr>
          <w:noProof/>
        </w:rPr>
        <w:t>Mesures de prévention des fraudes et irrégularités</w:t>
      </w:r>
      <w:bookmarkEnd w:id="39"/>
      <w:bookmarkEnd w:id="40"/>
      <w:bookmarkEnd w:id="41"/>
      <w:bookmarkEnd w:id="42"/>
      <w:r>
        <w:rPr>
          <w:noProof/>
        </w:rPr>
        <w:t xml:space="preserve">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rPr>
          <w:noProof/>
        </w:rPr>
        <w:t>ECHO est doté d’une stratégie antifraude. Cette stratégie couvre tous les domaines clés tels que les différentes phases du cycle antifraude (prévention, détection, correction); la fraude interne et la fraude externe; toutes les activités de la DG, en particulier les actions d’aide humanitaire et de protection civile; les modes de gestion directe et indirecte; et l’étanchéité à la fraude de la législation.</w:t>
      </w:r>
    </w:p>
    <w:p>
      <w:pPr>
        <w:pStyle w:val="ManualHeading1"/>
        <w:rPr>
          <w:bCs/>
          <w:noProof/>
          <w:szCs w:val="24"/>
        </w:rPr>
      </w:pPr>
      <w:r>
        <w:t>3.</w:t>
      </w:r>
      <w:r>
        <w:tab/>
      </w:r>
      <w:r>
        <w:rPr>
          <w:noProof/>
        </w:rPr>
        <w:t xml:space="preserve"> </w:t>
      </w:r>
      <w:bookmarkStart w:id="43" w:name="_Toc514941989"/>
      <w:bookmarkStart w:id="44" w:name="_Toc41647985"/>
      <w:r>
        <w:rPr>
          <w:noProof/>
        </w:rPr>
        <w:t>INCIDENCE FINANCIÈRE ESTIMÉE DE LA PROPOSITION/DE L'INITIATIVE</w:t>
      </w:r>
      <w:bookmarkEnd w:id="43"/>
      <w:bookmarkEnd w:id="44"/>
      <w:r>
        <w:rPr>
          <w:noProof/>
        </w:rPr>
        <w:t xml:space="preserve"> </w:t>
      </w:r>
    </w:p>
    <w:p>
      <w:pPr>
        <w:pStyle w:val="ManualHeading2"/>
        <w:rPr>
          <w:noProof/>
        </w:rPr>
      </w:pPr>
      <w:bookmarkStart w:id="45" w:name="_Toc514941990"/>
      <w:bookmarkStart w:id="46" w:name="_Toc41647986"/>
      <w:r>
        <w:t>3.1.</w:t>
      </w:r>
      <w:r>
        <w:tab/>
      </w:r>
      <w:r>
        <w:rPr>
          <w:noProof/>
        </w:rPr>
        <w:t>Rubrique du cadre financier pluriannuel et nouvelle(s) ligne(s) budgétaire(s) de dépenses proposée(s)</w:t>
      </w:r>
      <w:bookmarkEnd w:id="45"/>
      <w:bookmarkEnd w:id="46"/>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Align w:val="center"/>
          </w:tcPr>
          <w:p>
            <w:pPr>
              <w:spacing w:before="60" w:after="60"/>
              <w:jc w:val="center"/>
              <w:rPr>
                <w:noProof/>
                <w:sz w:val="18"/>
              </w:rPr>
            </w:pPr>
          </w:p>
        </w:tc>
        <w:tc>
          <w:tcPr>
            <w:tcW w:w="3960" w:type="dxa"/>
            <w:vAlign w:val="center"/>
          </w:tcPr>
          <w:p>
            <w:pPr>
              <w:spacing w:before="60" w:after="60"/>
              <w:jc w:val="center"/>
              <w:rPr>
                <w:noProof/>
                <w:sz w:val="20"/>
              </w:rPr>
            </w:pPr>
          </w:p>
        </w:tc>
        <w:tc>
          <w:tcPr>
            <w:tcW w:w="1080" w:type="dxa"/>
            <w:vAlign w:val="center"/>
          </w:tcPr>
          <w:p>
            <w:pPr>
              <w:spacing w:before="60" w:after="60"/>
              <w:jc w:val="center"/>
              <w:rPr>
                <w:noProof/>
                <w:sz w:val="18"/>
              </w:rPr>
            </w:pPr>
          </w:p>
        </w:tc>
        <w:tc>
          <w:tcPr>
            <w:tcW w:w="4440" w:type="dxa"/>
            <w:gridSpan w:val="4"/>
            <w:vAlign w:val="center"/>
          </w:tcPr>
          <w:p>
            <w:pPr>
              <w:spacing w:before="60" w:after="60"/>
              <w:jc w:val="center"/>
              <w:rPr>
                <w:noProof/>
                <w:sz w:val="20"/>
              </w:rPr>
            </w:pPr>
          </w:p>
        </w:tc>
      </w:tr>
      <w:tr>
        <w:tc>
          <w:tcPr>
            <w:tcW w:w="1080" w:type="dxa"/>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 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Align w:val="center"/>
          </w:tcPr>
          <w:p>
            <w:pPr>
              <w:jc w:val="center"/>
              <w:rPr>
                <w:noProof/>
              </w:rPr>
            </w:pPr>
          </w:p>
        </w:tc>
        <w:tc>
          <w:tcPr>
            <w:tcW w:w="3960" w:type="dxa"/>
            <w:vAlign w:val="center"/>
          </w:tcPr>
          <w:p>
            <w:pPr>
              <w:rPr>
                <w:b/>
                <w:noProof/>
              </w:rPr>
            </w:pPr>
            <w:r>
              <w:rPr>
                <w:b/>
                <w:noProof/>
                <w:sz w:val="20"/>
              </w:rPr>
              <w:t>Rubrique 6. Le voisinage et le monde</w:t>
            </w:r>
          </w:p>
        </w:tc>
        <w:tc>
          <w:tcPr>
            <w:tcW w:w="1080" w:type="dxa"/>
            <w:vAlign w:val="center"/>
          </w:tcPr>
          <w:p>
            <w:pPr>
              <w:jc w:val="center"/>
              <w:rPr>
                <w:noProof/>
              </w:rPr>
            </w:pPr>
            <w:r>
              <w:rPr>
                <w:noProof/>
                <w:sz w:val="18"/>
              </w:rPr>
              <w:t>CD/CND</w:t>
            </w:r>
            <w:r>
              <w:rPr>
                <w:rStyle w:val="FootnoteReference"/>
                <w:noProof/>
                <w:sz w:val="18"/>
              </w:rPr>
              <w:footnoteReference w:id="7"/>
            </w:r>
          </w:p>
        </w:tc>
        <w:tc>
          <w:tcPr>
            <w:tcW w:w="1044" w:type="dxa"/>
            <w:vAlign w:val="center"/>
          </w:tcPr>
          <w:p>
            <w:pPr>
              <w:jc w:val="center"/>
              <w:rPr>
                <w:noProof/>
              </w:rPr>
            </w:pPr>
            <w:r>
              <w:rPr>
                <w:noProof/>
                <w:sz w:val="18"/>
              </w:rPr>
              <w:t>de pays AELE</w:t>
            </w:r>
            <w:r>
              <w:rPr>
                <w:rStyle w:val="FootnoteReference"/>
                <w:noProof/>
                <w:sz w:val="18"/>
              </w:rPr>
              <w:footnoteReference w:id="8"/>
            </w:r>
          </w:p>
          <w:p>
            <w:pPr>
              <w:spacing w:before="0" w:after="0"/>
              <w:jc w:val="center"/>
              <w:rPr>
                <w:b/>
                <w:noProof/>
                <w:sz w:val="18"/>
              </w:rPr>
            </w:pPr>
          </w:p>
        </w:tc>
        <w:tc>
          <w:tcPr>
            <w:tcW w:w="1134" w:type="dxa"/>
            <w:vAlign w:val="center"/>
          </w:tcPr>
          <w:p>
            <w:pPr>
              <w:jc w:val="center"/>
              <w:rPr>
                <w:noProof/>
              </w:rPr>
            </w:pPr>
            <w:r>
              <w:rPr>
                <w:noProof/>
                <w:sz w:val="18"/>
              </w:rPr>
              <w:t>de pays candidats</w:t>
            </w:r>
            <w:r>
              <w:rPr>
                <w:rStyle w:val="FootnoteReference"/>
                <w:noProof/>
                <w:sz w:val="18"/>
              </w:rPr>
              <w:footnoteReference w:id="9"/>
            </w:r>
          </w:p>
          <w:p>
            <w:pPr>
              <w:spacing w:before="0" w:after="0"/>
              <w:jc w:val="center"/>
              <w:rPr>
                <w:noProof/>
                <w:sz w:val="18"/>
              </w:rPr>
            </w:pPr>
          </w:p>
        </w:tc>
        <w:tc>
          <w:tcPr>
            <w:tcW w:w="814"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r>
              <w:rPr>
                <w:noProof/>
                <w:color w:val="0000FF"/>
              </w:rPr>
              <w:t>6</w:t>
            </w:r>
          </w:p>
        </w:tc>
        <w:tc>
          <w:tcPr>
            <w:tcW w:w="3960" w:type="dxa"/>
            <w:vAlign w:val="center"/>
          </w:tcPr>
          <w:p>
            <w:pPr>
              <w:spacing w:after="60"/>
              <w:rPr>
                <w:noProof/>
              </w:rPr>
            </w:pPr>
            <w:r>
              <w:rPr>
                <w:noProof/>
              </w:rPr>
              <w:t>15 01 02 Dépenses d’appui pour l’«aide humanitaire»</w:t>
            </w:r>
          </w:p>
        </w:tc>
        <w:tc>
          <w:tcPr>
            <w:tcW w:w="1080" w:type="dxa"/>
            <w:vAlign w:val="center"/>
          </w:tcPr>
          <w:p>
            <w:pPr>
              <w:jc w:val="center"/>
              <w:rPr>
                <w:noProof/>
                <w:color w:val="0000FF"/>
              </w:rPr>
            </w:pPr>
            <w:r>
              <w:rPr>
                <w:noProof/>
                <w:sz w:val="22"/>
              </w:rPr>
              <w:t>CND</w:t>
            </w:r>
          </w:p>
        </w:tc>
        <w:tc>
          <w:tcPr>
            <w:tcW w:w="1044" w:type="dxa"/>
            <w:vAlign w:val="center"/>
          </w:tcPr>
          <w:p>
            <w:pPr>
              <w:jc w:val="center"/>
              <w:rPr>
                <w:noProof/>
              </w:rPr>
            </w:pPr>
            <w:r>
              <w:rPr>
                <w:noProof/>
                <w:sz w:val="22"/>
              </w:rPr>
              <w:t>OUI</w:t>
            </w:r>
          </w:p>
        </w:tc>
        <w:tc>
          <w:tcPr>
            <w:tcW w:w="1134" w:type="dxa"/>
            <w:vAlign w:val="center"/>
          </w:tcPr>
          <w:p>
            <w:pPr>
              <w:jc w:val="center"/>
              <w:rPr>
                <w:noProof/>
              </w:rPr>
            </w:pPr>
            <w:r>
              <w:rPr>
                <w:noProof/>
                <w:sz w:val="22"/>
              </w:rPr>
              <w:t>OUI</w:t>
            </w:r>
          </w:p>
        </w:tc>
        <w:tc>
          <w:tcPr>
            <w:tcW w:w="814" w:type="dxa"/>
            <w:vAlign w:val="center"/>
          </w:tcPr>
          <w:p>
            <w:pPr>
              <w:jc w:val="center"/>
              <w:rPr>
                <w:noProof/>
              </w:rPr>
            </w:pPr>
            <w:r>
              <w:rPr>
                <w:noProof/>
                <w:sz w:val="22"/>
              </w:rPr>
              <w:t>OUI</w:t>
            </w:r>
          </w:p>
        </w:tc>
        <w:tc>
          <w:tcPr>
            <w:tcW w:w="1448" w:type="dxa"/>
            <w:vAlign w:val="center"/>
          </w:tcPr>
          <w:p>
            <w:pPr>
              <w:jc w:val="center"/>
              <w:rPr>
                <w:noProof/>
              </w:rPr>
            </w:pPr>
            <w:r>
              <w:rPr>
                <w:noProof/>
                <w:sz w:val="22"/>
              </w:rPr>
              <w:t>NON</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rPr>
            </w:pPr>
            <w:r>
              <w:rPr>
                <w:noProof/>
              </w:rPr>
              <w:t>15 03 01 Aide humanitaire</w:t>
            </w:r>
          </w:p>
        </w:tc>
        <w:tc>
          <w:tcPr>
            <w:tcW w:w="1080" w:type="dxa"/>
            <w:vAlign w:val="center"/>
          </w:tcPr>
          <w:p>
            <w:pPr>
              <w:jc w:val="center"/>
              <w:rPr>
                <w:noProof/>
                <w:sz w:val="22"/>
              </w:rPr>
            </w:pPr>
            <w:r>
              <w:rPr>
                <w:noProof/>
                <w:sz w:val="22"/>
              </w:rPr>
              <w:t>CD</w:t>
            </w:r>
          </w:p>
        </w:tc>
        <w:tc>
          <w:tcPr>
            <w:tcW w:w="1044" w:type="dxa"/>
            <w:vAlign w:val="center"/>
          </w:tcPr>
          <w:p>
            <w:pPr>
              <w:jc w:val="center"/>
              <w:rPr>
                <w:noProof/>
                <w:sz w:val="22"/>
              </w:rPr>
            </w:pPr>
            <w:r>
              <w:rPr>
                <w:noProof/>
                <w:sz w:val="22"/>
              </w:rPr>
              <w:t>OUI</w:t>
            </w:r>
          </w:p>
        </w:tc>
        <w:tc>
          <w:tcPr>
            <w:tcW w:w="1134" w:type="dxa"/>
            <w:vAlign w:val="center"/>
          </w:tcPr>
          <w:p>
            <w:pPr>
              <w:jc w:val="center"/>
              <w:rPr>
                <w:noProof/>
                <w:sz w:val="22"/>
              </w:rPr>
            </w:pPr>
            <w:r>
              <w:rPr>
                <w:noProof/>
                <w:sz w:val="22"/>
              </w:rPr>
              <w:t>OUI</w:t>
            </w:r>
          </w:p>
        </w:tc>
        <w:tc>
          <w:tcPr>
            <w:tcW w:w="814" w:type="dxa"/>
            <w:vAlign w:val="center"/>
          </w:tcPr>
          <w:p>
            <w:pPr>
              <w:jc w:val="center"/>
              <w:rPr>
                <w:noProof/>
                <w:sz w:val="22"/>
              </w:rPr>
            </w:pPr>
            <w:r>
              <w:rPr>
                <w:noProof/>
                <w:sz w:val="22"/>
              </w:rPr>
              <w:t>OUI</w:t>
            </w:r>
          </w:p>
        </w:tc>
        <w:tc>
          <w:tcPr>
            <w:tcW w:w="1448" w:type="dxa"/>
            <w:vAlign w:val="center"/>
          </w:tcPr>
          <w:p>
            <w:pPr>
              <w:jc w:val="center"/>
              <w:rPr>
                <w:noProof/>
                <w:sz w:val="22"/>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47" w:name="_Toc514941991"/>
      <w:bookmarkStart w:id="48" w:name="_Toc41647987"/>
      <w:r>
        <w:t>3.2.</w:t>
      </w:r>
      <w:r>
        <w:tab/>
      </w:r>
      <w:r>
        <w:rPr>
          <w:noProof/>
        </w:rPr>
        <w:t>Incidence estimée sur les dépenses</w:t>
      </w:r>
      <w:bookmarkEnd w:id="47"/>
      <w:bookmarkEnd w:id="48"/>
      <w:r>
        <w:rPr>
          <w:noProof/>
        </w:rPr>
        <w:t xml:space="preserve"> </w:t>
      </w:r>
    </w:p>
    <w:p>
      <w:pPr>
        <w:pStyle w:val="ManualHeading3"/>
        <w:rPr>
          <w:noProof/>
          <w:u w:val="single"/>
        </w:rPr>
      </w:pPr>
      <w:bookmarkStart w:id="49" w:name="_Toc514941992"/>
      <w:bookmarkStart w:id="50" w:name="_Toc41647988"/>
      <w:r>
        <w:t>3.2.1.</w:t>
      </w:r>
      <w:r>
        <w:tab/>
      </w:r>
      <w:r>
        <w:rPr>
          <w:noProof/>
        </w:rPr>
        <w:t>Synthèse de l'incidence estimée sur les dépenses</w:t>
      </w:r>
      <w:bookmarkEnd w:id="49"/>
      <w:bookmarkEnd w:id="50"/>
      <w:r>
        <w:rPr>
          <w:noProof/>
        </w:rPr>
        <w:t xml:space="preserve"> </w:t>
      </w:r>
    </w:p>
    <w:p>
      <w:pPr>
        <w:rPr>
          <w:i/>
          <w:noProof/>
        </w:rPr>
      </w:pPr>
      <w:r>
        <w:rPr>
          <w:noProof/>
          <w:sz w:val="20"/>
        </w:rPr>
        <w:t>En Mio EUR (à la 3</w:t>
      </w:r>
      <w:r>
        <w:rPr>
          <w:noProof/>
          <w:sz w:val="20"/>
          <w:vertAlign w:val="superscript"/>
        </w:rPr>
        <w:t>e</w:t>
      </w:r>
      <w:r>
        <w:rPr>
          <w:noProof/>
          <w:sz w:val="20"/>
        </w:rPr>
        <w:t> décimale)</w:t>
      </w:r>
    </w:p>
    <w:p>
      <w:pPr>
        <w:rPr>
          <w:i/>
          <w:noProof/>
        </w:rPr>
      </w:pPr>
    </w:p>
    <w:p>
      <w:pPr>
        <w:rPr>
          <w:i/>
          <w:iCs/>
          <w:noProof/>
        </w:rPr>
      </w:pPr>
      <w:r>
        <w:rPr>
          <w:i/>
          <w:iCs/>
          <w:noProof/>
        </w:rPr>
        <w:t xml:space="preserve">Outre les ressources mises à disposition dans le cadre du plafond du </w:t>
      </w:r>
      <w:r>
        <w:rPr>
          <w:i/>
          <w:noProof/>
          <w:highlight w:val="yellow"/>
        </w:rPr>
        <w:t>CFP</w:t>
      </w:r>
      <w:r>
        <w:rPr>
          <w:i/>
          <w:iCs/>
          <w:noProof/>
        </w:rPr>
        <w:t xml:space="preserve"> pour la rubrique, [5 468 000 000 EUR] (en prix courants) seront disponibles en tant que recettes affectées externes au sens de l’article 21, paragraphe 5, du règlement financier, comme financement provenant de l’instrument de l’Union européenne pour la relance. Sur ce montant, jusqu’à 42 000 000 EUR pourraient être consacrés aux dépenses administratives, qui incluent les frais de personnel externe.</w:t>
      </w:r>
    </w:p>
    <w:p>
      <w:pPr>
        <w:rPr>
          <w:i/>
          <w:noProof/>
        </w:rPr>
      </w:pPr>
      <w:r>
        <w:rPr>
          <w:i/>
          <w:noProof/>
        </w:rPr>
        <w:t>La ventilation indicative des dépenses imputables aux recettes affectées externes est la suivante:</w:t>
      </w:r>
    </w:p>
    <w:p>
      <w:pPr>
        <w:rPr>
          <w:i/>
          <w:noProof/>
        </w:rPr>
      </w:pP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18"/>
        <w:gridCol w:w="709"/>
        <w:gridCol w:w="1134"/>
        <w:gridCol w:w="1134"/>
        <w:gridCol w:w="1134"/>
        <w:gridCol w:w="1134"/>
        <w:gridCol w:w="992"/>
        <w:gridCol w:w="992"/>
        <w:gridCol w:w="851"/>
        <w:gridCol w:w="1196"/>
      </w:tblGrid>
      <w:tr>
        <w:tc>
          <w:tcPr>
            <w:tcW w:w="2943" w:type="dxa"/>
            <w:vAlign w:val="center"/>
          </w:tcPr>
          <w:p>
            <w:pPr>
              <w:jc w:val="center"/>
              <w:rPr>
                <w:noProof/>
                <w:sz w:val="20"/>
                <w:szCs w:val="20"/>
              </w:rPr>
            </w:pPr>
            <w:r>
              <w:rPr>
                <w:noProof/>
                <w:sz w:val="20"/>
                <w:szCs w:val="20"/>
              </w:rPr>
              <w:t>[–Aide humanitaire]</w:t>
            </w:r>
          </w:p>
        </w:tc>
        <w:tc>
          <w:tcPr>
            <w:tcW w:w="1418" w:type="dxa"/>
            <w:vAlign w:val="center"/>
          </w:tcPr>
          <w:p>
            <w:pPr>
              <w:jc w:val="center"/>
              <w:rPr>
                <w:noProof/>
                <w:sz w:val="20"/>
                <w:szCs w:val="20"/>
              </w:rPr>
            </w:pPr>
          </w:p>
        </w:tc>
        <w:tc>
          <w:tcPr>
            <w:tcW w:w="709" w:type="dxa"/>
            <w:vAlign w:val="center"/>
          </w:tcPr>
          <w:p>
            <w:pPr>
              <w:jc w:val="center"/>
              <w:rPr>
                <w:noProof/>
                <w:sz w:val="20"/>
                <w:szCs w:val="20"/>
              </w:rPr>
            </w:pPr>
          </w:p>
        </w:tc>
        <w:tc>
          <w:tcPr>
            <w:tcW w:w="1134" w:type="dxa"/>
            <w:vAlign w:val="center"/>
          </w:tcPr>
          <w:p>
            <w:pPr>
              <w:jc w:val="center"/>
              <w:rPr>
                <w:noProof/>
                <w:sz w:val="20"/>
                <w:szCs w:val="20"/>
              </w:rPr>
            </w:pPr>
            <w:r>
              <w:rPr>
                <w:b/>
                <w:noProof/>
                <w:sz w:val="20"/>
                <w:szCs w:val="20"/>
              </w:rPr>
              <w:t>2021</w:t>
            </w:r>
          </w:p>
        </w:tc>
        <w:tc>
          <w:tcPr>
            <w:tcW w:w="1134" w:type="dxa"/>
            <w:vAlign w:val="center"/>
          </w:tcPr>
          <w:p>
            <w:pPr>
              <w:jc w:val="center"/>
              <w:rPr>
                <w:noProof/>
                <w:sz w:val="20"/>
                <w:szCs w:val="20"/>
              </w:rPr>
            </w:pPr>
            <w:r>
              <w:rPr>
                <w:b/>
                <w:noProof/>
                <w:sz w:val="20"/>
                <w:szCs w:val="20"/>
              </w:rPr>
              <w:t>2022</w:t>
            </w:r>
          </w:p>
        </w:tc>
        <w:tc>
          <w:tcPr>
            <w:tcW w:w="1134" w:type="dxa"/>
            <w:vAlign w:val="center"/>
          </w:tcPr>
          <w:p>
            <w:pPr>
              <w:jc w:val="center"/>
              <w:rPr>
                <w:noProof/>
                <w:sz w:val="20"/>
                <w:szCs w:val="20"/>
              </w:rPr>
            </w:pPr>
            <w:r>
              <w:rPr>
                <w:b/>
                <w:noProof/>
                <w:sz w:val="20"/>
                <w:szCs w:val="20"/>
              </w:rPr>
              <w:t>2023</w:t>
            </w:r>
          </w:p>
        </w:tc>
        <w:tc>
          <w:tcPr>
            <w:tcW w:w="1134" w:type="dxa"/>
            <w:vAlign w:val="center"/>
          </w:tcPr>
          <w:p>
            <w:pPr>
              <w:jc w:val="center"/>
              <w:rPr>
                <w:noProof/>
                <w:sz w:val="20"/>
                <w:szCs w:val="20"/>
              </w:rPr>
            </w:pPr>
            <w:r>
              <w:rPr>
                <w:b/>
                <w:noProof/>
                <w:sz w:val="20"/>
                <w:szCs w:val="20"/>
              </w:rPr>
              <w:t>2024</w:t>
            </w:r>
          </w:p>
        </w:tc>
        <w:tc>
          <w:tcPr>
            <w:tcW w:w="992" w:type="dxa"/>
            <w:vAlign w:val="center"/>
          </w:tcPr>
          <w:p>
            <w:pPr>
              <w:jc w:val="center"/>
              <w:rPr>
                <w:b/>
                <w:noProof/>
                <w:sz w:val="20"/>
                <w:szCs w:val="20"/>
              </w:rPr>
            </w:pPr>
            <w:r>
              <w:rPr>
                <w:b/>
                <w:noProof/>
                <w:sz w:val="20"/>
                <w:szCs w:val="20"/>
              </w:rPr>
              <w:t>2025</w:t>
            </w:r>
          </w:p>
        </w:tc>
        <w:tc>
          <w:tcPr>
            <w:tcW w:w="992" w:type="dxa"/>
            <w:vAlign w:val="center"/>
          </w:tcPr>
          <w:p>
            <w:pPr>
              <w:jc w:val="center"/>
              <w:rPr>
                <w:b/>
                <w:noProof/>
                <w:sz w:val="20"/>
                <w:szCs w:val="20"/>
              </w:rPr>
            </w:pPr>
            <w:r>
              <w:rPr>
                <w:b/>
                <w:noProof/>
                <w:sz w:val="20"/>
                <w:szCs w:val="20"/>
              </w:rPr>
              <w:t>2026</w:t>
            </w:r>
          </w:p>
        </w:tc>
        <w:tc>
          <w:tcPr>
            <w:tcW w:w="851" w:type="dxa"/>
            <w:vAlign w:val="center"/>
          </w:tcPr>
          <w:p>
            <w:pPr>
              <w:jc w:val="center"/>
              <w:rPr>
                <w:b/>
                <w:noProof/>
                <w:sz w:val="20"/>
                <w:szCs w:val="20"/>
              </w:rPr>
            </w:pPr>
            <w:r>
              <w:rPr>
                <w:b/>
                <w:noProof/>
                <w:sz w:val="20"/>
                <w:szCs w:val="20"/>
              </w:rPr>
              <w:t>2027</w:t>
            </w:r>
          </w:p>
        </w:tc>
        <w:tc>
          <w:tcPr>
            <w:tcW w:w="1196" w:type="dxa"/>
            <w:vAlign w:val="center"/>
          </w:tcPr>
          <w:p>
            <w:pPr>
              <w:jc w:val="center"/>
              <w:rPr>
                <w:b/>
                <w:noProof/>
                <w:sz w:val="20"/>
                <w:szCs w:val="20"/>
              </w:rPr>
            </w:pPr>
            <w:r>
              <w:rPr>
                <w:b/>
                <w:noProof/>
                <w:sz w:val="20"/>
                <w:szCs w:val="20"/>
              </w:rPr>
              <w:t>TOTAL</w:t>
            </w:r>
          </w:p>
        </w:tc>
      </w:tr>
      <w:tr>
        <w:tc>
          <w:tcPr>
            <w:tcW w:w="2943"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noProof/>
                <w:sz w:val="20"/>
                <w:szCs w:val="20"/>
              </w:rPr>
              <w:t>Dépenses opérationnelles imputables aux recettes affectées externes de l’EURI</w:t>
            </w:r>
          </w:p>
          <w:p>
            <w:pPr>
              <w:jc w:val="center"/>
              <w:rPr>
                <w:noProo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Engagements</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1 316,170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1 341,170 </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1 368,170</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1 400,490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w:t>
            </w:r>
          </w:p>
        </w:tc>
        <w:tc>
          <w:tcPr>
            <w:tcW w:w="1196"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color w:val="000000"/>
                <w:sz w:val="20"/>
                <w:szCs w:val="20"/>
              </w:rPr>
              <w:t xml:space="preserve">5 426,000   </w:t>
            </w:r>
          </w:p>
        </w:tc>
      </w:tr>
      <w:tr>
        <w:tc>
          <w:tcPr>
            <w:tcW w:w="2943"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Paiements</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864,621</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1 214,845</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color w:val="000000"/>
                <w:sz w:val="20"/>
                <w:szCs w:val="20"/>
              </w:rPr>
            </w:pPr>
            <w:r>
              <w:rPr>
                <w:rFonts w:ascii="Calibri" w:hAnsi="Calibri"/>
                <w:noProof/>
                <w:color w:val="000000"/>
                <w:sz w:val="20"/>
                <w:szCs w:val="20"/>
              </w:rPr>
              <w:t>1 356,504</w:t>
            </w:r>
          </w:p>
          <w:p>
            <w:pPr>
              <w:jc w:val="center"/>
              <w:rPr>
                <w:rFonts w:asciiTheme="minorHAnsi" w:hAnsiTheme="minorHAnsi" w:cstheme="minorHAnsi"/>
                <w:b/>
                <w:noProo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color w:val="000000"/>
                <w:sz w:val="20"/>
                <w:szCs w:val="20"/>
              </w:rPr>
            </w:pPr>
            <w:r>
              <w:rPr>
                <w:rFonts w:ascii="Calibri" w:hAnsi="Calibri"/>
                <w:noProof/>
                <w:color w:val="000000"/>
                <w:sz w:val="20"/>
                <w:szCs w:val="20"/>
              </w:rPr>
              <w:t>1.383,504</w:t>
            </w:r>
          </w:p>
          <w:p>
            <w:pPr>
              <w:jc w:val="center"/>
              <w:rPr>
                <w:rFonts w:asciiTheme="minorHAnsi" w:hAnsiTheme="minorHAnsi" w:cstheme="minorHAnsi"/>
                <w:b/>
                <w:noProo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477,110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129,416</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      </w:t>
            </w:r>
          </w:p>
        </w:tc>
        <w:tc>
          <w:tcPr>
            <w:tcW w:w="1196"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color w:val="000000"/>
                <w:sz w:val="20"/>
                <w:szCs w:val="20"/>
              </w:rPr>
              <w:t xml:space="preserve">5 426,000   </w:t>
            </w:r>
          </w:p>
        </w:tc>
      </w:tr>
      <w:tr>
        <w:tc>
          <w:tcPr>
            <w:tcW w:w="2943"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Dépenses d’appui administratif imputables aux recettes affectées externes de l’EURI</w:t>
            </w:r>
          </w:p>
          <w:p>
            <w:pPr>
              <w:jc w:val="center"/>
              <w:rPr>
                <w:noProo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Engagements = Paiements</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sz w:val="20"/>
                <w:szCs w:val="20"/>
              </w:rPr>
            </w:pPr>
            <w:r>
              <w:rPr>
                <w:rFonts w:ascii="Calibri" w:hAnsi="Calibri"/>
                <w:noProof/>
                <w:sz w:val="20"/>
                <w:szCs w:val="20"/>
              </w:rPr>
              <w:t>5,830</w:t>
            </w:r>
          </w:p>
          <w:p>
            <w:pPr>
              <w:jc w:val="center"/>
              <w:rPr>
                <w:rFonts w:asciiTheme="minorHAnsi" w:hAnsiTheme="minorHAnsi" w:cstheme="minorHAnsi"/>
                <w:b/>
                <w:noProo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sz w:val="20"/>
                <w:szCs w:val="20"/>
              </w:rPr>
              <w:t>7,830</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sz w:val="20"/>
                <w:szCs w:val="20"/>
              </w:rPr>
              <w:t>7,830</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sz w:val="20"/>
                <w:szCs w:val="20"/>
              </w:rPr>
              <w:t>7,830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sz w:val="20"/>
                <w:szCs w:val="20"/>
              </w:rPr>
            </w:pPr>
            <w:r>
              <w:rPr>
                <w:rFonts w:ascii="Calibri" w:hAnsi="Calibri"/>
                <w:noProof/>
                <w:sz w:val="20"/>
                <w:szCs w:val="20"/>
              </w:rPr>
              <w:t>5,830</w:t>
            </w:r>
          </w:p>
          <w:p>
            <w:pPr>
              <w:jc w:val="center"/>
              <w:rPr>
                <w:rFonts w:asciiTheme="minorHAnsi" w:hAnsiTheme="minorHAnsi" w:cstheme="minorHAnsi"/>
                <w:b/>
                <w:noProo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sz w:val="20"/>
                <w:szCs w:val="20"/>
              </w:rPr>
              <w:t>4,230</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sz w:val="20"/>
                <w:szCs w:val="20"/>
              </w:rPr>
            </w:pPr>
            <w:r>
              <w:rPr>
                <w:rFonts w:ascii="Calibri" w:hAnsi="Calibri"/>
                <w:noProof/>
                <w:sz w:val="20"/>
                <w:szCs w:val="20"/>
              </w:rPr>
              <w:t>2,620</w:t>
            </w:r>
          </w:p>
          <w:p>
            <w:pPr>
              <w:jc w:val="center"/>
              <w:rPr>
                <w:rFonts w:asciiTheme="minorHAnsi" w:hAnsiTheme="minorHAnsi" w:cstheme="minorHAnsi"/>
                <w:b/>
                <w:noProof/>
                <w:sz w:val="20"/>
                <w:szCs w:val="20"/>
              </w:rPr>
            </w:pPr>
          </w:p>
        </w:tc>
        <w:tc>
          <w:tcPr>
            <w:tcW w:w="1196"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42,000 </w:t>
            </w:r>
          </w:p>
        </w:tc>
      </w:tr>
      <w:tr>
        <w:tc>
          <w:tcPr>
            <w:tcW w:w="2943"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noProof/>
                <w:sz w:val="20"/>
                <w:szCs w:val="20"/>
              </w:rPr>
              <w:t>Total recettes affectées externes</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Engagements</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1 322,000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1 349,000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1 376,000   </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1 408,320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color w:val="000000"/>
                <w:sz w:val="20"/>
                <w:szCs w:val="20"/>
              </w:rPr>
            </w:pPr>
            <w:r>
              <w:rPr>
                <w:rFonts w:ascii="Calibri" w:hAnsi="Calibri"/>
                <w:noProof/>
                <w:color w:val="000000"/>
                <w:sz w:val="20"/>
                <w:szCs w:val="20"/>
              </w:rPr>
              <w:t>5,830</w:t>
            </w:r>
          </w:p>
          <w:p>
            <w:pPr>
              <w:jc w:val="center"/>
              <w:rPr>
                <w:rFonts w:asciiTheme="minorHAnsi" w:hAnsiTheme="minorHAnsi" w:cstheme="minorHAnsi"/>
                <w:b/>
                <w:noProo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4,230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2,620</w:t>
            </w:r>
          </w:p>
        </w:tc>
        <w:tc>
          <w:tcPr>
            <w:tcW w:w="1196"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color w:val="000000"/>
                <w:sz w:val="20"/>
                <w:szCs w:val="20"/>
              </w:rPr>
              <w:t xml:space="preserve">5 468,000   </w:t>
            </w:r>
          </w:p>
        </w:tc>
      </w:tr>
      <w:tr>
        <w:tc>
          <w:tcPr>
            <w:tcW w:w="2943"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Paiements</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=2+3</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870,451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1 222,675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1 364,334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1 391,334   </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482,940   </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133,646</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2,620</w:t>
            </w:r>
          </w:p>
        </w:tc>
        <w:tc>
          <w:tcPr>
            <w:tcW w:w="1196"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color w:val="000000"/>
                <w:sz w:val="20"/>
                <w:szCs w:val="20"/>
              </w:rPr>
              <w:t xml:space="preserve">5 468,000   </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«Dépenses administratives»</w:t>
            </w:r>
          </w:p>
        </w:tc>
      </w:tr>
    </w:tbl>
    <w:p>
      <w:pPr>
        <w:jc w:val="left"/>
        <w:rPr>
          <w:noProof/>
          <w:color w:val="0000FF"/>
        </w:rPr>
      </w:pPr>
    </w:p>
    <w:p>
      <w:pPr>
        <w:jc w:val="left"/>
        <w:rPr>
          <w:noProof/>
        </w:rPr>
      </w:pPr>
    </w:p>
    <w:p>
      <w:pPr>
        <w:jc w:val="right"/>
        <w:rPr>
          <w:noProof/>
          <w:sz w:val="20"/>
        </w:rPr>
      </w:pPr>
      <w:r>
        <w:rPr>
          <w:noProof/>
          <w:sz w:val="20"/>
        </w:rPr>
        <w:t>En Mio EUR (à la 3</w:t>
      </w:r>
      <w:r>
        <w:rPr>
          <w:noProof/>
          <w:sz w:val="20"/>
          <w:vertAlign w:val="superscript"/>
        </w:rPr>
        <w:t>e</w:t>
      </w:r>
      <w:r>
        <w:rPr>
          <w:noProof/>
          <w:sz w:val="20"/>
        </w:rPr>
        <w:t> décimale)</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1291" w:type="dxa"/>
            <w:vAlign w:val="center"/>
          </w:tcPr>
          <w:p>
            <w:pPr>
              <w:spacing w:before="20" w:after="20"/>
              <w:jc w:val="right"/>
              <w:rPr>
                <w:b/>
                <w:noProof/>
                <w:sz w:val="20"/>
              </w:rPr>
            </w:pPr>
            <w:r>
              <w:rPr>
                <w:b/>
                <w:noProof/>
                <w:sz w:val="20"/>
              </w:rPr>
              <w:t>-</w:t>
            </w:r>
          </w:p>
        </w:tc>
      </w:tr>
    </w:tbl>
    <w:p>
      <w:pPr>
        <w:rPr>
          <w:noProof/>
        </w:rPr>
        <w:sectPr>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pPr>
        <w:pStyle w:val="ManualHeading3"/>
        <w:rPr>
          <w:bCs/>
          <w:noProof/>
          <w:szCs w:val="24"/>
        </w:rPr>
      </w:pPr>
      <w:bookmarkStart w:id="51" w:name="_Toc514941993"/>
      <w:bookmarkStart w:id="52" w:name="_Toc41647989"/>
      <w:r>
        <w:t>3.2.2.</w:t>
      </w:r>
      <w:r>
        <w:tab/>
      </w:r>
      <w:r>
        <w:rPr>
          <w:noProof/>
        </w:rPr>
        <w:t>Synthèse de l’incidence estimée sur les crédits de nature administrative</w:t>
      </w:r>
      <w:bookmarkEnd w:id="51"/>
      <w:bookmarkEnd w:id="52"/>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en-US"/>
              </w:rPr>
            </w:pPr>
            <w:r>
              <w:rPr>
                <w:b/>
                <w:noProof/>
                <w:sz w:val="16"/>
                <w:lang w:val="en-US"/>
              </w:rPr>
              <w:t>Hors RUBRIQUE 7</w:t>
            </w:r>
            <w:r>
              <w:rPr>
                <w:rStyle w:val="FootnoteReference"/>
                <w:b/>
                <w:noProof/>
                <w:sz w:val="16"/>
              </w:rPr>
              <w:footnoteReference w:id="10"/>
            </w:r>
            <w:r>
              <w:rPr>
                <w:noProof/>
                <w:lang w:val="en-US"/>
              </w:rPr>
              <w:t xml:space="preserve"> </w:t>
            </w:r>
            <w:r>
              <w:rPr>
                <w:noProof/>
                <w:lang w:val="en-US"/>
              </w:rPr>
              <w:br/>
            </w:r>
            <w:r>
              <w:rPr>
                <w:b/>
                <w:noProof/>
                <w:sz w:val="16"/>
                <w:lang w:val="en-US"/>
              </w:rPr>
              <w:t xml:space="preserve">of the multiannual financial framework </w:t>
            </w:r>
          </w:p>
          <w:p>
            <w:pPr>
              <w:spacing w:before="0" w:after="0" w:line="200" w:lineRule="exact"/>
              <w:jc w:val="center"/>
              <w:rPr>
                <w:b/>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b/>
                <w:noProof/>
                <w:sz w:val="16"/>
                <w:szCs w:val="16"/>
                <w:lang w:val="en-US"/>
              </w:rPr>
            </w:pPr>
          </w:p>
        </w:tc>
        <w:tc>
          <w:tcPr>
            <w:tcW w:w="1080" w:type="dxa"/>
            <w:vAlign w:val="center"/>
          </w:tcPr>
          <w:p>
            <w:pPr>
              <w:spacing w:before="60" w:after="60" w:line="200" w:lineRule="exact"/>
              <w:jc w:val="right"/>
              <w:rPr>
                <w:b/>
                <w:noProof/>
                <w:sz w:val="16"/>
                <w:szCs w:val="16"/>
                <w:lang w:val="en-US"/>
              </w:rPr>
            </w:pPr>
          </w:p>
        </w:tc>
      </w:tr>
      <w:tr>
        <w:trPr>
          <w:trHeight w:val="585"/>
        </w:trPr>
        <w:tc>
          <w:tcPr>
            <w:tcW w:w="1980" w:type="dxa"/>
            <w:vAlign w:val="center"/>
          </w:tcPr>
          <w:p>
            <w:pPr>
              <w:spacing w:before="60" w:after="60" w:line="200" w:lineRule="exact"/>
              <w:ind w:left="72"/>
              <w:jc w:val="left"/>
              <w:rPr>
                <w:noProof/>
                <w:sz w:val="16"/>
              </w:rPr>
            </w:pPr>
            <w:r>
              <w:rPr>
                <w:noProof/>
                <w:sz w:val="16"/>
              </w:rPr>
              <w:t xml:space="preserve">Ressources humaines -recettes affectées externes (hors recherche) </w:t>
            </w:r>
          </w:p>
        </w:tc>
        <w:tc>
          <w:tcPr>
            <w:tcW w:w="1080" w:type="dxa"/>
            <w:vAlign w:val="center"/>
          </w:tcPr>
          <w:p>
            <w:pPr>
              <w:spacing w:before="60" w:after="60" w:line="200" w:lineRule="exact"/>
              <w:jc w:val="right"/>
              <w:rPr>
                <w:noProof/>
                <w:sz w:val="16"/>
                <w:szCs w:val="16"/>
              </w:rPr>
            </w:pPr>
            <w:r>
              <w:rPr>
                <w:noProof/>
                <w:sz w:val="16"/>
                <w:szCs w:val="16"/>
              </w:rPr>
              <w:t>4,000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4,000</w:t>
            </w:r>
          </w:p>
        </w:tc>
        <w:tc>
          <w:tcPr>
            <w:tcW w:w="1080" w:type="dxa"/>
            <w:vAlign w:val="center"/>
          </w:tcPr>
          <w:p>
            <w:pPr>
              <w:spacing w:before="60" w:after="60" w:line="200" w:lineRule="exact"/>
              <w:jc w:val="right"/>
              <w:rPr>
                <w:noProof/>
                <w:sz w:val="16"/>
                <w:szCs w:val="16"/>
              </w:rPr>
            </w:pPr>
            <w:r>
              <w:rPr>
                <w:noProof/>
                <w:sz w:val="16"/>
                <w:szCs w:val="16"/>
              </w:rPr>
              <w:t>2,400</w:t>
            </w:r>
          </w:p>
        </w:tc>
        <w:tc>
          <w:tcPr>
            <w:tcW w:w="1080" w:type="dxa"/>
            <w:vAlign w:val="center"/>
          </w:tcPr>
          <w:p>
            <w:pPr>
              <w:spacing w:before="60" w:after="60" w:line="200" w:lineRule="exact"/>
              <w:jc w:val="right"/>
              <w:rPr>
                <w:noProof/>
                <w:sz w:val="16"/>
                <w:szCs w:val="16"/>
              </w:rPr>
            </w:pPr>
            <w:r>
              <w:rPr>
                <w:noProof/>
                <w:sz w:val="16"/>
                <w:szCs w:val="16"/>
              </w:rPr>
              <w:t>0,800</w:t>
            </w:r>
          </w:p>
        </w:tc>
        <w:tc>
          <w:tcPr>
            <w:tcW w:w="1080" w:type="dxa"/>
            <w:vAlign w:val="center"/>
          </w:tcPr>
          <w:p>
            <w:pPr>
              <w:spacing w:before="60" w:after="60" w:line="200" w:lineRule="exact"/>
              <w:jc w:val="right"/>
              <w:rPr>
                <w:noProof/>
                <w:sz w:val="16"/>
                <w:szCs w:val="16"/>
              </w:rPr>
            </w:pPr>
            <w:r>
              <w:rPr>
                <w:noProof/>
                <w:sz w:val="16"/>
                <w:szCs w:val="16"/>
              </w:rPr>
              <w:t>29,200</w:t>
            </w:r>
          </w:p>
        </w:tc>
      </w:tr>
      <w:tr>
        <w:trPr>
          <w:trHeight w:val="585"/>
        </w:trPr>
        <w:tc>
          <w:tcPr>
            <w:tcW w:w="1980" w:type="dxa"/>
            <w:vAlign w:val="center"/>
          </w:tcPr>
          <w:p>
            <w:pPr>
              <w:spacing w:before="60" w:after="60" w:line="200" w:lineRule="exact"/>
              <w:ind w:left="72"/>
              <w:jc w:val="left"/>
              <w:rPr>
                <w:noProof/>
                <w:sz w:val="16"/>
              </w:rPr>
            </w:pPr>
            <w:r>
              <w:rPr>
                <w:noProof/>
                <w:sz w:val="16"/>
              </w:rPr>
              <w:t xml:space="preserve">Autres dépenses de nature administrative -recettes affectées externes (hors recherche) </w:t>
            </w: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1,820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 xml:space="preserve">    12,800 </w:t>
            </w:r>
          </w:p>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rPr>
            </w:pPr>
            <w:r>
              <w:rPr>
                <w:noProof/>
                <w:sz w:val="16"/>
              </w:rPr>
              <w:t>Sous-total recettes affectées externes (hors recherche)</w:t>
            </w:r>
          </w:p>
        </w:tc>
        <w:tc>
          <w:tcPr>
            <w:tcW w:w="1080" w:type="dxa"/>
            <w:vAlign w:val="center"/>
          </w:tcPr>
          <w:p>
            <w:pPr>
              <w:spacing w:before="60" w:after="60" w:line="200" w:lineRule="exact"/>
              <w:jc w:val="right"/>
              <w:rPr>
                <w:noProof/>
                <w:sz w:val="16"/>
                <w:szCs w:val="16"/>
              </w:rPr>
            </w:pPr>
            <w:r>
              <w:rPr>
                <w:noProof/>
                <w:sz w:val="16"/>
                <w:szCs w:val="16"/>
              </w:rPr>
              <w:t>5,830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5,830</w:t>
            </w:r>
          </w:p>
        </w:tc>
        <w:tc>
          <w:tcPr>
            <w:tcW w:w="1080" w:type="dxa"/>
            <w:vAlign w:val="center"/>
          </w:tcPr>
          <w:p>
            <w:pPr>
              <w:spacing w:before="60" w:after="60" w:line="200" w:lineRule="exact"/>
              <w:jc w:val="right"/>
              <w:rPr>
                <w:noProof/>
                <w:sz w:val="16"/>
                <w:szCs w:val="16"/>
              </w:rPr>
            </w:pPr>
            <w:r>
              <w:rPr>
                <w:noProof/>
                <w:sz w:val="16"/>
                <w:szCs w:val="16"/>
              </w:rPr>
              <w:t>4,230</w:t>
            </w:r>
          </w:p>
        </w:tc>
        <w:tc>
          <w:tcPr>
            <w:tcW w:w="1080" w:type="dxa"/>
            <w:vAlign w:val="center"/>
          </w:tcPr>
          <w:p>
            <w:pPr>
              <w:spacing w:before="60" w:after="60" w:line="200" w:lineRule="exact"/>
              <w:jc w:val="right"/>
              <w:rPr>
                <w:noProof/>
                <w:sz w:val="16"/>
                <w:szCs w:val="16"/>
              </w:rPr>
            </w:pPr>
            <w:r>
              <w:rPr>
                <w:noProof/>
                <w:sz w:val="16"/>
                <w:szCs w:val="16"/>
              </w:rPr>
              <w:t>2,620</w:t>
            </w:r>
          </w:p>
        </w:tc>
        <w:tc>
          <w:tcPr>
            <w:tcW w:w="1080" w:type="dxa"/>
            <w:vAlign w:val="center"/>
          </w:tcPr>
          <w:p>
            <w:pPr>
              <w:spacing w:before="60" w:after="60" w:line="200" w:lineRule="exact"/>
              <w:jc w:val="right"/>
              <w:rPr>
                <w:noProof/>
                <w:sz w:val="16"/>
                <w:szCs w:val="16"/>
              </w:rPr>
            </w:pPr>
            <w:r>
              <w:rPr>
                <w:noProof/>
                <w:sz w:val="16"/>
                <w:szCs w:val="16"/>
              </w:rPr>
              <w:t>42,000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rPr>
              <w:t xml:space="preserve"> </w:t>
            </w:r>
            <w:r>
              <w:rPr>
                <w:b/>
                <w:noProof/>
                <w:sz w:val="16"/>
              </w:rPr>
              <w:t>hors 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6"/>
                <w:szCs w:val="16"/>
              </w:rPr>
              <w:t>5,830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5,830</w:t>
            </w:r>
          </w:p>
        </w:tc>
        <w:tc>
          <w:tcPr>
            <w:tcW w:w="1080" w:type="dxa"/>
            <w:vAlign w:val="center"/>
          </w:tcPr>
          <w:p>
            <w:pPr>
              <w:spacing w:before="60" w:after="60" w:line="200" w:lineRule="exact"/>
              <w:jc w:val="right"/>
              <w:rPr>
                <w:noProof/>
                <w:sz w:val="16"/>
                <w:szCs w:val="16"/>
              </w:rPr>
            </w:pPr>
            <w:r>
              <w:rPr>
                <w:noProof/>
                <w:sz w:val="16"/>
                <w:szCs w:val="16"/>
              </w:rPr>
              <w:t>4,230</w:t>
            </w:r>
          </w:p>
        </w:tc>
        <w:tc>
          <w:tcPr>
            <w:tcW w:w="1080" w:type="dxa"/>
            <w:vAlign w:val="center"/>
          </w:tcPr>
          <w:p>
            <w:pPr>
              <w:spacing w:before="60" w:after="60" w:line="200" w:lineRule="exact"/>
              <w:jc w:val="right"/>
              <w:rPr>
                <w:b/>
                <w:noProof/>
                <w:sz w:val="16"/>
                <w:szCs w:val="16"/>
              </w:rPr>
            </w:pPr>
            <w:r>
              <w:rPr>
                <w:noProof/>
                <w:sz w:val="16"/>
                <w:szCs w:val="16"/>
              </w:rPr>
              <w:t>2,620</w:t>
            </w:r>
          </w:p>
        </w:tc>
        <w:tc>
          <w:tcPr>
            <w:tcW w:w="1080" w:type="dxa"/>
            <w:vAlign w:val="center"/>
          </w:tcPr>
          <w:p>
            <w:pPr>
              <w:spacing w:before="60" w:after="60" w:line="200" w:lineRule="exact"/>
              <w:jc w:val="right"/>
              <w:rPr>
                <w:b/>
                <w:noProof/>
                <w:sz w:val="16"/>
                <w:szCs w:val="16"/>
              </w:rPr>
            </w:pPr>
            <w:r>
              <w:rPr>
                <w:noProof/>
                <w:sz w:val="16"/>
                <w:szCs w:val="16"/>
              </w:rPr>
              <w:t>42,000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5,830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7,830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7,830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7,830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5,830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4,230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2,620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42,000</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 Les effectifs supplémentaires ne se composeront que de personnel externe et seront financés uniquement par des recettes affectées.</w:t>
      </w:r>
    </w:p>
    <w:p>
      <w:pPr>
        <w:pStyle w:val="ManualHeading4"/>
        <w:rPr>
          <w:bCs/>
          <w:noProof/>
          <w:szCs w:val="24"/>
        </w:rPr>
      </w:pPr>
      <w:r>
        <w:t>3.2.2.1.</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 - AC, AL, END, INT et JPD</w:t>
            </w:r>
            <w:r>
              <w:rPr>
                <w:noProof/>
                <w:sz w:val="16"/>
              </w:rPr>
              <w:t xml:space="preserve"> </w:t>
            </w:r>
            <w:r>
              <w:rPr>
                <w:rStyle w:val="FootnoteReference"/>
                <w:noProof/>
                <w:sz w:val="16"/>
              </w:rPr>
              <w:footnoteReference w:id="11"/>
            </w:r>
          </w:p>
          <w:p>
            <w:pPr>
              <w:pStyle w:val="Text1"/>
              <w:spacing w:before="0" w:after="0"/>
              <w:ind w:left="0"/>
              <w:jc w:val="left"/>
              <w:rPr>
                <w:noProof/>
                <w:sz w:val="16"/>
                <w:szCs w:val="16"/>
              </w:rPr>
            </w:pPr>
            <w:r>
              <w:rPr>
                <w:noProof/>
                <w:sz w:val="16"/>
                <w:szCs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Financés au titre de la RUBRIQUE 7 du cadre financier pluriannuel</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Financés par l’enveloppe du programme</w:t>
            </w:r>
            <w:r>
              <w:rPr>
                <w:b/>
                <w:noProof/>
                <w:sz w:val="16"/>
                <w:szCs w:val="16"/>
              </w:rPr>
              <w:t xml:space="preserve"> </w:t>
            </w:r>
            <w:r>
              <w:rPr>
                <w:rStyle w:val="FootnoteReference"/>
                <w:b/>
                <w:noProof/>
                <w:sz w:val="16"/>
              </w:rPr>
              <w:footnoteReference w:id="12"/>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 xml:space="preserve">Autres: recettes affectées externes (recherche) </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 xml:space="preserve">Autres: recettes affectées externes (hors recherche) </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50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30</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w:t>
            </w: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75</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75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75</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30</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10</w:t>
            </w:r>
          </w:p>
        </w:tc>
      </w:tr>
    </w:tbl>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r>
        <w:rPr>
          <w:noProof/>
        </w:rPr>
        <w:t xml:space="preserve"> </w:t>
      </w:r>
      <w:r>
        <w:rPr>
          <w:noProof/>
          <w:sz w:val="18"/>
        </w:rPr>
        <w:t>Les effectifs supplémentaires ne se composeront que de personnel externe et seront financés uniquement par des recettes affectées.</w:t>
      </w:r>
    </w:p>
    <w:p>
      <w:pPr>
        <w:rPr>
          <w:noProof/>
          <w:sz w:val="20"/>
        </w:rPr>
      </w:pPr>
      <w:r>
        <w:rPr>
          <w:noProof/>
          <w:sz w:val="20"/>
        </w:rPr>
        <w:t>Description des tâches à effectuer:</w:t>
      </w:r>
    </w:p>
    <w:tbl>
      <w:tblPr>
        <w:tblW w:w="18024"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gridCol w:w="7392"/>
      </w:tblGrid>
      <w:tr>
        <w:tc>
          <w:tcPr>
            <w:tcW w:w="3240" w:type="dxa"/>
          </w:tcPr>
          <w:p>
            <w:pPr>
              <w:spacing w:before="60" w:after="60"/>
              <w:rPr>
                <w:noProof/>
                <w:sz w:val="20"/>
              </w:rPr>
            </w:pPr>
            <w:r>
              <w:rPr>
                <w:noProof/>
                <w:sz w:val="20"/>
              </w:rPr>
              <w:t>Personnel externe</w:t>
            </w:r>
          </w:p>
        </w:tc>
        <w:tc>
          <w:tcPr>
            <w:tcW w:w="7392" w:type="dxa"/>
          </w:tcPr>
          <w:p>
            <w:pPr>
              <w:rPr>
                <w:noProof/>
                <w:sz w:val="20"/>
              </w:rPr>
            </w:pPr>
            <w:r>
              <w:rPr>
                <w:noProof/>
                <w:sz w:val="20"/>
              </w:rPr>
              <w:t xml:space="preserve">Le personnel externe aidera les fonctionnaires et les agents temporaires à contribuer à la mise en œuvre des mesures visées dans le règlement EURI et à mettre en œuvre au titre du règlement concernant l’aide humanitaire. </w:t>
            </w:r>
          </w:p>
        </w:tc>
        <w:tc>
          <w:tcPr>
            <w:tcW w:w="7392" w:type="dxa"/>
          </w:tcPr>
          <w:p>
            <w:pPr>
              <w:rPr>
                <w:noProof/>
                <w:sz w:val="20"/>
              </w:rPr>
            </w:pPr>
          </w:p>
        </w:tc>
      </w:tr>
    </w:tbl>
    <w:p>
      <w:pPr>
        <w:rPr>
          <w:noProof/>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rPr>
          <w:noProof/>
        </w:rPr>
      </w:pPr>
    </w:p>
    <w:p>
      <w:pPr>
        <w:pStyle w:val="ManualHeading2"/>
        <w:rPr>
          <w:bCs/>
          <w:noProof/>
          <w:szCs w:val="24"/>
        </w:rPr>
      </w:pPr>
      <w:bookmarkStart w:id="53" w:name="_Toc514941995"/>
      <w:bookmarkStart w:id="54" w:name="_Toc41647990"/>
      <w:r>
        <w:t>3.3.</w:t>
      </w:r>
      <w:r>
        <w:tab/>
      </w:r>
      <w:r>
        <w:rPr>
          <w:noProof/>
        </w:rPr>
        <w:t>Incidence estimée sur les recettes</w:t>
      </w:r>
      <w:bookmarkEnd w:id="53"/>
      <w:bookmarkEnd w:id="54"/>
      <w:r>
        <w:rPr>
          <w:noProof/>
        </w:rPr>
        <w:t xml:space="preserve"> </w:t>
      </w:r>
    </w:p>
    <w:p>
      <w:pPr>
        <w:pStyle w:val="ListDash1"/>
        <w:rPr>
          <w:noProof/>
        </w:rPr>
      </w:pPr>
      <w:r>
        <w:rPr>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sur les autres recettes</w:t>
      </w:r>
    </w:p>
    <w:p>
      <w:pPr>
        <w:rPr>
          <w:noProof/>
        </w:rPr>
      </w:pPr>
      <w:r>
        <w:rPr>
          <w:noProof/>
        </w:rPr>
        <w:t xml:space="preserve">veuillez indiquer si les recettes sont affectées à des lignes de dépenses </w:t>
      </w:r>
      <w:r>
        <w:rPr>
          <w:noProof/>
        </w:rPr>
        <w:sym w:font="Wingdings" w:char="F0A8"/>
      </w:r>
      <w:r>
        <w:rPr>
          <w:noProof/>
        </w:rPr>
        <w:tab/>
      </w:r>
    </w:p>
    <w:p>
      <w:pPr>
        <w:jc w:val="right"/>
        <w:rPr>
          <w:i/>
          <w:noProof/>
          <w:sz w:val="20"/>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rPr>
            </w:pPr>
            <w:r>
              <w:rPr>
                <w:noProof/>
                <w:sz w:val="18"/>
              </w:rPr>
              <w:t>Incidence de la proposition/de l’initiative</w:t>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affectées, préciser la(les) ligne(s) budgétaire(s) de dépenses concernée(s).</w:t>
      </w:r>
    </w:p>
    <w:p>
      <w:pPr>
        <w:pStyle w:val="Text1"/>
        <w:rPr>
          <w:noProof/>
        </w:rPr>
      </w:pPr>
    </w:p>
    <w:p>
      <w:pPr>
        <w:pStyle w:val="Text1"/>
        <w:rPr>
          <w:rStyle w:val="CommentReference"/>
          <w:noProof/>
        </w:rPr>
      </w:pPr>
      <w:r>
        <w:rPr>
          <w:noProof/>
          <w:sz w:val="20"/>
        </w:rPr>
        <w:t>Autres remarques (relatives par exemple à la méthode/formule utilisée pour le calcul de l’incidence sur les recettes ou toute autre information).</w:t>
      </w:r>
      <w:r>
        <w:rPr>
          <w:noProof/>
        </w:rPr>
        <w:t xml:space="preserve">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https://ec.europa.eu/commission/sites/beta-political/files/budget-may2018-neighbourhood-world-swd_en.pdf</w:t>
      </w:r>
    </w:p>
  </w:footnote>
  <w:footnote w:id="3">
    <w:p>
      <w:pPr>
        <w:pStyle w:val="FootnoteText"/>
      </w:pPr>
      <w:r>
        <w:rPr>
          <w:rStyle w:val="FootnoteReference"/>
        </w:rPr>
        <w:footnoteRef/>
      </w:r>
      <w:r>
        <w:tab/>
        <w:t>https://ec.europa.eu/echo/partnerships/consultations/consultations_fr</w:t>
      </w:r>
    </w:p>
  </w:footnote>
  <w:footnote w:id="4">
    <w:p>
      <w:pPr>
        <w:pStyle w:val="FootnoteText"/>
      </w:pPr>
      <w:r>
        <w:rPr>
          <w:rStyle w:val="FootnoteReference"/>
        </w:rPr>
        <w:footnoteRef/>
      </w:r>
      <w:r>
        <w:tab/>
        <w:t>https://ec.europa.eu/echo/funding-evaluations/evaluations_fr</w:t>
      </w:r>
    </w:p>
  </w:footnote>
  <w:footnote w:id="5">
    <w:p>
      <w:pPr>
        <w:pStyle w:val="FootnoteText"/>
        <w:rPr>
          <w:szCs w:val="24"/>
        </w:rPr>
      </w:pPr>
      <w:r>
        <w:rPr>
          <w:rStyle w:val="FootnoteReference"/>
        </w:rPr>
        <w:footnoteRef/>
      </w:r>
      <w:r>
        <w:tab/>
        <w:t>Tel(le) que visé(e) à l’article 58, paragraphe 2, point a) ou b), du règlement financier.</w:t>
      </w:r>
    </w:p>
  </w:footnote>
  <w:footnote w:id="6">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1" w:history="1">
        <w:r>
          <w:rPr>
            <w:rStyle w:val="Hyperlink"/>
          </w:rPr>
          <w:t>https://myintracomm.ec.europa.eu/budgweb/FR/man/budgmanag/Pages/budgmanag.aspx</w:t>
        </w:r>
      </w:hyperlink>
      <w:r>
        <w:t xml:space="preserve"> </w:t>
      </w:r>
    </w:p>
  </w:footnote>
  <w:footnote w:id="7">
    <w:p>
      <w:pPr>
        <w:pStyle w:val="FootnoteText"/>
        <w:rPr>
          <w:szCs w:val="24"/>
        </w:rPr>
      </w:pPr>
      <w:r>
        <w:rPr>
          <w:rStyle w:val="FootnoteReference"/>
        </w:rPr>
        <w:footnoteRef/>
      </w:r>
      <w:r>
        <w:tab/>
        <w:t>CD = crédits dissociés / CND = crédits non dissociés.</w:t>
      </w:r>
    </w:p>
  </w:footnote>
  <w:footnote w:id="8">
    <w:p>
      <w:pPr>
        <w:pStyle w:val="FootnoteText"/>
        <w:rPr>
          <w:szCs w:val="24"/>
        </w:rPr>
      </w:pPr>
      <w:r>
        <w:rPr>
          <w:rStyle w:val="FootnoteReference"/>
        </w:rPr>
        <w:footnoteRef/>
      </w:r>
      <w:r>
        <w:tab/>
        <w:t xml:space="preserve">AELE: Association européenne de libre-échange. </w:t>
      </w:r>
    </w:p>
  </w:footnote>
  <w:footnote w:id="9">
    <w:p>
      <w:pPr>
        <w:pStyle w:val="FootnoteText"/>
      </w:pPr>
      <w:r>
        <w:rPr>
          <w:rStyle w:val="FootnoteReference"/>
        </w:rPr>
        <w:footnoteRef/>
      </w:r>
      <w:r>
        <w:tab/>
        <w:t>Pays candidats et, le cas échéant, pays candidats potentiels des Balkans occidentaux.</w:t>
      </w:r>
    </w:p>
  </w:footnote>
  <w:footnote w:id="10">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1">
    <w:p>
      <w:pPr>
        <w:pStyle w:val="FootnoteText"/>
        <w:rPr>
          <w:szCs w:val="24"/>
        </w:rPr>
      </w:pPr>
      <w:r>
        <w:rPr>
          <w:rStyle w:val="FootnoteReference"/>
        </w:rPr>
        <w:footnoteRef/>
      </w:r>
      <w:r>
        <w:tab/>
        <w:t xml:space="preserve">AC = agent contractuel; AL = agent local; END = expert national détaché; INT = intérimaire; JPD = jeune professionnel en délégation. </w:t>
      </w:r>
    </w:p>
  </w:footnote>
  <w:footnote w:id="12">
    <w:p>
      <w:pPr>
        <w:pStyle w:val="FootnoteText"/>
        <w:rPr>
          <w:szCs w:val="24"/>
        </w:rPr>
      </w:pPr>
      <w:r>
        <w:rPr>
          <w:rStyle w:val="FootnoteReference"/>
        </w:rPr>
        <w:footnoteRef/>
      </w:r>
      <w: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 w:numId="34">
    <w:abstractNumId w:val="21"/>
  </w:num>
  <w:num w:numId="35">
    <w:abstractNumId w:val="11"/>
  </w:num>
  <w:num w:numId="36">
    <w:abstractNumId w:val="24"/>
  </w:num>
  <w:num w:numId="37">
    <w:abstractNumId w:val="6"/>
  </w:num>
  <w:num w:numId="38">
    <w:abstractNumId w:val="12"/>
  </w:num>
  <w:num w:numId="39">
    <w:abstractNumId w:val="4"/>
  </w:num>
  <w:num w:numId="40">
    <w:abstractNumId w:val="23"/>
  </w:num>
  <w:num w:numId="41">
    <w:abstractNumId w:val="3"/>
  </w:num>
  <w:num w:numId="42">
    <w:abstractNumId w:val="13"/>
  </w:num>
  <w:num w:numId="43">
    <w:abstractNumId w:val="19"/>
  </w:num>
  <w:num w:numId="44">
    <w:abstractNumId w:val="20"/>
  </w:num>
  <w:num w:numId="45">
    <w:abstractNumId w:val="5"/>
  </w:num>
  <w:num w:numId="46">
    <w:abstractNumId w:val="17"/>
  </w:num>
  <w:num w:numId="4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4:47: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3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4C0FAE8-6240-40AB-A9B3-D183D1A609D9"/>
    <w:docVar w:name="LW_COVERPAGE_TYPE" w:val="1"/>
    <w:docVar w:name="LW_CROSSREFERENCE" w:val="&lt;UNUSED&gt;"/>
    <w:docVar w:name="LW_DocType" w:val="COM"/>
    <w:docVar w:name="LW_EMISSION" w:val="29.5.2020"/>
    <w:docVar w:name="LW_EMISSION_ISODATE" w:val="2020-05-2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10"/>
    <w:docVar w:name="LW_REF.II.NEW.CP_YEAR" w:val="2020"/>
    <w:docVar w:name="LW_REF.INST.NEW" w:val="COM"/>
    <w:docVar w:name="LW_REF.INST.NEW_ADOPTED" w:val="final"/>
    <w:docVar w:name="LW_REF.INST.NEW_TEXT" w:val="(2020) 4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CE) nº 1257/96 du 20 juin 1996 concernant l\u8217?aide humanitaire       "/>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highlight">
    <w:name w:val="highlight"/>
    <w:basedOn w:val="DefaultParagraphFont"/>
  </w:style>
  <w:style w:type="paragraph" w:customStyle="1" w:styleId="Text">
    <w:name w:val="Text"/>
    <w:basedOn w:val="Text1"/>
  </w:style>
  <w:style w:type="paragraph" w:customStyle="1" w:styleId="Hear">
    <w:name w:val="Hear"/>
    <w:basedOn w:val="Heading3"/>
    <w:pPr>
      <w:numPr>
        <w:numId w:val="0"/>
      </w:numPr>
      <w:ind w:left="850"/>
    </w:pPr>
    <w:rPr>
      <w:noProof/>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highlight">
    <w:name w:val="highlight"/>
    <w:basedOn w:val="DefaultParagraphFont"/>
  </w:style>
  <w:style w:type="paragraph" w:customStyle="1" w:styleId="Text">
    <w:name w:val="Text"/>
    <w:basedOn w:val="Text1"/>
  </w:style>
  <w:style w:type="paragraph" w:customStyle="1" w:styleId="Hear">
    <w:name w:val="Hear"/>
    <w:basedOn w:val="Heading3"/>
    <w:pPr>
      <w:numPr>
        <w:numId w:val="0"/>
      </w:numPr>
      <w:ind w:left="850"/>
    </w:pPr>
    <w:rPr>
      <w:noProof/>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1858">
      <w:bodyDiv w:val="1"/>
      <w:marLeft w:val="0"/>
      <w:marRight w:val="0"/>
      <w:marTop w:val="0"/>
      <w:marBottom w:val="0"/>
      <w:divBdr>
        <w:top w:val="none" w:sz="0" w:space="0" w:color="auto"/>
        <w:left w:val="none" w:sz="0" w:space="0" w:color="auto"/>
        <w:bottom w:val="none" w:sz="0" w:space="0" w:color="auto"/>
        <w:right w:val="none" w:sz="0" w:space="0" w:color="auto"/>
      </w:divBdr>
    </w:div>
    <w:div w:id="175733498">
      <w:bodyDiv w:val="1"/>
      <w:marLeft w:val="0"/>
      <w:marRight w:val="0"/>
      <w:marTop w:val="0"/>
      <w:marBottom w:val="0"/>
      <w:divBdr>
        <w:top w:val="none" w:sz="0" w:space="0" w:color="auto"/>
        <w:left w:val="none" w:sz="0" w:space="0" w:color="auto"/>
        <w:bottom w:val="none" w:sz="0" w:space="0" w:color="auto"/>
        <w:right w:val="none" w:sz="0" w:space="0" w:color="auto"/>
      </w:divBdr>
    </w:div>
    <w:div w:id="187261865">
      <w:bodyDiv w:val="1"/>
      <w:marLeft w:val="0"/>
      <w:marRight w:val="0"/>
      <w:marTop w:val="0"/>
      <w:marBottom w:val="0"/>
      <w:divBdr>
        <w:top w:val="none" w:sz="0" w:space="0" w:color="auto"/>
        <w:left w:val="none" w:sz="0" w:space="0" w:color="auto"/>
        <w:bottom w:val="none" w:sz="0" w:space="0" w:color="auto"/>
        <w:right w:val="none" w:sz="0" w:space="0" w:color="auto"/>
      </w:divBdr>
    </w:div>
    <w:div w:id="221258745">
      <w:bodyDiv w:val="1"/>
      <w:marLeft w:val="0"/>
      <w:marRight w:val="0"/>
      <w:marTop w:val="0"/>
      <w:marBottom w:val="0"/>
      <w:divBdr>
        <w:top w:val="none" w:sz="0" w:space="0" w:color="auto"/>
        <w:left w:val="none" w:sz="0" w:space="0" w:color="auto"/>
        <w:bottom w:val="none" w:sz="0" w:space="0" w:color="auto"/>
        <w:right w:val="none" w:sz="0" w:space="0" w:color="auto"/>
      </w:divBdr>
    </w:div>
    <w:div w:id="421069426">
      <w:bodyDiv w:val="1"/>
      <w:marLeft w:val="0"/>
      <w:marRight w:val="0"/>
      <w:marTop w:val="0"/>
      <w:marBottom w:val="0"/>
      <w:divBdr>
        <w:top w:val="none" w:sz="0" w:space="0" w:color="auto"/>
        <w:left w:val="none" w:sz="0" w:space="0" w:color="auto"/>
        <w:bottom w:val="none" w:sz="0" w:space="0" w:color="auto"/>
        <w:right w:val="none" w:sz="0" w:space="0" w:color="auto"/>
      </w:divBdr>
    </w:div>
    <w:div w:id="486552079">
      <w:bodyDiv w:val="1"/>
      <w:marLeft w:val="0"/>
      <w:marRight w:val="0"/>
      <w:marTop w:val="0"/>
      <w:marBottom w:val="0"/>
      <w:divBdr>
        <w:top w:val="none" w:sz="0" w:space="0" w:color="auto"/>
        <w:left w:val="none" w:sz="0" w:space="0" w:color="auto"/>
        <w:bottom w:val="none" w:sz="0" w:space="0" w:color="auto"/>
        <w:right w:val="none" w:sz="0" w:space="0" w:color="auto"/>
      </w:divBdr>
    </w:div>
    <w:div w:id="538904667">
      <w:bodyDiv w:val="1"/>
      <w:marLeft w:val="0"/>
      <w:marRight w:val="0"/>
      <w:marTop w:val="0"/>
      <w:marBottom w:val="0"/>
      <w:divBdr>
        <w:top w:val="none" w:sz="0" w:space="0" w:color="auto"/>
        <w:left w:val="none" w:sz="0" w:space="0" w:color="auto"/>
        <w:bottom w:val="none" w:sz="0" w:space="0" w:color="auto"/>
        <w:right w:val="none" w:sz="0" w:space="0" w:color="auto"/>
      </w:divBdr>
    </w:div>
    <w:div w:id="544173126">
      <w:bodyDiv w:val="1"/>
      <w:marLeft w:val="0"/>
      <w:marRight w:val="0"/>
      <w:marTop w:val="0"/>
      <w:marBottom w:val="0"/>
      <w:divBdr>
        <w:top w:val="none" w:sz="0" w:space="0" w:color="auto"/>
        <w:left w:val="none" w:sz="0" w:space="0" w:color="auto"/>
        <w:bottom w:val="none" w:sz="0" w:space="0" w:color="auto"/>
        <w:right w:val="none" w:sz="0" w:space="0" w:color="auto"/>
      </w:divBdr>
    </w:div>
    <w:div w:id="566762418">
      <w:bodyDiv w:val="1"/>
      <w:marLeft w:val="0"/>
      <w:marRight w:val="0"/>
      <w:marTop w:val="0"/>
      <w:marBottom w:val="0"/>
      <w:divBdr>
        <w:top w:val="none" w:sz="0" w:space="0" w:color="auto"/>
        <w:left w:val="none" w:sz="0" w:space="0" w:color="auto"/>
        <w:bottom w:val="none" w:sz="0" w:space="0" w:color="auto"/>
        <w:right w:val="none" w:sz="0" w:space="0" w:color="auto"/>
      </w:divBdr>
    </w:div>
    <w:div w:id="630869635">
      <w:bodyDiv w:val="1"/>
      <w:marLeft w:val="0"/>
      <w:marRight w:val="0"/>
      <w:marTop w:val="0"/>
      <w:marBottom w:val="0"/>
      <w:divBdr>
        <w:top w:val="none" w:sz="0" w:space="0" w:color="auto"/>
        <w:left w:val="none" w:sz="0" w:space="0" w:color="auto"/>
        <w:bottom w:val="none" w:sz="0" w:space="0" w:color="auto"/>
        <w:right w:val="none" w:sz="0" w:space="0" w:color="auto"/>
      </w:divBdr>
    </w:div>
    <w:div w:id="636766789">
      <w:bodyDiv w:val="1"/>
      <w:marLeft w:val="0"/>
      <w:marRight w:val="0"/>
      <w:marTop w:val="0"/>
      <w:marBottom w:val="0"/>
      <w:divBdr>
        <w:top w:val="none" w:sz="0" w:space="0" w:color="auto"/>
        <w:left w:val="none" w:sz="0" w:space="0" w:color="auto"/>
        <w:bottom w:val="none" w:sz="0" w:space="0" w:color="auto"/>
        <w:right w:val="none" w:sz="0" w:space="0" w:color="auto"/>
      </w:divBdr>
    </w:div>
    <w:div w:id="714430175">
      <w:bodyDiv w:val="1"/>
      <w:marLeft w:val="0"/>
      <w:marRight w:val="0"/>
      <w:marTop w:val="0"/>
      <w:marBottom w:val="0"/>
      <w:divBdr>
        <w:top w:val="none" w:sz="0" w:space="0" w:color="auto"/>
        <w:left w:val="none" w:sz="0" w:space="0" w:color="auto"/>
        <w:bottom w:val="none" w:sz="0" w:space="0" w:color="auto"/>
        <w:right w:val="none" w:sz="0" w:space="0" w:color="auto"/>
      </w:divBdr>
    </w:div>
    <w:div w:id="754475775">
      <w:bodyDiv w:val="1"/>
      <w:marLeft w:val="0"/>
      <w:marRight w:val="0"/>
      <w:marTop w:val="0"/>
      <w:marBottom w:val="0"/>
      <w:divBdr>
        <w:top w:val="none" w:sz="0" w:space="0" w:color="auto"/>
        <w:left w:val="none" w:sz="0" w:space="0" w:color="auto"/>
        <w:bottom w:val="none" w:sz="0" w:space="0" w:color="auto"/>
        <w:right w:val="none" w:sz="0" w:space="0" w:color="auto"/>
      </w:divBdr>
    </w:div>
    <w:div w:id="918636408">
      <w:bodyDiv w:val="1"/>
      <w:marLeft w:val="0"/>
      <w:marRight w:val="0"/>
      <w:marTop w:val="0"/>
      <w:marBottom w:val="0"/>
      <w:divBdr>
        <w:top w:val="none" w:sz="0" w:space="0" w:color="auto"/>
        <w:left w:val="none" w:sz="0" w:space="0" w:color="auto"/>
        <w:bottom w:val="none" w:sz="0" w:space="0" w:color="auto"/>
        <w:right w:val="none" w:sz="0" w:space="0" w:color="auto"/>
      </w:divBdr>
    </w:div>
    <w:div w:id="1356733354">
      <w:bodyDiv w:val="1"/>
      <w:marLeft w:val="0"/>
      <w:marRight w:val="0"/>
      <w:marTop w:val="0"/>
      <w:marBottom w:val="0"/>
      <w:divBdr>
        <w:top w:val="none" w:sz="0" w:space="0" w:color="auto"/>
        <w:left w:val="none" w:sz="0" w:space="0" w:color="auto"/>
        <w:bottom w:val="none" w:sz="0" w:space="0" w:color="auto"/>
        <w:right w:val="none" w:sz="0" w:space="0" w:color="auto"/>
      </w:divBdr>
    </w:div>
    <w:div w:id="1359043054">
      <w:bodyDiv w:val="1"/>
      <w:marLeft w:val="0"/>
      <w:marRight w:val="0"/>
      <w:marTop w:val="0"/>
      <w:marBottom w:val="0"/>
      <w:divBdr>
        <w:top w:val="none" w:sz="0" w:space="0" w:color="auto"/>
        <w:left w:val="none" w:sz="0" w:space="0" w:color="auto"/>
        <w:bottom w:val="none" w:sz="0" w:space="0" w:color="auto"/>
        <w:right w:val="none" w:sz="0" w:space="0" w:color="auto"/>
      </w:divBdr>
    </w:div>
    <w:div w:id="1363897704">
      <w:bodyDiv w:val="1"/>
      <w:marLeft w:val="0"/>
      <w:marRight w:val="0"/>
      <w:marTop w:val="0"/>
      <w:marBottom w:val="0"/>
      <w:divBdr>
        <w:top w:val="none" w:sz="0" w:space="0" w:color="auto"/>
        <w:left w:val="none" w:sz="0" w:space="0" w:color="auto"/>
        <w:bottom w:val="none" w:sz="0" w:space="0" w:color="auto"/>
        <w:right w:val="none" w:sz="0" w:space="0" w:color="auto"/>
      </w:divBdr>
    </w:div>
    <w:div w:id="1368024780">
      <w:bodyDiv w:val="1"/>
      <w:marLeft w:val="0"/>
      <w:marRight w:val="0"/>
      <w:marTop w:val="0"/>
      <w:marBottom w:val="0"/>
      <w:divBdr>
        <w:top w:val="none" w:sz="0" w:space="0" w:color="auto"/>
        <w:left w:val="none" w:sz="0" w:space="0" w:color="auto"/>
        <w:bottom w:val="none" w:sz="0" w:space="0" w:color="auto"/>
        <w:right w:val="none" w:sz="0" w:space="0" w:color="auto"/>
      </w:divBdr>
    </w:div>
    <w:div w:id="1379890444">
      <w:bodyDiv w:val="1"/>
      <w:marLeft w:val="0"/>
      <w:marRight w:val="0"/>
      <w:marTop w:val="0"/>
      <w:marBottom w:val="0"/>
      <w:divBdr>
        <w:top w:val="none" w:sz="0" w:space="0" w:color="auto"/>
        <w:left w:val="none" w:sz="0" w:space="0" w:color="auto"/>
        <w:bottom w:val="none" w:sz="0" w:space="0" w:color="auto"/>
        <w:right w:val="none" w:sz="0" w:space="0" w:color="auto"/>
      </w:divBdr>
    </w:div>
    <w:div w:id="1385107298">
      <w:bodyDiv w:val="1"/>
      <w:marLeft w:val="0"/>
      <w:marRight w:val="0"/>
      <w:marTop w:val="0"/>
      <w:marBottom w:val="0"/>
      <w:divBdr>
        <w:top w:val="none" w:sz="0" w:space="0" w:color="auto"/>
        <w:left w:val="none" w:sz="0" w:space="0" w:color="auto"/>
        <w:bottom w:val="none" w:sz="0" w:space="0" w:color="auto"/>
        <w:right w:val="none" w:sz="0" w:space="0" w:color="auto"/>
      </w:divBdr>
    </w:div>
    <w:div w:id="1543516095">
      <w:bodyDiv w:val="1"/>
      <w:marLeft w:val="0"/>
      <w:marRight w:val="0"/>
      <w:marTop w:val="0"/>
      <w:marBottom w:val="0"/>
      <w:divBdr>
        <w:top w:val="none" w:sz="0" w:space="0" w:color="auto"/>
        <w:left w:val="none" w:sz="0" w:space="0" w:color="auto"/>
        <w:bottom w:val="none" w:sz="0" w:space="0" w:color="auto"/>
        <w:right w:val="none" w:sz="0" w:space="0" w:color="auto"/>
      </w:divBdr>
    </w:div>
    <w:div w:id="1569488521">
      <w:bodyDiv w:val="1"/>
      <w:marLeft w:val="0"/>
      <w:marRight w:val="0"/>
      <w:marTop w:val="0"/>
      <w:marBottom w:val="0"/>
      <w:divBdr>
        <w:top w:val="none" w:sz="0" w:space="0" w:color="auto"/>
        <w:left w:val="none" w:sz="0" w:space="0" w:color="auto"/>
        <w:bottom w:val="none" w:sz="0" w:space="0" w:color="auto"/>
        <w:right w:val="none" w:sz="0" w:space="0" w:color="auto"/>
      </w:divBdr>
    </w:div>
    <w:div w:id="1675913232">
      <w:bodyDiv w:val="1"/>
      <w:marLeft w:val="0"/>
      <w:marRight w:val="0"/>
      <w:marTop w:val="0"/>
      <w:marBottom w:val="0"/>
      <w:divBdr>
        <w:top w:val="none" w:sz="0" w:space="0" w:color="auto"/>
        <w:left w:val="none" w:sz="0" w:space="0" w:color="auto"/>
        <w:bottom w:val="none" w:sz="0" w:space="0" w:color="auto"/>
        <w:right w:val="none" w:sz="0" w:space="0" w:color="auto"/>
      </w:divBdr>
    </w:div>
    <w:div w:id="1799491612">
      <w:bodyDiv w:val="1"/>
      <w:marLeft w:val="0"/>
      <w:marRight w:val="0"/>
      <w:marTop w:val="0"/>
      <w:marBottom w:val="0"/>
      <w:divBdr>
        <w:top w:val="none" w:sz="0" w:space="0" w:color="auto"/>
        <w:left w:val="none" w:sz="0" w:space="0" w:color="auto"/>
        <w:bottom w:val="none" w:sz="0" w:space="0" w:color="auto"/>
        <w:right w:val="none" w:sz="0" w:space="0" w:color="auto"/>
      </w:divBdr>
    </w:div>
    <w:div w:id="1932082463">
      <w:bodyDiv w:val="1"/>
      <w:marLeft w:val="0"/>
      <w:marRight w:val="0"/>
      <w:marTop w:val="0"/>
      <w:marBottom w:val="0"/>
      <w:divBdr>
        <w:top w:val="none" w:sz="0" w:space="0" w:color="auto"/>
        <w:left w:val="none" w:sz="0" w:space="0" w:color="auto"/>
        <w:bottom w:val="none" w:sz="0" w:space="0" w:color="auto"/>
        <w:right w:val="none" w:sz="0" w:space="0" w:color="auto"/>
      </w:divBdr>
    </w:div>
    <w:div w:id="1967850408">
      <w:bodyDiv w:val="1"/>
      <w:marLeft w:val="0"/>
      <w:marRight w:val="0"/>
      <w:marTop w:val="0"/>
      <w:marBottom w:val="0"/>
      <w:divBdr>
        <w:top w:val="none" w:sz="0" w:space="0" w:color="auto"/>
        <w:left w:val="none" w:sz="0" w:space="0" w:color="auto"/>
        <w:bottom w:val="none" w:sz="0" w:space="0" w:color="auto"/>
        <w:right w:val="none" w:sz="0" w:space="0" w:color="auto"/>
      </w:divBdr>
    </w:div>
    <w:div w:id="20740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echo/who/accountability/auditing_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AE1817-33CC-498E-AF38-44FCE6555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B59795-9B47-444D-A185-0B8292140D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9747DB-2494-41A7-848A-2797BB1E0151}">
  <ds:schemaRefs>
    <ds:schemaRef ds:uri="http://schemas.microsoft.com/sharepoint/v3/contenttype/forms"/>
  </ds:schemaRefs>
</ds:datastoreItem>
</file>

<file path=customXml/itemProps4.xml><?xml version="1.0" encoding="utf-8"?>
<ds:datastoreItem xmlns:ds="http://schemas.openxmlformats.org/officeDocument/2006/customXml" ds:itemID="{F8618BAF-D151-4699-9C91-839D30A4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18</Pages>
  <Words>4154</Words>
  <Characters>23559</Characters>
  <Application>Microsoft Office Word</Application>
  <DocSecurity>0</DocSecurity>
  <Lines>872</Lines>
  <Paragraphs>486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cp:lastPrinted>2020-05-26T10:18:00Z</cp:lastPrinted>
  <dcterms:created xsi:type="dcterms:W3CDTF">2020-05-29T12:39:00Z</dcterms:created>
  <dcterms:modified xsi:type="dcterms:W3CDTF">2020-06-02T12:47:00Z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ies>
</file>