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8129E0F7-A065-41F8-9B81-6FB36C4EFCC5" style="width:450.45pt;height:351.95pt">
            <v:imagedata r:id="rId12" o:title=""/>
          </v:shape>
        </w:pict>
      </w:r>
    </w:p>
    <w:p>
      <w:pPr>
        <w:rPr>
          <w:noProof/>
        </w:rPr>
        <w:sectPr>
          <w:footerReference w:type="defaul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  <w:bdr w:val="none" w:sz="0" w:space="0" w:color="auto" w:frame="1"/>
        </w:rPr>
      </w:pPr>
      <w:r>
        <w:rPr>
          <w:noProof/>
          <w:bdr w:val="none" w:sz="0" w:space="0" w:color="auto" w:frame="1"/>
        </w:rPr>
        <w:t xml:space="preserve">Произтичащите в резултат на кризата нужди от финансиране за спешни инвестиции са безпрецедентни. Поради това е необходима решителна и извънредна реакция на равнището на Съюза. </w:t>
      </w:r>
      <w:r>
        <w:rPr>
          <w:noProof/>
        </w:rPr>
        <w:t xml:space="preserve">Финансовата подкрепа трябва да бъде съсредоточена през решаващите първи години на възстановяването, включително през 2020 г. </w:t>
      </w:r>
      <w:r>
        <w:rPr>
          <w:noProof/>
          <w:szCs w:val="24"/>
          <w:bdr w:val="none" w:sz="0" w:space="0" w:color="auto" w:frame="1"/>
        </w:rPr>
        <w:t xml:space="preserve">Това ще помогне за преодоляване на разминаването между мерките за първоначална реакция и дългосрочното възстановяване. </w:t>
      </w:r>
      <w:r>
        <w:rPr>
          <w:noProof/>
          <w:bdr w:val="none" w:sz="0" w:space="0" w:color="auto" w:frame="1"/>
        </w:rPr>
        <w:t xml:space="preserve">Мащабът на интервенцията и нейната форма трябва да отразяват мащаба и неотложността на предизвикателствата, пред които е изправен Съюзът. </w:t>
      </w:r>
      <w:r>
        <w:rPr>
          <w:noProof/>
        </w:rPr>
        <w:t xml:space="preserve">Комисията </w:t>
      </w:r>
      <w:r>
        <w:rPr>
          <w:noProof/>
          <w:szCs w:val="24"/>
          <w:u w:color="000000"/>
          <w:bdr w:val="nil"/>
        </w:rPr>
        <w:t>предлага да се използва пълният потенциал на бюджета на ЕС, за да се мобилизират инвестиции и финансовата подкрепа да бъде съсредоточена през първите месеци и години на възстановяване.</w:t>
      </w:r>
    </w:p>
    <w:p>
      <w:pPr>
        <w:rPr>
          <w:rFonts w:eastAsia="Arial Unicode MS" w:cs="Arial Unicode MS"/>
          <w:noProof/>
          <w:szCs w:val="24"/>
          <w:u w:color="000000"/>
          <w:bdr w:val="nil"/>
        </w:rPr>
      </w:pPr>
      <w:r>
        <w:rPr>
          <w:noProof/>
          <w:szCs w:val="24"/>
          <w:u w:color="000000"/>
          <w:bdr w:val="nil"/>
        </w:rPr>
        <w:t>През последните седмици Комисията използва всички оставащи възможности за гъвкавост в настоящия бюджет на ЕС, за да насочи всяко налично евро към спасяване на човешки живот и опазване на поминъка. Тези мерки демонстрираха способността на бюджета на ЕС да предоставя навременна и съществена подкрепа на държавите членки в условията на криза. Освен това с тях бе изчерпана цялата оставаща гъвкавост в настоящия бюджет на ЕС, което подчерта спешната необходимост от въвеждане на нови мерки за задвижване на следващите решаващи етапи от възстановяването.</w:t>
      </w:r>
    </w:p>
    <w:p>
      <w:pPr>
        <w:rPr>
          <w:noProof/>
        </w:rPr>
      </w:pPr>
      <w:r>
        <w:rPr>
          <w:noProof/>
          <w:szCs w:val="24"/>
          <w:u w:color="000000"/>
          <w:bdr w:val="nil"/>
        </w:rPr>
        <w:t xml:space="preserve">Поради това е необходимо да се преразгледа </w:t>
      </w:r>
      <w:r>
        <w:rPr>
          <w:noProof/>
        </w:rPr>
        <w:t>Регламент (ЕС, EURATOM) № 1311/2013 на Съвета от 2 декември 2013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за определяне на многогодишната финансова рамка за годините 2014—2020, за да се даде възможност за отпускане на финансова подкрепа възможно най-скоро още през 2020 г. Това се отнася по-специално до всички ранни нужди от финансиране за обезпечаването на инструмента за подкрепа на платежоспособността в рамките на Европейския фонд за стратегически инвестиции и за приноса на Съюза за увеличаване на капитала на Европейския инвестиционен фонд</w:t>
      </w:r>
      <w:r>
        <w:rPr>
          <w:rStyle w:val="FootnoteReference"/>
          <w:noProof/>
        </w:rPr>
        <w:t xml:space="preserve"> </w:t>
      </w:r>
      <w:r>
        <w:rPr>
          <w:rStyle w:val="FootnoteReference"/>
          <w:noProof/>
        </w:rPr>
        <w:footnoteReference w:id="3"/>
      </w:r>
      <w:r>
        <w:rPr>
          <w:noProof/>
        </w:rPr>
        <w:t>, до предоставянето на допълнителни средства в рамките на REACT-EU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за политиката на сближаване и увеличаването на финансовите средства за Европейския фонд за устойчиво развитие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За да се </w:t>
      </w:r>
      <w:r>
        <w:rPr>
          <w:noProof/>
          <w:szCs w:val="24"/>
          <w:u w:color="000000"/>
          <w:bdr w:val="nil"/>
        </w:rPr>
        <w:t>мобилизират инвестиции и да се предостави финансова подкрепа през решаващите първи месеци от възстановяването,</w:t>
      </w:r>
      <w:r>
        <w:rPr>
          <w:noProof/>
        </w:rPr>
        <w:t xml:space="preserve"> с настоящото преразглеждане се предвижда увеличение за 2020 г. на таваните на разходите на многогодишната рамка за периода 2014—2020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Комисията предлага да се увеличат таваните на бюджетните кредити за поети задължения за 2020 г., както следва: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lastRenderedPageBreak/>
        <w:t>таванът на бюджетните кредити за поети задължения за подфункция 1а „Конкурентоспособност за растеж и работни места“ се увеличава на 25 681 млн. евро (по цени от 2011 г.);</w:t>
      </w:r>
    </w:p>
    <w:p>
      <w:pPr>
        <w:pStyle w:val="Tiret0"/>
        <w:numPr>
          <w:ilvl w:val="0"/>
          <w:numId w:val="9"/>
        </w:numPr>
        <w:rPr>
          <w:noProof/>
        </w:rPr>
      </w:pPr>
      <w:r>
        <w:rPr>
          <w:noProof/>
        </w:rPr>
        <w:t>таванът на бюджетните кредити за поети задължения за подфункция 1б „Икономическо, социално и териториално сближаване“ се увеличава на 53 109 млн. евро (по цени от 2011 г.);</w:t>
      </w:r>
    </w:p>
    <w:p>
      <w:pPr>
        <w:pStyle w:val="Tiret0"/>
        <w:rPr>
          <w:noProof/>
        </w:rPr>
      </w:pPr>
      <w:r>
        <w:rPr>
          <w:noProof/>
        </w:rPr>
        <w:t>таванът на бюджетните кредити за поети задължения за функция 4 „Глобална Европа“ се увеличава на 9665 млн. евро (по цени от 2011 г.).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Предложените увеличения на таваните на поетите задължения ще доведат до нарастване на нуждите от плащания в размер на 6040 млн. евро, което е съвместимо с годишния таван за плащанията за 2020 г., както бе коригиран с техническата корекция от май 2019 г.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Поради това Комисията не предлага преразглеждане на тавана на плащанията за 2020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Приложението към Регламент (ЕС, EURATOM) № 1311/2013 следва съответно да бъде изменено и заменено с приложението към настоящия регламент.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Съгласно член 135, параграф 2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</w:t>
      </w:r>
      <w:r>
        <w:rPr>
          <w:rStyle w:val="FootnoteReference"/>
          <w:noProof/>
        </w:rPr>
        <w:footnoteReference w:id="7"/>
      </w:r>
      <w:r>
        <w:rPr>
          <w:noProof/>
        </w:rPr>
        <w:t>, настоящият регламент следва да не се прилага за Обединеното кралство, доколкото то оказва въздействие върху финансовите задължения на Обединеното кралство в сравнение със задълженията към датата на оттеглянето на Обединеното кралство от Съюза.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>
      <w:pPr>
        <w:spacing w:before="240"/>
        <w:rPr>
          <w:noProof/>
        </w:rPr>
        <w:sectPr>
          <w:footerReference w:type="defaul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2020/0109 (APP)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(EC, EURATOM) № 1311/2013 на Съвета за определяне на многогодишната финансова рамка за годините 2014—2020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312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8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в съответствие със специална законодателна процедура,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  <w:bdr w:val="none" w:sz="0" w:space="0" w:color="auto" w:frame="1"/>
        </w:rPr>
        <w:t>Избухването на пандемията от COVID-19 и свързаната с него криза в областта на общественото здраве и икономиката изискват предприемането на извънредни мерки. Произтичащите в резултат на кризата нужди от финансиране за спешни инвестиции са безпрецедентни. Поради това е необходима решителна и извънредна реакция на равнището на Съюза, а</w:t>
      </w:r>
      <w:r>
        <w:rPr>
          <w:noProof/>
        </w:rPr>
        <w:t xml:space="preserve"> финансовата подкрепа трябва да бъде съсредоточена през решаващите първи години на възстановяването, включително през 2020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Необходимо е през 2020 г. да бъдат покрити финансовите нужди, произтичащи от нови инициативи, насочени към възстановяването. Това се отнася за инструмента за подкрепа на платежоспособността и приноса на Съюза за увеличаване на капитала на Европейския инвестиционен фонд</w:t>
      </w:r>
      <w:r>
        <w:rPr>
          <w:rStyle w:val="FootnoteReference"/>
          <w:noProof/>
        </w:rPr>
        <w:footnoteReference w:id="9"/>
      </w:r>
      <w:r>
        <w:rPr>
          <w:noProof/>
        </w:rPr>
        <w:t>, за укрепването на целта „Инвестиции за растеж и работни места“ в рамките на европейските структурни и инвестиционни фондове (REACT-EU)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и за Европейския фонд за устойчиво развитие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Поради това е необходимо за 2020 г. да се увеличат таваните за бюджетните кредити за поети задължения по подфункции 1а и 1б и по функция 4. В тази връзка приложението към Регламент (ЕС, EURATOM) № 1311/2013 следва да бъде съответно изменено.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Съгласно член 135, параграф 2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, настоящият регламент следва </w:t>
      </w:r>
      <w:r>
        <w:rPr>
          <w:noProof/>
        </w:rPr>
        <w:lastRenderedPageBreak/>
        <w:t xml:space="preserve">да не се прилага за Обединеното кралство, доколкото то оказва въздействие върху финансовите задължения на Обединеното кралство в сравнение със задълженията към датата на оттеглянето на Обединеното кралство от Съюза. </w:t>
      </w:r>
    </w:p>
    <w:p>
      <w:pPr>
        <w:pStyle w:val="Formuledadoption"/>
        <w:rPr>
          <w:noProof/>
        </w:rPr>
      </w:pPr>
      <w:r>
        <w:rPr>
          <w:noProof/>
        </w:rPr>
        <w:t>ПРИЕ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Приложението към Регламент (ЕС, EURATOM) № 1311/2013 се заменя с текста в приложението към настоящия регламент.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Настоящият регламент не следва да доведе до увеличаване на финансовите задължения на Обединеното кралство в сравнение със задълженията, които то е имало към датата на оттеглянето си от Съюза.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 347, 20.12.2013 г., стр. 884.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COM(2020) 404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COM(2020) 451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COM(2020) 407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COM (2019) 310 final от 15.5.2019 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ОВ L 29, 30.1.2020 г., стр. 7.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ОВ С ,  г, стр. 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COM (2020) 404 ОВ C ,  г., стр. 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COM (2020) 451 ОВ C ,  г., стр. 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COM (2020) 407 ОВ C ,  г., стр. 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ОВ L 29, 30.1.2020 г., стр. 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3961C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9880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63C74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45C2C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ADE31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F0A3A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D6C95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044C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4:07:1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129E0F7-A065-41F8-9B81-6FB36C4EFCC5"/>
    <w:docVar w:name="LW_COVERPAGE_TYPE" w:val="1"/>
    <w:docVar w:name="LW_CROSSREFERENCE" w:val="&lt;UNUSED&gt;"/>
    <w:docVar w:name="LW_DocType" w:val="COM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MODEL" w:val="SJ-016"/>
    <w:docVar w:name="LW_ID_DOCSIGNATURE" w:val="SJ-016"/>
    <w:docVar w:name="LW_ID_DOCSTRUCTURE" w:val="COM/PL/ORG"/>
    <w:docVar w:name="LW_ID_DOCTYPE" w:val="SJ-016"/>
    <w:docVar w:name="LW_ID_EXP.MOTIFS.NEW" w:val="EM_PL_"/>
    <w:docVar w:name="LW_ID_STATUT" w:val="SJ-01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APP"/>
    <w:docVar w:name="LW_REF.II.NEW.CP_NUMBER" w:val="0109"/>
    <w:docVar w:name="LW_REF.II.NEW.CP_YEAR" w:val="2020"/>
    <w:docVar w:name="LW_REF.INST.NEW" w:val="COM"/>
    <w:docVar w:name="LW_REF.INST.NEW_ADOPTED" w:val="final"/>
    <w:docVar w:name="LW_REF.INST.NEW_TEXT" w:val="(2020) 4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EC, EURATOM) \u8470? 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"/>
    <w:docVar w:name="LW_TYPE.DOC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35DF7AF93945BFBCEF7349104FBF" ma:contentTypeVersion="0" ma:contentTypeDescription="Create a new document." ma:contentTypeScope="" ma:versionID="4520faae18ad6378bc483200924bc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298a1a8e83205e5a36c7145419b8c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E995EF-48A3-442D-AD0F-D24EEEA24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1247B-373F-49C8-80F4-0A5D435BB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5B17A-D38C-4AFA-B5E2-35AAF0E3367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14CFA4-6CED-4FA6-B008-13C5FDF5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5</Pages>
  <Words>979</Words>
  <Characters>5683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21</cp:revision>
  <dcterms:created xsi:type="dcterms:W3CDTF">2020-05-28T10:21:00Z</dcterms:created>
  <dcterms:modified xsi:type="dcterms:W3CDTF">2020-06-02T12:07:00Z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Created using">
    <vt:lpwstr>LW 7.0.1, Build 20190916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evel of sensitivity">
    <vt:lpwstr>Standard treatment</vt:lpwstr>
  </property>
  <property fmtid="{D5CDD505-2E9C-101B-9397-08002B2CF9AE}" pid="8" name="LWTemplateID">
    <vt:lpwstr>SJ-016</vt:lpwstr>
  </property>
  <property fmtid="{D5CDD505-2E9C-101B-9397-08002B2CF9AE}" pid="9" name="ContentTypeId">
    <vt:lpwstr>0x010100B05035DF7AF93945BFBCEF7349104FBF</vt:lpwstr>
  </property>
  <property fmtid="{D5CDD505-2E9C-101B-9397-08002B2CF9AE}" pid="10" name="IsMyDocuments">
    <vt:bool>true</vt:bool>
  </property>
  <property fmtid="{D5CDD505-2E9C-101B-9397-08002B2CF9AE}" pid="11" name="Last edited using">
    <vt:lpwstr>LW 7.0, Build 20190717</vt:lpwstr>
  </property>
  <property fmtid="{D5CDD505-2E9C-101B-9397-08002B2CF9AE}" pid="12" name="DQCStatus">
    <vt:lpwstr>Green (DQC version 03)</vt:lpwstr>
  </property>
</Properties>
</file>