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FF" w:rsidRDefault="00BC16B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9C16004-B582-4A67-A1EB-5CAA7578C50A" style="width:451pt;height:570pt">
            <v:imagedata r:id="rId11" o:title=""/>
          </v:shape>
        </w:pict>
      </w:r>
    </w:p>
    <w:p w:rsidR="00435CFF" w:rsidRDefault="00435CFF">
      <w:pPr>
        <w:rPr>
          <w:noProof/>
        </w:rPr>
        <w:sectPr w:rsidR="00435CFF">
          <w:footerReference w:type="default" r:id="rId12"/>
          <w:pgSz w:w="11907" w:h="16839"/>
          <w:pgMar w:top="1134" w:right="1417" w:bottom="1134" w:left="1417" w:header="709" w:footer="709" w:gutter="0"/>
          <w:pgNumType w:start="0"/>
          <w:cols w:space="720"/>
          <w:docGrid w:linePitch="360"/>
        </w:sectPr>
      </w:pPr>
    </w:p>
    <w:p w:rsidR="00435CFF" w:rsidRDefault="00BC16BC">
      <w:pPr>
        <w:pStyle w:val="Exposdesmotifstitre"/>
        <w:rPr>
          <w:noProof/>
        </w:rPr>
      </w:pPr>
      <w:r>
        <w:rPr>
          <w:noProof/>
        </w:rPr>
        <w:lastRenderedPageBreak/>
        <w:t>EXPOSÉ DES MOTIFS</w:t>
      </w:r>
    </w:p>
    <w:p w:rsidR="00435CFF" w:rsidRDefault="00BC16BC">
      <w:pPr>
        <w:pStyle w:val="ManualHeading1"/>
        <w:rPr>
          <w:noProof/>
        </w:rPr>
      </w:pPr>
      <w:r>
        <w:rPr>
          <w:noProof/>
        </w:rPr>
        <w:t>1.</w:t>
      </w:r>
      <w:r>
        <w:rPr>
          <w:noProof/>
        </w:rPr>
        <w:tab/>
        <w:t>CONTEXTE DE LA PROPOSITION</w:t>
      </w:r>
    </w:p>
    <w:p w:rsidR="00435CFF" w:rsidRDefault="00BC16BC">
      <w:pPr>
        <w:rPr>
          <w:noProof/>
        </w:rPr>
      </w:pPr>
      <w:r>
        <w:rPr>
          <w:noProof/>
        </w:rPr>
        <w:t xml:space="preserve">La pandémie de COVID-19 constitue une grave crise de santé publique. Elle touche durement les citoyens, </w:t>
      </w:r>
      <w:r>
        <w:rPr>
          <w:noProof/>
        </w:rPr>
        <w:t>les sociétés et les économies du monde entier. L’étendue de la crise sanitaire et les mesures prises pour y répondre sont sans précédent. L’ampleur de ses répercussions socio-économiques est par conséquent extrêmement incertaine. À ce stade, déjà, il ne fa</w:t>
      </w:r>
      <w:r>
        <w:rPr>
          <w:noProof/>
        </w:rPr>
        <w:t>it aucun doute qu’elle constitue un défi considérable et sans précédent pour les systèmes économiques et financiers des États membres. Selon les prévisions économiques de printemps de la Commission</w:t>
      </w:r>
      <w:r>
        <w:rPr>
          <w:rStyle w:val="FootnoteReference"/>
          <w:noProof/>
        </w:rPr>
        <w:footnoteReference w:id="2"/>
      </w:r>
      <w:r>
        <w:rPr>
          <w:noProof/>
        </w:rPr>
        <w:t>, le PIB de l’UE devrait se contracter d’environ 7,5 % cet</w:t>
      </w:r>
      <w:r>
        <w:rPr>
          <w:noProof/>
        </w:rPr>
        <w:t>te année, à savoir bien plus encore qu’au cours de la crise financière mondiale de 2009, et ne rebondir que de 6 % en 2021.</w:t>
      </w:r>
    </w:p>
    <w:p w:rsidR="00435CFF" w:rsidRDefault="00BC16BC">
      <w:pPr>
        <w:rPr>
          <w:noProof/>
        </w:rPr>
      </w:pPr>
      <w:r>
        <w:rPr>
          <w:noProof/>
        </w:rPr>
        <w:t>En réaction à cette crise, les États membres ont adopté des mesures discrétionnaires exceptionnelles sur les plans économique et fin</w:t>
      </w:r>
      <w:r>
        <w:rPr>
          <w:noProof/>
        </w:rPr>
        <w:t>ancier. S'ajoutant aux «stabilisateurs automatiques», c’est-à-dire les paiements prévus au titre de l’assurance chômage et des régimes de sécurité sociale combinés à une perte de recettes fiscales, ces mesures ont une incidence considérable sur leurs finan</w:t>
      </w:r>
      <w:r>
        <w:rPr>
          <w:noProof/>
        </w:rPr>
        <w:t xml:space="preserve">ces publiques, le déficit global des administrations publiques étant passé de 0,6 % du PIB en 2019 à 8,5 % du PIB cette année, tant dans la zone euro que pour l'UE dans son ensemble. </w:t>
      </w:r>
    </w:p>
    <w:p w:rsidR="00435CFF" w:rsidRDefault="00BC16BC">
      <w:pPr>
        <w:rPr>
          <w:noProof/>
        </w:rPr>
      </w:pPr>
      <w:r>
        <w:rPr>
          <w:noProof/>
        </w:rPr>
        <w:t>La crise provoquée par la pandémie de COVID-19 a aussi une incidence maj</w:t>
      </w:r>
      <w:r>
        <w:rPr>
          <w:noProof/>
        </w:rPr>
        <w:t>eure sur les sociétés du monde entier, en particulier, d'abord, sur les systèmes de santé, et elle entraîne des conséquences sociales et économiques graves à l’échelle mondiale. Notre stratégie de réponse doit être globale, cohérente et intégrée, et porter</w:t>
      </w:r>
      <w:r>
        <w:rPr>
          <w:noProof/>
        </w:rPr>
        <w:t xml:space="preserve"> à la fois sur la santé publique et les problèmes socio-économiques. Les pays les moins développés sont les plus vulnérables à la pandémie, compte tenu de la faiblesse et du manque de résilience de leurs systèmes de santé ainsi que de la complexité des déf</w:t>
      </w:r>
      <w:r>
        <w:rPr>
          <w:noProof/>
        </w:rPr>
        <w:t>is auxquels ils sont confrontés au niveau socio-économique et en matière de gouvernance. Il apparaît déjà nettement que la pandémie de COVID-19 aura une incidence majeure sur les systèmes économiques et macroéconomiques de nos pays partenaires. Les gouvern</w:t>
      </w:r>
      <w:r>
        <w:rPr>
          <w:noProof/>
        </w:rPr>
        <w:t>ements seront mis au défi de soutenir la stabilité macroéconomique et de conserver une marge de manœuvre budgétaire pour protéger les plus vulnérables, leurs entreprises, leurs travailleurs, tout en continuant à fournir les services sociaux de base.</w:t>
      </w:r>
    </w:p>
    <w:p w:rsidR="00435CFF" w:rsidRDefault="00BC16BC">
      <w:pPr>
        <w:rPr>
          <w:noProof/>
        </w:rPr>
      </w:pPr>
      <w:r>
        <w:rPr>
          <w:noProof/>
        </w:rPr>
        <w:t xml:space="preserve">Cette </w:t>
      </w:r>
      <w:r>
        <w:rPr>
          <w:noProof/>
        </w:rPr>
        <w:t xml:space="preserve">situation exceptionnelle appelle une approche cohérente et unifiée au niveau de l’Union. </w:t>
      </w:r>
    </w:p>
    <w:p w:rsidR="00435CFF" w:rsidRDefault="00BC16BC">
      <w:pPr>
        <w:rPr>
          <w:noProof/>
        </w:rPr>
      </w:pPr>
      <w:r>
        <w:rPr>
          <w:noProof/>
        </w:rPr>
        <w:t>Un plan global pour la relance européenne nécessitera des investissements publics et privés massifs au niveau européen, afin de dynamiser l’économie, de créer des emp</w:t>
      </w:r>
      <w:r>
        <w:rPr>
          <w:noProof/>
        </w:rPr>
        <w:t>lois de qualité et d'investir dans la réparation des dégâts immédiats causés par le coronavirus. La Commission propose par conséquent de tirer parti de toute la puissance du budget de l’UE pour mobiliser les investissements et concentrer le soutien financi</w:t>
      </w:r>
      <w:r>
        <w:rPr>
          <w:noProof/>
        </w:rPr>
        <w:t>er en début de période, lors des premières années décisives de la reprise, et cela au moyen des outils suivants:</w:t>
      </w:r>
    </w:p>
    <w:p w:rsidR="00435CFF" w:rsidRDefault="00BC16BC">
      <w:pPr>
        <w:rPr>
          <w:noProof/>
        </w:rPr>
      </w:pPr>
      <w:r>
        <w:rPr>
          <w:noProof/>
        </w:rPr>
        <w:t>un instrument de l’Union européenne pour la relance, en tant que mesure exceptionnelle fondée sur:</w:t>
      </w:r>
    </w:p>
    <w:p w:rsidR="00435CFF" w:rsidRDefault="00BC16BC">
      <w:pPr>
        <w:rPr>
          <w:noProof/>
        </w:rPr>
      </w:pPr>
      <w:r>
        <w:rPr>
          <w:noProof/>
        </w:rPr>
        <w:t>l’article 122 du TFUE, dont le financement r</w:t>
      </w:r>
      <w:r>
        <w:rPr>
          <w:noProof/>
        </w:rPr>
        <w:t xml:space="preserve">eposera sur une habilitation prévue dans la proposition de décision relative aux ressources propres.  Les fonds permettront de mettre en œuvre des mesures à effet rapide visant à protéger les moyens de subsistance, à accroître la prévention et à renforcer </w:t>
      </w:r>
      <w:r>
        <w:rPr>
          <w:noProof/>
        </w:rPr>
        <w:t>la résilience et la reprise en réponse à la crise;</w:t>
      </w:r>
    </w:p>
    <w:p w:rsidR="00435CFF" w:rsidRDefault="00BC16BC">
      <w:pPr>
        <w:pStyle w:val="Bullet0"/>
        <w:numPr>
          <w:ilvl w:val="0"/>
          <w:numId w:val="20"/>
        </w:numPr>
        <w:rPr>
          <w:b/>
          <w:noProof/>
          <w:u w:color="000000"/>
          <w:bdr w:val="nil"/>
        </w:rPr>
      </w:pPr>
      <w:r>
        <w:rPr>
          <w:b/>
          <w:noProof/>
          <w:u w:color="000000"/>
          <w:bdr w:val="nil"/>
        </w:rPr>
        <w:t>un cadre financier pluriannuel renforcé pour la période 2021-2027</w:t>
      </w:r>
    </w:p>
    <w:p w:rsidR="00435CFF" w:rsidRDefault="00BC16BC">
      <w:pPr>
        <w:rPr>
          <w:noProof/>
        </w:rPr>
      </w:pPr>
      <w:r>
        <w:rPr>
          <w:noProof/>
        </w:rPr>
        <w:t>La mise en œuvre de mesures en faveur de la reprise et de la résilience au titre de l’instrument européen pour la relance s'effectuera au m</w:t>
      </w:r>
      <w:r>
        <w:rPr>
          <w:noProof/>
        </w:rPr>
        <w:t>oyen des mécanismes déjà existants dans le cadre d’un certain nombre de programmes spécifiques de l’Union proposés par la Commission au titre du cadre financier pluriannuel pour la période 2021-2027, et notamment:</w:t>
      </w:r>
    </w:p>
    <w:p w:rsidR="00435CFF" w:rsidRDefault="00BC16BC">
      <w:pPr>
        <w:pStyle w:val="Tiret0"/>
        <w:numPr>
          <w:ilvl w:val="0"/>
          <w:numId w:val="21"/>
        </w:numPr>
        <w:rPr>
          <w:noProof/>
        </w:rPr>
      </w:pPr>
      <w:r>
        <w:rPr>
          <w:noProof/>
        </w:rPr>
        <w:t>le programme-cadre pour la recherche et l’</w:t>
      </w:r>
      <w:r>
        <w:rPr>
          <w:noProof/>
        </w:rPr>
        <w:t xml:space="preserve">innovation «Horizon Europe» et son programme spécifique d’exécution, </w:t>
      </w:r>
    </w:p>
    <w:p w:rsidR="00435CFF" w:rsidRDefault="00BC16BC">
      <w:pPr>
        <w:pStyle w:val="Tiret0"/>
        <w:rPr>
          <w:noProof/>
        </w:rPr>
      </w:pPr>
      <w:r>
        <w:rPr>
          <w:noProof/>
        </w:rPr>
        <w:t>l’instrument de voisinage, de coopération au développement et de coopération internationale,</w:t>
      </w:r>
    </w:p>
    <w:p w:rsidR="00435CFF" w:rsidRDefault="00BC16BC">
      <w:pPr>
        <w:pStyle w:val="Tiret0"/>
        <w:rPr>
          <w:noProof/>
        </w:rPr>
      </w:pPr>
      <w:r>
        <w:rPr>
          <w:noProof/>
        </w:rPr>
        <w:t>le Fonds européen agricole pour le développement rural.</w:t>
      </w:r>
    </w:p>
    <w:p w:rsidR="00435CFF" w:rsidRDefault="00BC16BC">
      <w:pPr>
        <w:pBdr>
          <w:top w:val="nil"/>
          <w:left w:val="nil"/>
          <w:bottom w:val="nil"/>
          <w:right w:val="nil"/>
          <w:between w:val="nil"/>
          <w:bar w:val="nil"/>
        </w:pBdr>
        <w:spacing w:before="0" w:after="240"/>
        <w:rPr>
          <w:noProof/>
        </w:rPr>
      </w:pPr>
      <w:r>
        <w:rPr>
          <w:noProof/>
        </w:rPr>
        <w:t xml:space="preserve">Il est donc nécessaire de modifier les propositions de la Commission relatives aux programmes précités de l’Union. </w:t>
      </w:r>
    </w:p>
    <w:p w:rsidR="00435CFF" w:rsidRDefault="00BC16BC">
      <w:pPr>
        <w:pStyle w:val="ManualHeading1"/>
        <w:rPr>
          <w:noProof/>
        </w:rPr>
      </w:pPr>
      <w:r>
        <w:rPr>
          <w:noProof/>
        </w:rPr>
        <w:t>2.</w:t>
      </w:r>
      <w:r>
        <w:rPr>
          <w:noProof/>
        </w:rPr>
        <w:tab/>
        <w:t>BASE JURIDIQUE, SUBSIDIARITÉ ET PROPORTIONNALITÉ</w:t>
      </w:r>
    </w:p>
    <w:p w:rsidR="00435CFF" w:rsidRDefault="00BC16BC">
      <w:pPr>
        <w:pStyle w:val="Bullet0"/>
        <w:rPr>
          <w:b/>
          <w:noProof/>
          <w:u w:color="000000"/>
          <w:bdr w:val="nil"/>
        </w:rPr>
      </w:pPr>
      <w:r>
        <w:rPr>
          <w:b/>
          <w:noProof/>
          <w:u w:color="000000"/>
          <w:bdr w:val="nil"/>
        </w:rPr>
        <w:t>Base juridique</w:t>
      </w:r>
    </w:p>
    <w:p w:rsidR="00435CFF" w:rsidRDefault="00BC16BC">
      <w:pPr>
        <w:pBdr>
          <w:top w:val="nil"/>
          <w:left w:val="nil"/>
          <w:bottom w:val="nil"/>
          <w:right w:val="nil"/>
          <w:between w:val="nil"/>
          <w:bar w:val="nil"/>
        </w:pBdr>
        <w:spacing w:before="0" w:after="240"/>
        <w:rPr>
          <w:rFonts w:eastAsia="Arial Unicode MS"/>
          <w:noProof/>
          <w:color w:val="000000" w:themeColor="text1"/>
        </w:rPr>
      </w:pPr>
      <w:r>
        <w:rPr>
          <w:noProof/>
        </w:rPr>
        <w:t xml:space="preserve">L’action de l’UE est justifiée par l'article 43, paragraphe 2, l'article </w:t>
      </w:r>
      <w:r>
        <w:rPr>
          <w:noProof/>
        </w:rPr>
        <w:t>173, paragraphe 3, l'article 182, paragraphes 1 et 4, et les articles 183, 188, 209 et 212, du traité sur le fonctionnement de l’Union européenne.</w:t>
      </w:r>
    </w:p>
    <w:p w:rsidR="00435CFF" w:rsidRDefault="00BC16BC">
      <w:pPr>
        <w:pStyle w:val="Bullet0"/>
        <w:rPr>
          <w:b/>
          <w:noProof/>
          <w:u w:color="000000"/>
          <w:bdr w:val="nil"/>
        </w:rPr>
      </w:pPr>
      <w:r>
        <w:rPr>
          <w:b/>
          <w:noProof/>
          <w:u w:color="000000"/>
          <w:bdr w:val="nil"/>
        </w:rPr>
        <w:t>Subsidiarité (en cas de compétence non exclusive)</w:t>
      </w:r>
    </w:p>
    <w:p w:rsidR="00435CFF" w:rsidRDefault="00BC16BC">
      <w:pPr>
        <w:pBdr>
          <w:top w:val="nil"/>
          <w:left w:val="nil"/>
          <w:bottom w:val="nil"/>
          <w:right w:val="nil"/>
          <w:between w:val="nil"/>
          <w:bar w:val="nil"/>
        </w:pBdr>
        <w:spacing w:before="0" w:after="240"/>
        <w:rPr>
          <w:rFonts w:eastAsia="Arial Unicode MS"/>
          <w:noProof/>
        </w:rPr>
      </w:pPr>
      <w:r>
        <w:rPr>
          <w:noProof/>
        </w:rPr>
        <w:t>L’exposé des motifs de [l'acte établissant l’instrument eur</w:t>
      </w:r>
      <w:r>
        <w:rPr>
          <w:noProof/>
        </w:rPr>
        <w:t xml:space="preserve">opéen pour la relance] détaille les considérations en matière de subsidiarité et de proportionnalité. </w:t>
      </w:r>
    </w:p>
    <w:p w:rsidR="00435CFF" w:rsidRDefault="00BC16BC">
      <w:pPr>
        <w:pBdr>
          <w:top w:val="nil"/>
          <w:left w:val="nil"/>
          <w:bottom w:val="nil"/>
          <w:right w:val="nil"/>
          <w:between w:val="nil"/>
          <w:bar w:val="nil"/>
        </w:pBdr>
        <w:spacing w:before="0" w:after="240"/>
        <w:rPr>
          <w:rFonts w:eastAsia="Arial Unicode MS"/>
          <w:noProof/>
        </w:rPr>
      </w:pPr>
      <w:r>
        <w:rPr>
          <w:noProof/>
        </w:rPr>
        <w:t>Par ailleurs, les exposés des motifs des propositions suivantes de la Commission détaillent les considérations en matière de subsidiarité et de proportio</w:t>
      </w:r>
      <w:r>
        <w:rPr>
          <w:noProof/>
        </w:rPr>
        <w:t>nnalité applicables aux programmes concernés:</w:t>
      </w:r>
    </w:p>
    <w:p w:rsidR="00435CFF" w:rsidRDefault="00BC16BC">
      <w:pPr>
        <w:pStyle w:val="Tiret0"/>
        <w:numPr>
          <w:ilvl w:val="0"/>
          <w:numId w:val="19"/>
        </w:numPr>
        <w:rPr>
          <w:noProof/>
        </w:rPr>
      </w:pPr>
      <w:r>
        <w:rPr>
          <w:noProof/>
        </w:rPr>
        <w:t>COM(2018) 392: proposition de RÈGLEMENT DU PARLEMENT EUROPÉEN ET DU CONSEIL établissant des règles régissant l'aide aux plans stratégiques devant être établis par les États membres dans le cadre de la politique</w:t>
      </w:r>
      <w:r>
        <w:rPr>
          <w:noProof/>
        </w:rPr>
        <w:t xml:space="preserve"> agricole commune (les «plans stratégiques relevant de la PAC») et financés par le Fonds européen agricole de garantie (FEAGA) et par le Fonds européen agricole pour le développement rural (Feader), et abrogeant le règlement (UE) nº 1305/2013 du Parlement </w:t>
      </w:r>
      <w:r>
        <w:rPr>
          <w:noProof/>
        </w:rPr>
        <w:t>européen et du Conseil et le règlement (UE) nº 1307/2013 du Parlement européen et du Conseil [ci-après: «proposition de la Commission COM(2018) 392»];</w:t>
      </w:r>
    </w:p>
    <w:p w:rsidR="00435CFF" w:rsidRDefault="00BC16BC">
      <w:pPr>
        <w:pStyle w:val="Tiret0"/>
        <w:rPr>
          <w:noProof/>
        </w:rPr>
      </w:pPr>
      <w:r>
        <w:rPr>
          <w:noProof/>
        </w:rPr>
        <w:t>COM(2018) 435: proposition de RÈGLEMENT DU PARLEMENT EUROPÉEN ET DU CONSEIL portant établissement du prog</w:t>
      </w:r>
      <w:r>
        <w:rPr>
          <w:noProof/>
        </w:rPr>
        <w:t xml:space="preserve">ramme-cadre pour la recherche et l’innovation «Horizon Europe» et définissant ses règles de participation et de diffusion [ci-après: «proposition de la Commission COM(2018) 435»]; </w:t>
      </w:r>
    </w:p>
    <w:p w:rsidR="00435CFF" w:rsidRDefault="00BC16BC">
      <w:pPr>
        <w:pStyle w:val="Tiret0"/>
        <w:rPr>
          <w:noProof/>
        </w:rPr>
      </w:pPr>
      <w:r>
        <w:rPr>
          <w:noProof/>
        </w:rPr>
        <w:t xml:space="preserve">COM(2018) 436: proposition de DÉCISION DU PARLEMENT EUROPÉEN ET DU CONSEIL </w:t>
      </w:r>
      <w:r>
        <w:rPr>
          <w:noProof/>
        </w:rPr>
        <w:t>établissant le programme spécifique d’exécution du programme-cadre pour la recherche et l’innovation «Horizon Europe» [ci-après: «proposition de la Commission COM(2018) 436»];</w:t>
      </w:r>
    </w:p>
    <w:p w:rsidR="00435CFF" w:rsidRDefault="00BC16BC">
      <w:pPr>
        <w:pStyle w:val="Tiret0"/>
        <w:rPr>
          <w:noProof/>
        </w:rPr>
      </w:pPr>
      <w:r>
        <w:rPr>
          <w:noProof/>
        </w:rPr>
        <w:t>COM(2018) 460: proposition de RÈGLEMENT DU PARLEMENT EUROPÉEN ET DU CONSEIL étab</w:t>
      </w:r>
      <w:r>
        <w:rPr>
          <w:noProof/>
        </w:rPr>
        <w:t>lissant l’instrument de voisinage, de coopération au développement et de coopération internationale [ci-après: «proposition de la Commission COM(2018) 460»].</w:t>
      </w:r>
    </w:p>
    <w:p w:rsidR="00435CFF" w:rsidRDefault="00BC16BC">
      <w:pPr>
        <w:pStyle w:val="Bullet0"/>
        <w:rPr>
          <w:b/>
          <w:noProof/>
          <w:u w:color="000000"/>
          <w:bdr w:val="nil"/>
        </w:rPr>
      </w:pPr>
      <w:r>
        <w:rPr>
          <w:b/>
          <w:noProof/>
          <w:u w:color="000000"/>
          <w:bdr w:val="nil"/>
        </w:rPr>
        <w:t>Choix de l’instrument</w:t>
      </w:r>
    </w:p>
    <w:p w:rsidR="00435CFF" w:rsidRDefault="00BC16BC">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présente proposition modifie les propositions de la Commission COM(2018) </w:t>
      </w:r>
      <w:r>
        <w:rPr>
          <w:noProof/>
          <w:color w:val="000000" w:themeColor="text1"/>
        </w:rPr>
        <w:t>392, COM(2018) 435, COM(2018) 436 et COM(2018) 460.</w:t>
      </w:r>
    </w:p>
    <w:p w:rsidR="00435CFF" w:rsidRDefault="00BC16BC">
      <w:pPr>
        <w:pStyle w:val="ManualHeading1"/>
        <w:rPr>
          <w:noProof/>
        </w:rPr>
      </w:pPr>
      <w:r>
        <w:rPr>
          <w:noProof/>
        </w:rPr>
        <w:t>3.</w:t>
      </w:r>
      <w:r>
        <w:rPr>
          <w:noProof/>
        </w:rPr>
        <w:tab/>
        <w:t>RÉSULTATS DES ÉVALUATIONS EX POST, DES CONSULTATIONS DES PARTIES INTÉRESSÉES ET DES ANALYSES D'IMPACT</w:t>
      </w:r>
    </w:p>
    <w:p w:rsidR="00435CFF" w:rsidRDefault="00BC16BC">
      <w:pPr>
        <w:pStyle w:val="Bullet0"/>
        <w:rPr>
          <w:b/>
          <w:noProof/>
          <w:u w:color="000000"/>
          <w:bdr w:val="nil"/>
        </w:rPr>
      </w:pPr>
      <w:r>
        <w:rPr>
          <w:b/>
          <w:noProof/>
          <w:u w:color="000000"/>
          <w:bdr w:val="nil"/>
        </w:rPr>
        <w:t>Consultation des parties intéressées</w:t>
      </w:r>
    </w:p>
    <w:p w:rsidR="00435CFF" w:rsidRDefault="00BC16BC">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Les exposés des motifs des propositions initiales suivantes de</w:t>
      </w:r>
      <w:r>
        <w:rPr>
          <w:noProof/>
          <w:color w:val="000000" w:themeColor="text1"/>
        </w:rPr>
        <w:t xml:space="preserve"> la Commission détaillent les consultations publiques et les consultations des parties intéressées qui ont été menées: COM(2018) 392, COM(2018) 435, COM(2018) 436 et COM(2018) 460.</w:t>
      </w:r>
    </w:p>
    <w:p w:rsidR="00435CFF" w:rsidRDefault="00BC16BC">
      <w:pPr>
        <w:pStyle w:val="Bullet0"/>
        <w:rPr>
          <w:b/>
          <w:noProof/>
          <w:u w:color="000000"/>
          <w:bdr w:val="nil"/>
        </w:rPr>
      </w:pPr>
      <w:r>
        <w:rPr>
          <w:b/>
          <w:noProof/>
          <w:u w:color="000000"/>
          <w:bdr w:val="nil"/>
        </w:rPr>
        <w:t>Évaluations et analyses d’impact</w:t>
      </w:r>
    </w:p>
    <w:p w:rsidR="00435CFF" w:rsidRDefault="00BC16BC">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Les exposés des motifs des propositions in</w:t>
      </w:r>
      <w:r>
        <w:rPr>
          <w:noProof/>
          <w:color w:val="000000" w:themeColor="text1"/>
        </w:rPr>
        <w:t>itiales suivantes de la Commission détaillent les résultats des évaluations ex post et intermédiaires réalisées à l'appui de la proposition: COM(2018) 392, COM(2018) 435, COM(2018) 436 et COM(2018) 460.</w:t>
      </w:r>
    </w:p>
    <w:p w:rsidR="00435CFF" w:rsidRDefault="00BC16BC">
      <w:pPr>
        <w:pStyle w:val="ManualHeading1"/>
        <w:rPr>
          <w:noProof/>
        </w:rPr>
      </w:pPr>
      <w:r>
        <w:rPr>
          <w:noProof/>
        </w:rPr>
        <w:t>4.</w:t>
      </w:r>
      <w:r>
        <w:rPr>
          <w:noProof/>
        </w:rPr>
        <w:tab/>
        <w:t>INCIDENCE BUDGÉTAIRE</w:t>
      </w:r>
    </w:p>
    <w:p w:rsidR="00435CFF" w:rsidRDefault="00BC16BC">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L’Union mettra à disposition </w:t>
      </w:r>
      <w:r>
        <w:rPr>
          <w:noProof/>
          <w:color w:val="000000" w:themeColor="text1"/>
        </w:rPr>
        <w:t>un total de 14 647 millions d’EUR en faveur du programme-cadre pour la recherche et l’innovation «Horizon Europe», un total de 16 483 millions d’EUR en faveur du Fonds européen agricole pour le développement rural et un total de 11 448 millions d’EUR aux f</w:t>
      </w:r>
      <w:r>
        <w:rPr>
          <w:noProof/>
          <w:color w:val="000000" w:themeColor="text1"/>
        </w:rPr>
        <w:t>ins de l’augmentation de la garantie pour l’action extérieure dans le cadre de l’instrument de voisinage, de coopération au développement et de coopération internationale. Les pays bénéficiaires énumérés à l'annexe I de l’instrument d’aide de préadhésion (</w:t>
      </w:r>
      <w:r>
        <w:rPr>
          <w:noProof/>
          <w:color w:val="000000" w:themeColor="text1"/>
        </w:rPr>
        <w:t xml:space="preserve">IAP) seront éligibles dans le cadre d’une telle augmentation. </w:t>
      </w:r>
      <w:r>
        <w:rPr>
          <w:noProof/>
        </w:rPr>
        <w:t>Le financement supplémentaire sera mis à disposition au moyen de l’instrument européen pour la relance sur le fondement de l'habilitation prévue dans la nouvelle décision relative aux ressources</w:t>
      </w:r>
      <w:r>
        <w:rPr>
          <w:noProof/>
        </w:rPr>
        <w:t xml:space="preserve"> propres.</w:t>
      </w:r>
      <w:r>
        <w:rPr>
          <w:noProof/>
          <w:color w:val="000000" w:themeColor="text1"/>
        </w:rPr>
        <w:t xml:space="preserve"> </w:t>
      </w:r>
    </w:p>
    <w:p w:rsidR="00435CFF" w:rsidRDefault="00BC16BC">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Des informations plus détaillées sur l'incidence budgétaire sont fournies dans la fiche financière législative.</w:t>
      </w:r>
    </w:p>
    <w:p w:rsidR="00435CFF" w:rsidRDefault="00BC16BC">
      <w:pPr>
        <w:pStyle w:val="ManualHeading1"/>
        <w:rPr>
          <w:noProof/>
        </w:rPr>
      </w:pPr>
      <w:r>
        <w:rPr>
          <w:noProof/>
        </w:rPr>
        <w:t>5.</w:t>
      </w:r>
      <w:r>
        <w:rPr>
          <w:noProof/>
        </w:rPr>
        <w:tab/>
        <w:t>AUTRES ÉLÉMENTS</w:t>
      </w:r>
    </w:p>
    <w:p w:rsidR="00435CFF" w:rsidRDefault="00BC16BC">
      <w:pPr>
        <w:pStyle w:val="Bullet0"/>
        <w:rPr>
          <w:b/>
          <w:noProof/>
          <w:u w:color="000000"/>
          <w:bdr w:val="nil"/>
        </w:rPr>
      </w:pPr>
      <w:r>
        <w:rPr>
          <w:b/>
          <w:noProof/>
          <w:u w:color="000000"/>
          <w:bdr w:val="nil"/>
        </w:rPr>
        <w:t>Explication détaillée des différentes dispositions de la proposition</w:t>
      </w:r>
    </w:p>
    <w:p w:rsidR="00435CFF" w:rsidRDefault="00BC16BC">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La proposition consiste en des modifications </w:t>
      </w:r>
      <w:r>
        <w:rPr>
          <w:noProof/>
          <w:color w:val="000000" w:themeColor="text1"/>
        </w:rPr>
        <w:t>ciblées des propositions suivantes de la Commission: COM(2018) 392, COM(2018) 435, COM(2018) 436 et COM(2018) 460.</w:t>
      </w:r>
    </w:p>
    <w:p w:rsidR="00435CFF" w:rsidRDefault="00BC16BC">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Les principales modifications introduites visent à: </w:t>
      </w:r>
    </w:p>
    <w:p w:rsidR="00435CFF" w:rsidRDefault="00BC16BC">
      <w:pPr>
        <w:pStyle w:val="Tiret0"/>
        <w:numPr>
          <w:ilvl w:val="0"/>
          <w:numId w:val="10"/>
        </w:numPr>
        <w:rPr>
          <w:noProof/>
        </w:rPr>
      </w:pPr>
      <w:r>
        <w:rPr>
          <w:noProof/>
        </w:rPr>
        <w:t>permettre la mise en œuvre des mesures prévues dans la proposition de règlement établiss</w:t>
      </w:r>
      <w:r>
        <w:rPr>
          <w:noProof/>
        </w:rPr>
        <w:t>ant un instrument de l’Union européenne pour la relance au moyen des mécanismes de mise en œuvre du programme-cadre pour la recherche et l’innovation, de l’instrument de voisinage, de coopération au développement et de coopération internationale et du Fond</w:t>
      </w:r>
      <w:r>
        <w:rPr>
          <w:noProof/>
        </w:rPr>
        <w:t>s européen agricole pour le développement rural;</w:t>
      </w:r>
    </w:p>
    <w:p w:rsidR="00435CFF" w:rsidRDefault="00BC16BC">
      <w:pPr>
        <w:pStyle w:val="Tiret0"/>
        <w:rPr>
          <w:noProof/>
        </w:rPr>
      </w:pPr>
      <w:r>
        <w:rPr>
          <w:noProof/>
        </w:rPr>
        <w:t>permettre que les financements au titre de l'instrument de l'Union européenne pour la relance constituent des recettes affectées externes au sens de l'article 21, paragraphe 5, du règlement financier;</w:t>
      </w:r>
    </w:p>
    <w:p w:rsidR="00435CFF" w:rsidRDefault="00BC16BC">
      <w:pPr>
        <w:pStyle w:val="Tiret0"/>
        <w:rPr>
          <w:noProof/>
        </w:rPr>
      </w:pPr>
      <w:r>
        <w:rPr>
          <w:noProof/>
        </w:rPr>
        <w:t>assure</w:t>
      </w:r>
      <w:r>
        <w:rPr>
          <w:noProof/>
        </w:rPr>
        <w:t>r le respect des délais ciblés fixés à l’article 4 de la proposition de règlement établissant un instrument de l'Union européenne pour la relance au moyen des références croisées appropriées;</w:t>
      </w:r>
    </w:p>
    <w:p w:rsidR="00435CFF" w:rsidRDefault="00435CFF">
      <w:pPr>
        <w:rPr>
          <w:noProof/>
        </w:rPr>
        <w:sectPr w:rsidR="00435CFF">
          <w:footerReference w:type="default" r:id="rId13"/>
          <w:footerReference w:type="first" r:id="rId14"/>
          <w:pgSz w:w="11907" w:h="16839"/>
          <w:pgMar w:top="1134" w:right="1417" w:bottom="1134" w:left="1417" w:header="709" w:footer="709" w:gutter="0"/>
          <w:cols w:space="708"/>
          <w:docGrid w:linePitch="360"/>
        </w:sectPr>
      </w:pPr>
    </w:p>
    <w:p w:rsidR="00435CFF" w:rsidRDefault="00BC16BC">
      <w:pPr>
        <w:pStyle w:val="Rfrenceinterinstitutionnelle"/>
        <w:rPr>
          <w:noProof/>
        </w:rPr>
      </w:pPr>
      <w:r>
        <w:rPr>
          <w:noProof/>
        </w:rPr>
        <w:t>2018/0</w:t>
      </w:r>
      <w:r>
        <w:rPr>
          <w:noProof/>
        </w:rPr>
        <w:t>224 (COD)</w:t>
      </w:r>
    </w:p>
    <w:p w:rsidR="00435CFF" w:rsidRDefault="00BC16BC">
      <w:pPr>
        <w:pStyle w:val="Statut"/>
        <w:rPr>
          <w:noProof/>
        </w:rPr>
      </w:pPr>
      <w:r>
        <w:rPr>
          <w:noProof/>
        </w:rPr>
        <w:t>Proposition modifiée de</w:t>
      </w:r>
    </w:p>
    <w:p w:rsidR="00435CFF" w:rsidRDefault="00BC16BC">
      <w:pPr>
        <w:pStyle w:val="Typedudocument"/>
        <w:rPr>
          <w:noProof/>
        </w:rPr>
      </w:pPr>
      <w:r>
        <w:rPr>
          <w:noProof/>
        </w:rPr>
        <w:t>RÈGLEMENT DU PARLEMENT EUROPÉEN ET DU CONSEIL</w:t>
      </w:r>
    </w:p>
    <w:p w:rsidR="00435CFF" w:rsidRDefault="00BC16BC">
      <w:pPr>
        <w:pStyle w:val="Titreobjet"/>
        <w:rPr>
          <w:noProof/>
        </w:rPr>
      </w:pPr>
      <w:r>
        <w:rPr>
          <w:noProof/>
        </w:rPr>
        <w:t xml:space="preserve">portant établissement du programme-cadre pour la recherche et l’innovation «Horizon Europe» et définissant ses règles de participation et de diffusion, </w:t>
      </w:r>
      <w:r>
        <w:rPr>
          <w:noProof/>
        </w:rPr>
        <w:br/>
        <w:t xml:space="preserve">  </w:t>
      </w:r>
      <w:r>
        <w:rPr>
          <w:noProof/>
        </w:rPr>
        <w:br/>
        <w:t>DÉCISION DU PARLEMEN</w:t>
      </w:r>
      <w:r>
        <w:rPr>
          <w:noProof/>
        </w:rPr>
        <w:t xml:space="preserve">T EUROPÉEN ET DU CONSEIL </w:t>
      </w:r>
      <w:r>
        <w:rPr>
          <w:noProof/>
        </w:rPr>
        <w:br/>
        <w:t xml:space="preserve">établissant le programme spécifique d’exécution du programme-cadre pour la recherche et l’innovation «Horizon Europe», </w:t>
      </w:r>
      <w:r>
        <w:rPr>
          <w:noProof/>
        </w:rPr>
        <w:br/>
        <w:t xml:space="preserve">  </w:t>
      </w:r>
      <w:r>
        <w:rPr>
          <w:noProof/>
        </w:rPr>
        <w:br/>
        <w:t>RÈGLEMENT DU PARLEMENT EUROPÉEN ET DU CONSEIL établissant l’instrument de voisinage, de coopération au déve</w:t>
      </w:r>
      <w:r>
        <w:rPr>
          <w:noProof/>
        </w:rPr>
        <w:t xml:space="preserve">loppement et de coopération internationale, </w:t>
      </w:r>
      <w:r>
        <w:rPr>
          <w:noProof/>
        </w:rPr>
        <w:br/>
        <w:t xml:space="preserve"> </w:t>
      </w:r>
      <w:r>
        <w:rPr>
          <w:noProof/>
        </w:rPr>
        <w:br/>
        <w:t>RÈGLEMENT DU PARLEMENT EUROPÉEN ET DU CONSEIL établissant des règles régissant l'aide aux plans stratégiques devant être établis par les États membres dans le cadre de la politique agricole commune (les «plans</w:t>
      </w:r>
      <w:r>
        <w:rPr>
          <w:noProof/>
        </w:rPr>
        <w:t xml:space="preserve"> stratégiques relevant de la PAC») et financés par le Fonds européen agricole de garantie (FEAGA) et par le Fonds européen agricole pour le développement rural (Feader), et abrogeant le règlement (UE) n° 1305/2013 du Parlement européen et du Conseil et le </w:t>
      </w:r>
      <w:r>
        <w:rPr>
          <w:noProof/>
        </w:rPr>
        <w:t>règlement (UE) n° 1307/2013 du Parlement européen et du Conseil</w:t>
      </w:r>
    </w:p>
    <w:p w:rsidR="00435CFF" w:rsidRDefault="00BC16BC">
      <w:pPr>
        <w:rPr>
          <w:noProof/>
        </w:rPr>
      </w:pPr>
      <w:r>
        <w:rPr>
          <w:noProof/>
        </w:rPr>
        <w:t xml:space="preserve">Les propositions de la Commission COM(2018) 435, COM(2018) 436, COM(2018) 460, COM(2018) 392 sont modifiées comme suit: </w:t>
      </w:r>
    </w:p>
    <w:p w:rsidR="00435CFF" w:rsidRDefault="00BC16BC">
      <w:pPr>
        <w:pStyle w:val="ManualNumPar1"/>
        <w:rPr>
          <w:noProof/>
        </w:rPr>
      </w:pPr>
      <w:r>
        <w:rPr>
          <w:noProof/>
        </w:rPr>
        <w:t>1.</w:t>
      </w:r>
      <w:r>
        <w:rPr>
          <w:noProof/>
        </w:rPr>
        <w:tab/>
        <w:t xml:space="preserve">La proposition de la Commission de RÈGLEMENT DU PARLEMENT EUROPÉEN </w:t>
      </w:r>
      <w:r>
        <w:rPr>
          <w:noProof/>
        </w:rPr>
        <w:t>ET DU CONSEIL portant établissement du programme-cadre pour la recherche et l’innovation «Horizon Europe» et définissant ses règles de participation et de diffusion [COM(2018) 435] est modifiée comme suit:</w:t>
      </w:r>
    </w:p>
    <w:p w:rsidR="00435CFF" w:rsidRDefault="00BC16BC">
      <w:pPr>
        <w:pStyle w:val="Point0"/>
        <w:rPr>
          <w:noProof/>
        </w:rPr>
      </w:pPr>
      <w:r>
        <w:rPr>
          <w:noProof/>
        </w:rPr>
        <w:t>(1)</w:t>
      </w:r>
      <w:r>
        <w:rPr>
          <w:noProof/>
        </w:rPr>
        <w:tab/>
        <w:t xml:space="preserve">le considérant 15 </w:t>
      </w:r>
      <w:r>
        <w:rPr>
          <w:i/>
          <w:noProof/>
        </w:rPr>
        <w:t>bis</w:t>
      </w:r>
      <w:r>
        <w:rPr>
          <w:noProof/>
        </w:rPr>
        <w:t xml:space="preserve"> suivant est inséré: </w:t>
      </w:r>
    </w:p>
    <w:p w:rsidR="00435CFF" w:rsidRDefault="00BC16BC">
      <w:pPr>
        <w:pStyle w:val="Text1"/>
        <w:rPr>
          <w:noProof/>
          <w:color w:val="00B050"/>
          <w:sz w:val="22"/>
        </w:rPr>
      </w:pPr>
      <w:r>
        <w:rPr>
          <w:noProof/>
          <w:color w:val="000000" w:themeColor="text1"/>
        </w:rPr>
        <w:t>«(1</w:t>
      </w:r>
      <w:r>
        <w:rPr>
          <w:noProof/>
          <w:color w:val="000000" w:themeColor="text1"/>
        </w:rPr>
        <w:t>5</w:t>
      </w:r>
      <w:r>
        <w:rPr>
          <w:i/>
          <w:noProof/>
          <w:color w:val="000000" w:themeColor="text1"/>
        </w:rPr>
        <w:t xml:space="preserve"> bis</w:t>
      </w:r>
      <w:r>
        <w:rPr>
          <w:noProof/>
          <w:color w:val="000000" w:themeColor="text1"/>
        </w:rPr>
        <w:t xml:space="preserve">) </w:t>
      </w:r>
      <w:r>
        <w:rPr>
          <w:noProof/>
        </w:rPr>
        <w:tab/>
        <w:t xml:space="preserve">Conformément au règlement [Instrument de l’Union européenne pour la relance] et dans les limites des ressources allouées par ce dernier, des mesures de relance et de résilience au titre du présent programme devraient être mises en œuvre pour faire </w:t>
      </w:r>
      <w:r>
        <w:rPr>
          <w:noProof/>
        </w:rPr>
        <w:t>face aux répercussions sans précédent de la crise liée à la pandémie de COVID-19.  Ces ressources supplémentaires devraient être utilisées de manière à garantir le respect des délais prévus par le règlement [ERI].»;</w:t>
      </w:r>
    </w:p>
    <w:p w:rsidR="00435CFF" w:rsidRDefault="00BC16BC">
      <w:pPr>
        <w:pStyle w:val="Point0"/>
        <w:rPr>
          <w:noProof/>
        </w:rPr>
      </w:pPr>
      <w:r>
        <w:rPr>
          <w:noProof/>
        </w:rPr>
        <w:t>(2)</w:t>
      </w:r>
      <w:r>
        <w:rPr>
          <w:noProof/>
        </w:rPr>
        <w:tab/>
        <w:t xml:space="preserve">l'article 9 </w:t>
      </w:r>
      <w:r>
        <w:rPr>
          <w:i/>
          <w:noProof/>
        </w:rPr>
        <w:t>bis</w:t>
      </w:r>
      <w:r>
        <w:rPr>
          <w:noProof/>
        </w:rPr>
        <w:t xml:space="preserve"> suivant est inséré: </w:t>
      </w:r>
    </w:p>
    <w:p w:rsidR="00435CFF" w:rsidRDefault="00BC16BC">
      <w:pPr>
        <w:pStyle w:val="Titrearticle"/>
        <w:rPr>
          <w:noProof/>
        </w:rPr>
      </w:pPr>
      <w:r>
        <w:rPr>
          <w:noProof/>
        </w:rPr>
        <w:t>«Article 9 </w:t>
      </w:r>
      <w:r>
        <w:rPr>
          <w:i w:val="0"/>
          <w:noProof/>
        </w:rPr>
        <w:t>bis</w:t>
      </w:r>
      <w:r>
        <w:rPr>
          <w:noProof/>
        </w:rPr>
        <w:t xml:space="preserve"> </w:t>
      </w:r>
      <w:r>
        <w:rPr>
          <w:noProof/>
        </w:rPr>
        <w:br/>
        <w:t>Ressources provenant de l’instrument de l'Union européenne pour la relance</w:t>
      </w:r>
    </w:p>
    <w:p w:rsidR="00435CFF" w:rsidRDefault="00BC16BC">
      <w:pPr>
        <w:pStyle w:val="Text1"/>
        <w:rPr>
          <w:noProof/>
        </w:rPr>
      </w:pPr>
      <w:r>
        <w:rPr>
          <w:noProof/>
        </w:rPr>
        <w:t xml:space="preserve">Les mesures visées à l’article 2 du règlement [ERI] sont mises en œuvre au titre du présent programme au moyen des montants visés à l’article 3, paragraphe 2, point a) v), dudit règlement [ERI], sous réserve de son article 4, paragraphes 4 et 8.  </w:t>
      </w:r>
    </w:p>
    <w:p w:rsidR="00435CFF" w:rsidRDefault="00BC16BC">
      <w:pPr>
        <w:pStyle w:val="Text1"/>
        <w:rPr>
          <w:noProof/>
        </w:rPr>
      </w:pPr>
      <w:r>
        <w:rPr>
          <w:noProof/>
        </w:rPr>
        <w:t>Ces mont</w:t>
      </w:r>
      <w:r>
        <w:rPr>
          <w:noProof/>
        </w:rPr>
        <w:t>ants constituent des recettes affectées externes au sens de l'article 21, paragraphe 5, du règlement financier.»</w:t>
      </w:r>
    </w:p>
    <w:p w:rsidR="00435CFF" w:rsidRDefault="00BC16BC">
      <w:pPr>
        <w:pStyle w:val="ManualNumPar1"/>
        <w:rPr>
          <w:noProof/>
        </w:rPr>
      </w:pPr>
      <w:r>
        <w:rPr>
          <w:noProof/>
        </w:rPr>
        <w:t>2.</w:t>
      </w:r>
      <w:r>
        <w:rPr>
          <w:noProof/>
        </w:rPr>
        <w:tab/>
        <w:t xml:space="preserve">L’article 4 </w:t>
      </w:r>
      <w:r>
        <w:rPr>
          <w:i/>
          <w:noProof/>
        </w:rPr>
        <w:t>bis</w:t>
      </w:r>
      <w:r>
        <w:rPr>
          <w:noProof/>
        </w:rPr>
        <w:t xml:space="preserve"> suivant est inséré dans la proposition de la Commission de DÉCISION DU PARLEMENT EUROPÉEN ET DU CONSEIL établissant le progr</w:t>
      </w:r>
      <w:r>
        <w:rPr>
          <w:noProof/>
        </w:rPr>
        <w:t xml:space="preserve">amme spécifique d’exécution du programme-cadre pour la recherche et l’innovation «Horizon Europe» [COM(2018) 436]: </w:t>
      </w:r>
    </w:p>
    <w:p w:rsidR="00435CFF" w:rsidRDefault="00BC16BC">
      <w:pPr>
        <w:pStyle w:val="Titrearticle"/>
        <w:rPr>
          <w:bCs/>
          <w:noProof/>
        </w:rPr>
      </w:pPr>
      <w:r>
        <w:rPr>
          <w:noProof/>
        </w:rPr>
        <w:t>«Article 4 </w:t>
      </w:r>
      <w:r>
        <w:rPr>
          <w:i w:val="0"/>
          <w:noProof/>
        </w:rPr>
        <w:t>bis</w:t>
      </w:r>
      <w:r>
        <w:rPr>
          <w:noProof/>
        </w:rPr>
        <w:t xml:space="preserve"> </w:t>
      </w:r>
      <w:r>
        <w:rPr>
          <w:noProof/>
        </w:rPr>
        <w:br/>
        <w:t>Ressources provenant de l’instrument de l'Union européenne pour la relance</w:t>
      </w:r>
    </w:p>
    <w:p w:rsidR="00435CFF" w:rsidRDefault="00BC16BC">
      <w:pPr>
        <w:pStyle w:val="Text1"/>
        <w:rPr>
          <w:noProof/>
        </w:rPr>
      </w:pPr>
      <w:r>
        <w:rPr>
          <w:noProof/>
        </w:rPr>
        <w:t xml:space="preserve">Conformément à l’article 9 </w:t>
      </w:r>
      <w:r>
        <w:rPr>
          <w:i/>
          <w:noProof/>
        </w:rPr>
        <w:t xml:space="preserve">bis </w:t>
      </w:r>
      <w:r>
        <w:rPr>
          <w:noProof/>
        </w:rPr>
        <w:t>du règlement [règl</w:t>
      </w:r>
      <w:r>
        <w:rPr>
          <w:noProof/>
        </w:rPr>
        <w:t>ement relatif au programme-cadre], les mesures visées à l’article 2 du règlement [ERI] sont mises en œuvre au titre du présent programme spécifique au moyen des montants visés à l’article 3, paragraphe 2, point a) v), dudit règlement [ERI], sous réserve de</w:t>
      </w:r>
      <w:r>
        <w:rPr>
          <w:noProof/>
        </w:rPr>
        <w:t xml:space="preserve"> son article 4, paragraphes 4 et 8.»</w:t>
      </w:r>
    </w:p>
    <w:p w:rsidR="00435CFF" w:rsidRDefault="00BC16BC">
      <w:pPr>
        <w:pStyle w:val="ManualNumPar1"/>
        <w:rPr>
          <w:noProof/>
        </w:rPr>
      </w:pPr>
      <w:r>
        <w:rPr>
          <w:noProof/>
        </w:rPr>
        <w:t>3.</w:t>
      </w:r>
      <w:r>
        <w:rPr>
          <w:noProof/>
        </w:rPr>
        <w:tab/>
        <w:t>La proposition de la Commission de RÈGLEMENT DU PARLEMENT EUROPÉEN ET DU CONSEIL établissant l’instrument de voisinage, de coopération au développement et de coopération internationale [COM(2018) 460] est modifiée co</w:t>
      </w:r>
      <w:r>
        <w:rPr>
          <w:noProof/>
        </w:rPr>
        <w:t xml:space="preserve">mme suit: </w:t>
      </w:r>
    </w:p>
    <w:p w:rsidR="00435CFF" w:rsidRDefault="00BC16BC">
      <w:pPr>
        <w:pStyle w:val="Point0"/>
        <w:rPr>
          <w:noProof/>
        </w:rPr>
      </w:pPr>
      <w:r>
        <w:rPr>
          <w:noProof/>
        </w:rPr>
        <w:t>(1)</w:t>
      </w:r>
      <w:r>
        <w:rPr>
          <w:noProof/>
        </w:rPr>
        <w:tab/>
        <w:t xml:space="preserve">le considérant 36 </w:t>
      </w:r>
      <w:r>
        <w:rPr>
          <w:i/>
          <w:iCs/>
          <w:noProof/>
        </w:rPr>
        <w:t>bis</w:t>
      </w:r>
      <w:r>
        <w:rPr>
          <w:noProof/>
        </w:rPr>
        <w:t xml:space="preserve"> ci-dessous est inséré:</w:t>
      </w:r>
    </w:p>
    <w:p w:rsidR="00435CFF" w:rsidRDefault="00BC16BC">
      <w:pPr>
        <w:pStyle w:val="Text1"/>
        <w:rPr>
          <w:noProof/>
        </w:rPr>
      </w:pPr>
      <w:r>
        <w:rPr>
          <w:noProof/>
        </w:rPr>
        <w:t xml:space="preserve">«(36 </w:t>
      </w:r>
      <w:r>
        <w:rPr>
          <w:i/>
          <w:noProof/>
        </w:rPr>
        <w:t>bis</w:t>
      </w:r>
      <w:r>
        <w:rPr>
          <w:noProof/>
        </w:rPr>
        <w:t xml:space="preserve">) Conformément au règlement [Instrument de l’Union européenne pour la relance] et dans les limites des ressources allouées par ce dernier, des mesures de relance et de résilience au titre </w:t>
      </w:r>
      <w:r>
        <w:rPr>
          <w:noProof/>
        </w:rPr>
        <w:t>de l’instrument de voisinage, de coopération au développement et de coopération internationale devraient être mises en œuvre pour faire face aux répercussions sans précédent de la crise liée à la pandémie de COVID-19.  Ces ressources supplémentaires devrai</w:t>
      </w:r>
      <w:r>
        <w:rPr>
          <w:noProof/>
        </w:rPr>
        <w:t xml:space="preserve">ent être utilisées de manière à garantir le respect des délais prévus par le règlement [ERI].» </w:t>
      </w:r>
    </w:p>
    <w:p w:rsidR="00435CFF" w:rsidRDefault="00BC16BC">
      <w:pPr>
        <w:pStyle w:val="Point0"/>
        <w:rPr>
          <w:noProof/>
        </w:rPr>
      </w:pPr>
      <w:r>
        <w:rPr>
          <w:noProof/>
        </w:rPr>
        <w:t>(2)</w:t>
      </w:r>
      <w:r>
        <w:rPr>
          <w:noProof/>
        </w:rPr>
        <w:tab/>
        <w:t xml:space="preserve">l'article 6 </w:t>
      </w:r>
      <w:r>
        <w:rPr>
          <w:i/>
          <w:iCs/>
          <w:noProof/>
        </w:rPr>
        <w:t>bis</w:t>
      </w:r>
      <w:r>
        <w:rPr>
          <w:noProof/>
        </w:rPr>
        <w:t xml:space="preserve"> suivant est inséré:</w:t>
      </w:r>
    </w:p>
    <w:p w:rsidR="00435CFF" w:rsidRDefault="00BC16BC">
      <w:pPr>
        <w:pStyle w:val="Titrearticle"/>
        <w:rPr>
          <w:noProof/>
        </w:rPr>
      </w:pPr>
      <w:r>
        <w:rPr>
          <w:noProof/>
        </w:rPr>
        <w:t>«Article 6 </w:t>
      </w:r>
      <w:r>
        <w:rPr>
          <w:i w:val="0"/>
          <w:noProof/>
        </w:rPr>
        <w:t>bis</w:t>
      </w:r>
      <w:r>
        <w:rPr>
          <w:noProof/>
        </w:rPr>
        <w:t xml:space="preserve"> </w:t>
      </w:r>
      <w:r>
        <w:rPr>
          <w:noProof/>
        </w:rPr>
        <w:br/>
        <w:t>Ressources provenant de l’instrument de l'Union européenne pour la relance</w:t>
      </w:r>
    </w:p>
    <w:p w:rsidR="00435CFF" w:rsidRDefault="00BC16BC">
      <w:pPr>
        <w:pStyle w:val="Point1"/>
        <w:rPr>
          <w:noProof/>
        </w:rPr>
      </w:pPr>
      <w:r>
        <w:rPr>
          <w:noProof/>
        </w:rPr>
        <w:t>(1)</w:t>
      </w:r>
      <w:r>
        <w:rPr>
          <w:noProof/>
        </w:rPr>
        <w:tab/>
        <w:t>Au titre de la garantie p</w:t>
      </w:r>
      <w:r>
        <w:rPr>
          <w:noProof/>
        </w:rPr>
        <w:t xml:space="preserve">our l’action extérieure, le montant visé à l’article 26, paragraphe 3, deuxième alinéa, est accordé selon les conditions énoncées à l’article 4, paragraphe 6, du règlement [ERI], à l’exception des opérations d’assistance macrofinancière qui sont accordées </w:t>
      </w:r>
      <w:r>
        <w:rPr>
          <w:noProof/>
        </w:rPr>
        <w:t>conformément aux dispositions de l’article 4, paragraphe 7, dudit règlement [ERI]. Ce montant soutient également des opérations dans les pays bénéficiaires mentionnés à l’annexe I du règlement IAP III.</w:t>
      </w:r>
    </w:p>
    <w:p w:rsidR="00435CFF" w:rsidRDefault="00BC16BC">
      <w:pPr>
        <w:pStyle w:val="Point1"/>
        <w:rPr>
          <w:noProof/>
        </w:rPr>
      </w:pPr>
      <w:r>
        <w:rPr>
          <w:noProof/>
        </w:rPr>
        <w:t>(2)</w:t>
      </w:r>
      <w:r>
        <w:rPr>
          <w:noProof/>
        </w:rPr>
        <w:tab/>
        <w:t>Le montant visé à l’article 3, paragraphe 2, point</w:t>
      </w:r>
      <w:r>
        <w:rPr>
          <w:noProof/>
        </w:rPr>
        <w:t xml:space="preserve"> c) iii), du règlement [ERI] est utilisé pour le provisionnement de la garantie pour l’action extérieure au titre du présent règlement, en complément des ressources mentionnées à l’article 211, paragraphe 4, premier alinéa, du règlement financier, ainsi qu</w:t>
      </w:r>
      <w:r>
        <w:rPr>
          <w:noProof/>
        </w:rPr>
        <w:t xml:space="preserve">e pour les mesures visées à l’article 2, paragraphe 2, deuxième phrase, du règlement [ERI], sous réserve de son article 4, paragraphe 8. </w:t>
      </w:r>
    </w:p>
    <w:p w:rsidR="00435CFF" w:rsidRDefault="00BC16BC">
      <w:pPr>
        <w:pStyle w:val="Text2"/>
        <w:rPr>
          <w:b/>
          <w:noProof/>
        </w:rPr>
      </w:pPr>
      <w:r>
        <w:rPr>
          <w:noProof/>
        </w:rPr>
        <w:t>Outre les ressources visées à l’article 211, paragraphe 4, deuxième alinéa, du règlement financier, un montant maximal</w:t>
      </w:r>
      <w:r>
        <w:rPr>
          <w:noProof/>
        </w:rPr>
        <w:t xml:space="preserve"> de 11 285 762 000 EUR est pris en compte pour le calcul du provisionnement résultant du taux de provisionnement visé à l’article 211, paragraphe 1, du règlement financier.</w:t>
      </w:r>
      <w:r>
        <w:rPr>
          <w:b/>
          <w:noProof/>
        </w:rPr>
        <w:t xml:space="preserve"> </w:t>
      </w:r>
    </w:p>
    <w:p w:rsidR="00435CFF" w:rsidRDefault="00BC16BC">
      <w:pPr>
        <w:pStyle w:val="Text2"/>
        <w:rPr>
          <w:noProof/>
        </w:rPr>
      </w:pPr>
      <w:r>
        <w:rPr>
          <w:noProof/>
        </w:rPr>
        <w:t>Le montant visé au premier alinéa constitue des recettes affectées externes au sen</w:t>
      </w:r>
      <w:r>
        <w:rPr>
          <w:noProof/>
        </w:rPr>
        <w:t>s de l’article 21, paragraphe 5, du règlement financier.»</w:t>
      </w:r>
    </w:p>
    <w:p w:rsidR="00435CFF" w:rsidRDefault="00BC16BC">
      <w:pPr>
        <w:pStyle w:val="Point0"/>
        <w:rPr>
          <w:noProof/>
        </w:rPr>
      </w:pPr>
      <w:r>
        <w:rPr>
          <w:noProof/>
        </w:rPr>
        <w:t>(3)</w:t>
      </w:r>
      <w:r>
        <w:rPr>
          <w:noProof/>
        </w:rPr>
        <w:tab/>
        <w:t>L’article 26 est modifié comme suit:</w:t>
      </w:r>
    </w:p>
    <w:p w:rsidR="00435CFF" w:rsidRDefault="00BC16BC">
      <w:pPr>
        <w:pStyle w:val="Point1"/>
        <w:rPr>
          <w:noProof/>
        </w:rPr>
      </w:pPr>
      <w:r>
        <w:rPr>
          <w:noProof/>
        </w:rPr>
        <w:t>(a)</w:t>
      </w:r>
      <w:r>
        <w:rPr>
          <w:noProof/>
        </w:rPr>
        <w:tab/>
        <w:t xml:space="preserve">le paragraphe 3 est remplacé par le texte suivant: </w:t>
      </w:r>
    </w:p>
    <w:p w:rsidR="00435CFF" w:rsidRDefault="00BC16BC">
      <w:pPr>
        <w:pStyle w:val="Text2"/>
        <w:rPr>
          <w:noProof/>
        </w:rPr>
      </w:pPr>
      <w:r>
        <w:rPr>
          <w:noProof/>
        </w:rPr>
        <w:t>«3. Au titre de la garantie pour l’action extérieure, l’Union peut garantir des opérations, signées e</w:t>
      </w:r>
      <w:r>
        <w:rPr>
          <w:noProof/>
        </w:rPr>
        <w:t>ntre le 1</w:t>
      </w:r>
      <w:r>
        <w:rPr>
          <w:noProof/>
          <w:vertAlign w:val="superscript"/>
        </w:rPr>
        <w:t>er</w:t>
      </w:r>
      <w:r>
        <w:rPr>
          <w:noProof/>
        </w:rPr>
        <w:t xml:space="preserve"> janvier 2021 et le 31 décembre 2027, à concurrence de 130 000 000 000 EUR. </w:t>
      </w:r>
    </w:p>
    <w:p w:rsidR="00435CFF" w:rsidRDefault="00BC16BC">
      <w:pPr>
        <w:pStyle w:val="Text2"/>
        <w:rPr>
          <w:noProof/>
        </w:rPr>
      </w:pPr>
      <w:r>
        <w:rPr>
          <w:noProof/>
        </w:rPr>
        <w:t>Un montant maximal de 70 000 000 000 EUR de cette somme est alloué à des opérations mettant en œuvre les mesures visées à l’article 2, paragraphe 1, deuxième alinéa, du</w:t>
      </w:r>
      <w:r>
        <w:rPr>
          <w:noProof/>
        </w:rPr>
        <w:t xml:space="preserve"> règlement [ERI] et n’est mis à disposition qu’à partir de la date indiquée à l’article 4, paragraphe 3, dudit règlement.»;</w:t>
      </w:r>
    </w:p>
    <w:p w:rsidR="00435CFF" w:rsidRDefault="00BC16BC">
      <w:pPr>
        <w:pStyle w:val="Point1"/>
        <w:rPr>
          <w:noProof/>
        </w:rPr>
      </w:pPr>
      <w:r>
        <w:rPr>
          <w:noProof/>
        </w:rPr>
        <w:t>(b)</w:t>
      </w:r>
      <w:r>
        <w:rPr>
          <w:noProof/>
        </w:rPr>
        <w:tab/>
        <w:t xml:space="preserve">le paragraphe 6 est remplacé par le texte suivant: </w:t>
      </w:r>
    </w:p>
    <w:p w:rsidR="00435CFF" w:rsidRDefault="00BC16BC">
      <w:pPr>
        <w:pStyle w:val="Text2"/>
        <w:rPr>
          <w:noProof/>
        </w:rPr>
      </w:pPr>
      <w:r>
        <w:rPr>
          <w:noProof/>
        </w:rPr>
        <w:t>«6. Le FEDD+ et la garantie pour l’action extérieure peuvent soutenir des op</w:t>
      </w:r>
      <w:r>
        <w:rPr>
          <w:noProof/>
        </w:rPr>
        <w:t>érations de financement et d’investissement dans les pays partenaires dans les régions géographiques visées à l’article 4, paragraphe 2. Le provisionnement de la garantie pour l’action extérieure est financé sur le budget des programmes géographiques conce</w:t>
      </w:r>
      <w:r>
        <w:rPr>
          <w:noProof/>
        </w:rPr>
        <w:t xml:space="preserve">rnés institués par l’article 6, paragraphe 2, point a), sans préjudice de l’article 6 </w:t>
      </w:r>
      <w:r>
        <w:rPr>
          <w:i/>
          <w:noProof/>
        </w:rPr>
        <w:t>bis</w:t>
      </w:r>
      <w:r>
        <w:rPr>
          <w:noProof/>
        </w:rPr>
        <w:t>, et est transféré dans le fonds commun de provisionnement. Le FEDD+ et la garantie pour l’action extérieure peuvent également soutenir des opérations dans les pays bé</w:t>
      </w:r>
      <w:r>
        <w:rPr>
          <w:noProof/>
        </w:rPr>
        <w:t xml:space="preserve">néficiaires mentionnés à l’annexe I du règlement [IAP III]. Le financement de ces opérations au titre du FEDD+ et pour le provisionnement de la garantie pour l’action extérieure est effectué au titre du règlement [IAP], sans préjudice de l’article 6 </w:t>
      </w:r>
      <w:r>
        <w:rPr>
          <w:i/>
          <w:noProof/>
        </w:rPr>
        <w:t>bis</w:t>
      </w:r>
      <w:r>
        <w:rPr>
          <w:noProof/>
        </w:rPr>
        <w:t>, p</w:t>
      </w:r>
      <w:r>
        <w:rPr>
          <w:noProof/>
        </w:rPr>
        <w:t>aragraphe 1, du présent règlement. Le provisionnement de la garantie pour l’action extérieure pour les prêts aux pays tiers visés à l’article 10, paragraphe 2, du règlement relatif à l’instrument européen en matière de sûreté nucléaire est financé au titre</w:t>
      </w:r>
      <w:r>
        <w:rPr>
          <w:noProof/>
        </w:rPr>
        <w:t xml:space="preserve"> dudit règlement.»;</w:t>
      </w:r>
    </w:p>
    <w:p w:rsidR="00435CFF" w:rsidRDefault="00BC16BC">
      <w:pPr>
        <w:pStyle w:val="Point0"/>
        <w:rPr>
          <w:noProof/>
        </w:rPr>
      </w:pPr>
      <w:r>
        <w:rPr>
          <w:noProof/>
        </w:rPr>
        <w:t>(4)</w:t>
      </w:r>
      <w:r>
        <w:rPr>
          <w:noProof/>
        </w:rPr>
        <w:tab/>
        <w:t>à l’article 39, le paragraphe 1 est remplacé par le texte suivant:</w:t>
      </w:r>
    </w:p>
    <w:p w:rsidR="00435CFF" w:rsidRDefault="00BC16BC">
      <w:pPr>
        <w:pStyle w:val="Text1"/>
        <w:rPr>
          <w:noProof/>
        </w:rPr>
      </w:pPr>
      <w:r>
        <w:rPr>
          <w:noProof/>
        </w:rPr>
        <w:t>«1. La décision n° 466/2014/UE et le règlement (CE, Euratom) n° 480/2009 sont abrogés avec effet au 1</w:t>
      </w:r>
      <w:r>
        <w:rPr>
          <w:noProof/>
          <w:vertAlign w:val="superscript"/>
        </w:rPr>
        <w:t>er</w:t>
      </w:r>
      <w:r>
        <w:rPr>
          <w:noProof/>
        </w:rPr>
        <w:t xml:space="preserve"> janvier 2021. Le règlement (UE) 2017/1601 est abrogé avec eff</w:t>
      </w:r>
      <w:r>
        <w:rPr>
          <w:noProof/>
        </w:rPr>
        <w:t>et au 31 décembre 2021.»</w:t>
      </w:r>
    </w:p>
    <w:p w:rsidR="00435CFF" w:rsidRDefault="00BC16BC">
      <w:pPr>
        <w:pStyle w:val="ManualNumPar1"/>
        <w:rPr>
          <w:noProof/>
        </w:rPr>
      </w:pPr>
      <w:r>
        <w:rPr>
          <w:noProof/>
        </w:rPr>
        <w:t>4.</w:t>
      </w:r>
      <w:r>
        <w:rPr>
          <w:noProof/>
        </w:rPr>
        <w:tab/>
        <w:t>La proposition de la Commission de RÈGLEMENT DU PARLEMENT EUROPÉEN ET DU CONSEIL établissant des règles régissant l'aide aux plans stratégiques devant être établis par les États membres dans le cadre de la politique agricole com</w:t>
      </w:r>
      <w:r>
        <w:rPr>
          <w:noProof/>
        </w:rPr>
        <w:t>mune (les «plans stratégiques relevant de la PAC») et financés par le Fonds européen agricole de garantie (FEAGA) et par le Fonds européen agricole pour le développement rural (Feader), et abrogeant le règlement (UE) nº 1305/2013 du Parlement européen et d</w:t>
      </w:r>
      <w:r>
        <w:rPr>
          <w:noProof/>
        </w:rPr>
        <w:t xml:space="preserve">u Conseil et le règlement (UE) nº 1307/2013 du Parlement européen et du Conseil [COM(2018) 392] est modifiée comme suit: </w:t>
      </w:r>
    </w:p>
    <w:p w:rsidR="00435CFF" w:rsidRDefault="00BC16BC">
      <w:pPr>
        <w:pStyle w:val="Point0"/>
        <w:rPr>
          <w:noProof/>
        </w:rPr>
      </w:pPr>
      <w:r>
        <w:rPr>
          <w:noProof/>
        </w:rPr>
        <w:t>(1)</w:t>
      </w:r>
      <w:r>
        <w:rPr>
          <w:noProof/>
        </w:rPr>
        <w:tab/>
        <w:t>le nouveau considérant 71 </w:t>
      </w:r>
      <w:r>
        <w:rPr>
          <w:i/>
          <w:noProof/>
        </w:rPr>
        <w:t>bis</w:t>
      </w:r>
      <w:r>
        <w:rPr>
          <w:noProof/>
        </w:rPr>
        <w:t xml:space="preserve"> suivant est inséré: </w:t>
      </w:r>
    </w:p>
    <w:p w:rsidR="00435CFF" w:rsidRDefault="00BC16BC">
      <w:pPr>
        <w:pStyle w:val="Text1"/>
        <w:rPr>
          <w:noProof/>
        </w:rPr>
      </w:pPr>
      <w:r>
        <w:rPr>
          <w:noProof/>
        </w:rPr>
        <w:t xml:space="preserve">«(71 </w:t>
      </w:r>
      <w:r>
        <w:rPr>
          <w:i/>
          <w:noProof/>
        </w:rPr>
        <w:t>bis</w:t>
      </w:r>
      <w:r>
        <w:rPr>
          <w:noProof/>
        </w:rPr>
        <w:t>) Conformément au règlement [Instrument de l’Union européenne pour la r</w:t>
      </w:r>
      <w:r>
        <w:rPr>
          <w:noProof/>
        </w:rPr>
        <w:t>elance] et dans les limites des ressources allouées par ce dernier, des mesures de relance et de résilience au titre du Fonds européen agricole pour le développement rural devraient être mises en œuvre pour faire face aux répercussions sans précédent de la</w:t>
      </w:r>
      <w:r>
        <w:rPr>
          <w:noProof/>
        </w:rPr>
        <w:t xml:space="preserve"> crise liée à la pandémie de COVID-19.  Ces ressources supplémentaires devraient être utilisées de manière à garantir le respect des délais prévus par le règlement [ERI].»</w:t>
      </w:r>
    </w:p>
    <w:p w:rsidR="00435CFF" w:rsidRDefault="00BC16BC">
      <w:pPr>
        <w:pStyle w:val="Point0"/>
        <w:rPr>
          <w:noProof/>
        </w:rPr>
      </w:pPr>
      <w:r>
        <w:rPr>
          <w:noProof/>
        </w:rPr>
        <w:t>(2)</w:t>
      </w:r>
      <w:r>
        <w:rPr>
          <w:noProof/>
        </w:rPr>
        <w:tab/>
        <w:t>Le nouvel article 84 </w:t>
      </w:r>
      <w:r>
        <w:rPr>
          <w:i/>
          <w:noProof/>
        </w:rPr>
        <w:t>bis</w:t>
      </w:r>
      <w:r>
        <w:rPr>
          <w:noProof/>
        </w:rPr>
        <w:t xml:space="preserve"> suivant est inséré: </w:t>
      </w:r>
    </w:p>
    <w:p w:rsidR="00435CFF" w:rsidRDefault="00BC16BC">
      <w:pPr>
        <w:pStyle w:val="Titrearticle"/>
        <w:rPr>
          <w:noProof/>
        </w:rPr>
      </w:pPr>
      <w:r>
        <w:rPr>
          <w:noProof/>
        </w:rPr>
        <w:t>«Article 84 </w:t>
      </w:r>
      <w:r>
        <w:rPr>
          <w:i w:val="0"/>
          <w:noProof/>
        </w:rPr>
        <w:t>bis</w:t>
      </w:r>
      <w:r>
        <w:rPr>
          <w:noProof/>
        </w:rPr>
        <w:t xml:space="preserve"> </w:t>
      </w:r>
      <w:r>
        <w:rPr>
          <w:noProof/>
        </w:rPr>
        <w:br/>
        <w:t>Ressources proven</w:t>
      </w:r>
      <w:r>
        <w:rPr>
          <w:noProof/>
        </w:rPr>
        <w:t>ant de l’instrument de l'Union européenne pour la relance</w:t>
      </w:r>
    </w:p>
    <w:p w:rsidR="00435CFF" w:rsidRDefault="00BC16BC">
      <w:pPr>
        <w:pStyle w:val="Point1"/>
        <w:rPr>
          <w:noProof/>
        </w:rPr>
      </w:pPr>
      <w:r>
        <w:rPr>
          <w:noProof/>
        </w:rPr>
        <w:t>(1)</w:t>
      </w:r>
      <w:r>
        <w:rPr>
          <w:noProof/>
        </w:rPr>
        <w:tab/>
        <w:t xml:space="preserve">Les mesures visées à l’article 2 du règlement [ERI] sont mises en œuvre au titre du Feader et s’élèvent à un montant de 16 483 000 000 EUR aux prix courants du montant visé à l’article 3, </w:t>
      </w:r>
      <w:r>
        <w:rPr>
          <w:noProof/>
        </w:rPr>
        <w:t>paragraphe 2, point a) vii), dudit règlement, sous réserve de son article 4, paragraphes 3, 4 et 8.</w:t>
      </w:r>
    </w:p>
    <w:p w:rsidR="00435CFF" w:rsidRDefault="00BC16BC">
      <w:pPr>
        <w:pStyle w:val="Text2"/>
        <w:rPr>
          <w:noProof/>
        </w:rPr>
      </w:pPr>
      <w:r>
        <w:rPr>
          <w:noProof/>
        </w:rPr>
        <w:t>Ce montant constitue des recettes affectées externes au sens de l'article 21, paragraphe 5, du règlement financier.</w:t>
      </w:r>
    </w:p>
    <w:p w:rsidR="00435CFF" w:rsidRDefault="00BC16BC">
      <w:pPr>
        <w:pStyle w:val="Text2"/>
        <w:rPr>
          <w:noProof/>
        </w:rPr>
      </w:pPr>
      <w:r>
        <w:rPr>
          <w:noProof/>
        </w:rPr>
        <w:t>Il est mis à disposition en tant que res</w:t>
      </w:r>
      <w:r>
        <w:rPr>
          <w:noProof/>
        </w:rPr>
        <w:t>sources supplémentaires pour les engagements budgétaires au titre du Feader pour les années 2022, 2023 et 2024, en plus des ressources globales prévues à l’article 83, comme suit:</w:t>
      </w:r>
    </w:p>
    <w:p w:rsidR="00435CFF" w:rsidRDefault="00BC16BC">
      <w:pPr>
        <w:pStyle w:val="Tiret2"/>
        <w:numPr>
          <w:ilvl w:val="0"/>
          <w:numId w:val="14"/>
        </w:numPr>
        <w:rPr>
          <w:rStyle w:val="conf-macro"/>
          <w:noProof/>
        </w:rPr>
      </w:pPr>
      <w:r>
        <w:rPr>
          <w:rStyle w:val="conf-macro"/>
          <w:noProof/>
        </w:rPr>
        <w:t>2022: 8 117 000 000 EUR;</w:t>
      </w:r>
    </w:p>
    <w:p w:rsidR="00435CFF" w:rsidRDefault="00BC16BC">
      <w:pPr>
        <w:pStyle w:val="Tiret2"/>
        <w:rPr>
          <w:rStyle w:val="conf-macro"/>
          <w:noProof/>
        </w:rPr>
      </w:pPr>
      <w:r>
        <w:rPr>
          <w:rStyle w:val="conf-macro"/>
          <w:noProof/>
        </w:rPr>
        <w:t>2023: 4 140 000 000 EUR;</w:t>
      </w:r>
    </w:p>
    <w:p w:rsidR="00435CFF" w:rsidRDefault="00BC16BC">
      <w:pPr>
        <w:pStyle w:val="Tiret2"/>
        <w:rPr>
          <w:rStyle w:val="conf-macro"/>
          <w:noProof/>
        </w:rPr>
      </w:pPr>
      <w:r>
        <w:rPr>
          <w:rStyle w:val="conf-macro"/>
          <w:noProof/>
        </w:rPr>
        <w:t>2024: 4 226 000 000 EUR.</w:t>
      </w:r>
    </w:p>
    <w:p w:rsidR="00435CFF" w:rsidRDefault="00BC16BC">
      <w:pPr>
        <w:pStyle w:val="Point1"/>
        <w:rPr>
          <w:noProof/>
        </w:rPr>
      </w:pPr>
      <w:r>
        <w:rPr>
          <w:noProof/>
        </w:rPr>
        <w:t>(</w:t>
      </w:r>
      <w:r>
        <w:rPr>
          <w:noProof/>
        </w:rPr>
        <w:t>2)</w:t>
      </w:r>
      <w:r>
        <w:rPr>
          <w:noProof/>
        </w:rPr>
        <w:tab/>
        <w:t xml:space="preserve">La ventilation des ressources supplémentaires visées au paragraphe 1 pour chaque État membre est déterminée conformément à l’article 83, paragraphe 3. </w:t>
      </w:r>
    </w:p>
    <w:p w:rsidR="00435CFF" w:rsidRDefault="00BC16BC">
      <w:pPr>
        <w:pStyle w:val="Point1"/>
        <w:rPr>
          <w:noProof/>
        </w:rPr>
      </w:pPr>
      <w:r>
        <w:rPr>
          <w:noProof/>
        </w:rPr>
        <w:t>(3)</w:t>
      </w:r>
      <w:r>
        <w:rPr>
          <w:noProof/>
        </w:rPr>
        <w:tab/>
        <w:t>Les règles de dégagement énoncées à l’article 32 de la [proposition de la Commission de règlement</w:t>
      </w:r>
      <w:r>
        <w:rPr>
          <w:noProof/>
        </w:rPr>
        <w:t xml:space="preserve"> du Parlement européen et du Conseil relatif au financement, à la gestion et au suivi de la PAC] s’appliquent aux engagements budgétaires sur la base des ressources supplémentaires visées au présent article, paragraphe 1. </w:t>
      </w:r>
    </w:p>
    <w:p w:rsidR="00435CFF" w:rsidRDefault="00BC16BC">
      <w:pPr>
        <w:pStyle w:val="Point1"/>
        <w:rPr>
          <w:noProof/>
        </w:rPr>
      </w:pPr>
      <w:r>
        <w:rPr>
          <w:noProof/>
        </w:rPr>
        <w:t>(4)</w:t>
      </w:r>
      <w:r>
        <w:rPr>
          <w:noProof/>
        </w:rPr>
        <w:tab/>
        <w:t>L’article 86 ne s’applique pa</w:t>
      </w:r>
      <w:r>
        <w:rPr>
          <w:noProof/>
        </w:rPr>
        <w:t>s aux ressources supplémentaires visées au présent article, paragraphe 1.</w:t>
      </w:r>
    </w:p>
    <w:p w:rsidR="00435CFF" w:rsidRDefault="00BC16BC">
      <w:pPr>
        <w:pStyle w:val="Point1"/>
        <w:rPr>
          <w:noProof/>
        </w:rPr>
      </w:pPr>
      <w:r>
        <w:rPr>
          <w:noProof/>
        </w:rPr>
        <w:t>(5)</w:t>
      </w:r>
      <w:r>
        <w:rPr>
          <w:noProof/>
        </w:rPr>
        <w:tab/>
        <w:t>Jusqu’à 4 % du total des ressources supplémentaires visées au paragraphe 1 peuvent être alloués à l'assistance technique à l’initiative des États membres au titre des contributio</w:t>
      </w:r>
      <w:r>
        <w:rPr>
          <w:noProof/>
        </w:rPr>
        <w:t xml:space="preserve">ns du Feader aux plans stratégiques relevant de la PAC des États membres. </w:t>
      </w:r>
    </w:p>
    <w:p w:rsidR="00435CFF" w:rsidRDefault="00BC16BC">
      <w:pPr>
        <w:pStyle w:val="Point1"/>
        <w:rPr>
          <w:rStyle w:val="conf-macro"/>
          <w:noProof/>
        </w:rPr>
      </w:pPr>
      <w:r>
        <w:rPr>
          <w:rStyle w:val="conf-macro"/>
          <w:noProof/>
        </w:rPr>
        <w:t>(6)</w:t>
      </w:r>
      <w:r>
        <w:rPr>
          <w:rStyle w:val="conf-macro"/>
          <w:noProof/>
        </w:rPr>
        <w:tab/>
      </w:r>
      <w:r>
        <w:rPr>
          <w:noProof/>
        </w:rPr>
        <w:t>Les</w:t>
      </w:r>
      <w:r>
        <w:rPr>
          <w:rStyle w:val="conf-macro"/>
          <w:noProof/>
        </w:rPr>
        <w:t xml:space="preserve"> ressources supplémentaires</w:t>
      </w:r>
      <w:r>
        <w:rPr>
          <w:noProof/>
        </w:rPr>
        <w:t xml:space="preserve"> visées au paragraphe 1</w:t>
      </w:r>
      <w:r>
        <w:rPr>
          <w:rStyle w:val="conf-macro"/>
          <w:noProof/>
        </w:rPr>
        <w:t xml:space="preserve"> sont utilisées au titre d’un nouvel objectif spécifique qui complète les objectifs spécifiques énoncés à l’article 6 pour s</w:t>
      </w:r>
      <w:r>
        <w:rPr>
          <w:rStyle w:val="conf-macro"/>
          <w:noProof/>
        </w:rPr>
        <w:t>outenir les opérations préparant la relance économique.»</w:t>
      </w:r>
    </w:p>
    <w:p w:rsidR="00435CFF" w:rsidRDefault="00435CFF">
      <w:pPr>
        <w:rPr>
          <w:noProof/>
        </w:rPr>
      </w:pPr>
    </w:p>
    <w:p w:rsidR="00435CFF" w:rsidRDefault="00435CFF">
      <w:pPr>
        <w:rPr>
          <w:noProof/>
        </w:rPr>
      </w:pPr>
    </w:p>
    <w:p w:rsidR="00435CFF" w:rsidRDefault="00435CFF">
      <w:pPr>
        <w:rPr>
          <w:noProof/>
        </w:rPr>
        <w:sectPr w:rsidR="00435CFF">
          <w:pgSz w:w="11907" w:h="16840" w:code="9"/>
          <w:pgMar w:top="1134" w:right="1418" w:bottom="1134" w:left="1418" w:header="709" w:footer="709" w:gutter="0"/>
          <w:cols w:space="708"/>
          <w:docGrid w:linePitch="360"/>
        </w:sectPr>
      </w:pPr>
    </w:p>
    <w:p w:rsidR="00435CFF" w:rsidRDefault="00BC16BC">
      <w:pPr>
        <w:jc w:val="center"/>
        <w:rPr>
          <w:b/>
          <w:noProof/>
          <w:u w:val="single"/>
        </w:rPr>
      </w:pPr>
      <w:r>
        <w:rPr>
          <w:b/>
          <w:noProof/>
          <w:u w:val="single"/>
        </w:rPr>
        <w:t>FICHE FINANCIÈRE LÉGISLATIVE</w:t>
      </w:r>
    </w:p>
    <w:p w:rsidR="00435CFF" w:rsidRDefault="00BC16BC">
      <w:pPr>
        <w:keepNext/>
        <w:tabs>
          <w:tab w:val="left" w:pos="850"/>
        </w:tabs>
        <w:spacing w:before="360"/>
        <w:ind w:left="850" w:hanging="850"/>
        <w:outlineLvl w:val="0"/>
        <w:rPr>
          <w:b/>
          <w:smallCaps/>
          <w:noProof/>
        </w:rPr>
      </w:pPr>
      <w:r>
        <w:rPr>
          <w:b/>
          <w:smallCaps/>
          <w:noProof/>
        </w:rPr>
        <w:t>1.</w:t>
      </w:r>
      <w:r>
        <w:rPr>
          <w:noProof/>
        </w:rPr>
        <w:tab/>
      </w:r>
      <w:r>
        <w:rPr>
          <w:b/>
          <w:smallCaps/>
          <w:noProof/>
        </w:rPr>
        <w:t xml:space="preserve">CADRE DE LA PROPOSITION/DE L'INITIATIVE </w:t>
      </w:r>
    </w:p>
    <w:p w:rsidR="00435CFF" w:rsidRDefault="00BC16BC">
      <w:pPr>
        <w:keepNext/>
        <w:tabs>
          <w:tab w:val="left" w:pos="850"/>
        </w:tabs>
        <w:ind w:left="850" w:hanging="850"/>
        <w:outlineLvl w:val="1"/>
        <w:rPr>
          <w:noProof/>
        </w:rPr>
      </w:pPr>
      <w:r>
        <w:rPr>
          <w:noProof/>
        </w:rPr>
        <w:tab/>
        <w:t>1.1.</w:t>
      </w:r>
      <w:r>
        <w:rPr>
          <w:noProof/>
        </w:rPr>
        <w:tab/>
        <w:t xml:space="preserve">Dénomination de la proposition/de l'initiative </w:t>
      </w:r>
    </w:p>
    <w:p w:rsidR="00435CFF" w:rsidRDefault="00BC16BC">
      <w:pPr>
        <w:keepNext/>
        <w:tabs>
          <w:tab w:val="left" w:pos="850"/>
        </w:tabs>
        <w:ind w:left="850" w:hanging="850"/>
        <w:outlineLvl w:val="1"/>
        <w:rPr>
          <w:noProof/>
        </w:rPr>
      </w:pPr>
      <w:r>
        <w:rPr>
          <w:noProof/>
        </w:rPr>
        <w:tab/>
        <w:t>1.2.</w:t>
      </w:r>
      <w:r>
        <w:rPr>
          <w:noProof/>
        </w:rPr>
        <w:tab/>
        <w:t>Domaine(s) politique(s) concerné(s) dans</w:t>
      </w:r>
      <w:r>
        <w:rPr>
          <w:noProof/>
        </w:rPr>
        <w:t xml:space="preserve"> la structure ABM/ABB</w:t>
      </w:r>
    </w:p>
    <w:p w:rsidR="00435CFF" w:rsidRDefault="00BC16BC">
      <w:pPr>
        <w:keepNext/>
        <w:tabs>
          <w:tab w:val="left" w:pos="850"/>
        </w:tabs>
        <w:ind w:left="850" w:hanging="850"/>
        <w:outlineLvl w:val="1"/>
        <w:rPr>
          <w:noProof/>
        </w:rPr>
      </w:pPr>
      <w:r>
        <w:rPr>
          <w:noProof/>
        </w:rPr>
        <w:tab/>
        <w:t>1.3.</w:t>
      </w:r>
      <w:r>
        <w:rPr>
          <w:noProof/>
        </w:rPr>
        <w:tab/>
        <w:t xml:space="preserve">Nature de la proposition/de l'initiative </w:t>
      </w:r>
    </w:p>
    <w:p w:rsidR="00435CFF" w:rsidRDefault="00BC16BC">
      <w:pPr>
        <w:keepNext/>
        <w:tabs>
          <w:tab w:val="left" w:pos="850"/>
        </w:tabs>
        <w:ind w:left="850" w:hanging="850"/>
        <w:outlineLvl w:val="1"/>
        <w:rPr>
          <w:noProof/>
        </w:rPr>
      </w:pPr>
      <w:r>
        <w:rPr>
          <w:noProof/>
        </w:rPr>
        <w:tab/>
        <w:t>1.4.</w:t>
      </w:r>
      <w:r>
        <w:rPr>
          <w:noProof/>
        </w:rPr>
        <w:tab/>
        <w:t xml:space="preserve">Objectif(s) </w:t>
      </w:r>
    </w:p>
    <w:p w:rsidR="00435CFF" w:rsidRDefault="00BC16BC">
      <w:pPr>
        <w:keepNext/>
        <w:tabs>
          <w:tab w:val="left" w:pos="850"/>
        </w:tabs>
        <w:ind w:left="850" w:hanging="850"/>
        <w:outlineLvl w:val="1"/>
        <w:rPr>
          <w:noProof/>
        </w:rPr>
      </w:pPr>
      <w:r>
        <w:rPr>
          <w:noProof/>
        </w:rPr>
        <w:tab/>
        <w:t>1.5.</w:t>
      </w:r>
      <w:r>
        <w:rPr>
          <w:noProof/>
        </w:rPr>
        <w:tab/>
        <w:t xml:space="preserve">Justification(s) de la proposition/de l'initiative </w:t>
      </w:r>
    </w:p>
    <w:p w:rsidR="00435CFF" w:rsidRDefault="00BC16BC">
      <w:pPr>
        <w:keepNext/>
        <w:tabs>
          <w:tab w:val="left" w:pos="850"/>
        </w:tabs>
        <w:ind w:left="850" w:hanging="850"/>
        <w:outlineLvl w:val="1"/>
        <w:rPr>
          <w:noProof/>
        </w:rPr>
      </w:pPr>
      <w:r>
        <w:rPr>
          <w:noProof/>
        </w:rPr>
        <w:tab/>
        <w:t>1.6.</w:t>
      </w:r>
      <w:r>
        <w:rPr>
          <w:noProof/>
        </w:rPr>
        <w:tab/>
        <w:t xml:space="preserve">Durée et incidence financière </w:t>
      </w:r>
    </w:p>
    <w:p w:rsidR="00435CFF" w:rsidRDefault="00BC16BC">
      <w:pPr>
        <w:keepNext/>
        <w:tabs>
          <w:tab w:val="left" w:pos="850"/>
        </w:tabs>
        <w:ind w:left="850" w:hanging="850"/>
        <w:outlineLvl w:val="1"/>
        <w:rPr>
          <w:noProof/>
        </w:rPr>
      </w:pPr>
      <w:r>
        <w:rPr>
          <w:noProof/>
        </w:rPr>
        <w:tab/>
        <w:t>1.7.</w:t>
      </w:r>
      <w:r>
        <w:rPr>
          <w:noProof/>
        </w:rPr>
        <w:tab/>
        <w:t xml:space="preserve">Mode(s) de gestion prévu(s) </w:t>
      </w:r>
    </w:p>
    <w:p w:rsidR="00435CFF" w:rsidRDefault="00BC16BC">
      <w:pPr>
        <w:keepNext/>
        <w:tabs>
          <w:tab w:val="left" w:pos="850"/>
        </w:tabs>
        <w:spacing w:before="360"/>
        <w:ind w:left="850" w:hanging="850"/>
        <w:outlineLvl w:val="0"/>
        <w:rPr>
          <w:b/>
          <w:smallCaps/>
          <w:noProof/>
        </w:rPr>
      </w:pPr>
      <w:r>
        <w:rPr>
          <w:b/>
          <w:smallCaps/>
          <w:noProof/>
        </w:rPr>
        <w:t>2.</w:t>
      </w:r>
      <w:r>
        <w:rPr>
          <w:noProof/>
        </w:rPr>
        <w:tab/>
      </w:r>
      <w:r>
        <w:rPr>
          <w:b/>
          <w:smallCaps/>
          <w:noProof/>
        </w:rPr>
        <w:t xml:space="preserve">MESURES DE GESTION </w:t>
      </w:r>
    </w:p>
    <w:p w:rsidR="00435CFF" w:rsidRDefault="00BC16BC">
      <w:pPr>
        <w:keepNext/>
        <w:tabs>
          <w:tab w:val="left" w:pos="850"/>
        </w:tabs>
        <w:ind w:left="850" w:hanging="850"/>
        <w:outlineLvl w:val="1"/>
        <w:rPr>
          <w:noProof/>
        </w:rPr>
      </w:pPr>
      <w:r>
        <w:rPr>
          <w:noProof/>
        </w:rPr>
        <w:tab/>
        <w:t>2.1.</w:t>
      </w:r>
      <w:r>
        <w:rPr>
          <w:noProof/>
        </w:rPr>
        <w:tab/>
      </w:r>
      <w:r>
        <w:rPr>
          <w:noProof/>
        </w:rPr>
        <w:t xml:space="preserve">Dispositions en matière de suivi et de compte rendu </w:t>
      </w:r>
    </w:p>
    <w:p w:rsidR="00435CFF" w:rsidRDefault="00BC16BC">
      <w:pPr>
        <w:keepNext/>
        <w:tabs>
          <w:tab w:val="left" w:pos="850"/>
        </w:tabs>
        <w:ind w:left="850" w:hanging="850"/>
        <w:outlineLvl w:val="1"/>
        <w:rPr>
          <w:noProof/>
        </w:rPr>
      </w:pPr>
      <w:r>
        <w:rPr>
          <w:noProof/>
        </w:rPr>
        <w:tab/>
        <w:t>2.2.</w:t>
      </w:r>
      <w:r>
        <w:rPr>
          <w:noProof/>
        </w:rPr>
        <w:tab/>
        <w:t xml:space="preserve">Système de gestion et de contrôle </w:t>
      </w:r>
    </w:p>
    <w:p w:rsidR="00435CFF" w:rsidRDefault="00BC16BC">
      <w:pPr>
        <w:keepNext/>
        <w:tabs>
          <w:tab w:val="left" w:pos="850"/>
        </w:tabs>
        <w:ind w:left="850" w:hanging="850"/>
        <w:outlineLvl w:val="1"/>
        <w:rPr>
          <w:noProof/>
        </w:rPr>
      </w:pPr>
      <w:r>
        <w:rPr>
          <w:noProof/>
        </w:rPr>
        <w:tab/>
        <w:t>2.3.</w:t>
      </w:r>
      <w:r>
        <w:rPr>
          <w:noProof/>
        </w:rPr>
        <w:tab/>
        <w:t xml:space="preserve">Mesures de prévention des fraudes et irrégularités </w:t>
      </w:r>
    </w:p>
    <w:p w:rsidR="00435CFF" w:rsidRDefault="00BC16BC">
      <w:pPr>
        <w:keepNext/>
        <w:tabs>
          <w:tab w:val="left" w:pos="850"/>
        </w:tabs>
        <w:spacing w:before="360"/>
        <w:ind w:left="850" w:hanging="850"/>
        <w:outlineLvl w:val="0"/>
        <w:rPr>
          <w:b/>
          <w:smallCaps/>
          <w:noProof/>
        </w:rPr>
      </w:pPr>
      <w:r>
        <w:rPr>
          <w:b/>
          <w:smallCaps/>
          <w:noProof/>
        </w:rPr>
        <w:t>3.</w:t>
      </w:r>
      <w:r>
        <w:rPr>
          <w:noProof/>
        </w:rPr>
        <w:tab/>
      </w:r>
      <w:r>
        <w:rPr>
          <w:b/>
          <w:smallCaps/>
          <w:noProof/>
        </w:rPr>
        <w:t xml:space="preserve">INCIDENCE FINANCIÈRE ESTIMÉE DE LA PROPOSITION/DE L'INITIATIVE </w:t>
      </w:r>
    </w:p>
    <w:p w:rsidR="00435CFF" w:rsidRDefault="00BC16BC">
      <w:pPr>
        <w:keepNext/>
        <w:tabs>
          <w:tab w:val="left" w:pos="850"/>
        </w:tabs>
        <w:ind w:left="850" w:hanging="850"/>
        <w:outlineLvl w:val="1"/>
        <w:rPr>
          <w:noProof/>
        </w:rPr>
      </w:pPr>
      <w:r>
        <w:rPr>
          <w:noProof/>
        </w:rPr>
        <w:tab/>
        <w:t>3.1.</w:t>
      </w:r>
      <w:r>
        <w:rPr>
          <w:noProof/>
        </w:rPr>
        <w:tab/>
        <w:t xml:space="preserve">Rubrique(s) du cadre financier </w:t>
      </w:r>
      <w:r>
        <w:rPr>
          <w:noProof/>
        </w:rPr>
        <w:t xml:space="preserve">pluriannuel et ligne(s) budgétaire(s) de dépenses concernée(s) </w:t>
      </w:r>
    </w:p>
    <w:p w:rsidR="00435CFF" w:rsidRDefault="00BC16BC">
      <w:pPr>
        <w:keepNext/>
        <w:tabs>
          <w:tab w:val="left" w:pos="850"/>
        </w:tabs>
        <w:ind w:left="850" w:hanging="850"/>
        <w:outlineLvl w:val="1"/>
        <w:rPr>
          <w:b/>
          <w:noProof/>
        </w:rPr>
      </w:pPr>
      <w:r>
        <w:rPr>
          <w:noProof/>
        </w:rPr>
        <w:tab/>
        <w:t>3.2.</w:t>
      </w:r>
      <w:r>
        <w:rPr>
          <w:noProof/>
        </w:rPr>
        <w:tab/>
        <w:t>Incidence estimée sur les dépenses</w:t>
      </w:r>
      <w:r>
        <w:rPr>
          <w:b/>
          <w:noProof/>
        </w:rPr>
        <w:t xml:space="preserve"> </w:t>
      </w:r>
    </w:p>
    <w:p w:rsidR="00435CFF" w:rsidRDefault="00BC16BC">
      <w:pPr>
        <w:keepNext/>
        <w:tabs>
          <w:tab w:val="left" w:pos="850"/>
        </w:tabs>
        <w:ind w:left="850" w:hanging="850"/>
        <w:outlineLvl w:val="2"/>
        <w:rPr>
          <w:i/>
          <w:noProof/>
        </w:rPr>
      </w:pPr>
      <w:r>
        <w:rPr>
          <w:noProof/>
        </w:rPr>
        <w:tab/>
      </w:r>
      <w:r>
        <w:rPr>
          <w:i/>
          <w:noProof/>
        </w:rPr>
        <w:t>3.2.1.</w:t>
      </w:r>
      <w:r>
        <w:rPr>
          <w:noProof/>
        </w:rPr>
        <w:tab/>
      </w:r>
      <w:r>
        <w:rPr>
          <w:i/>
          <w:noProof/>
        </w:rPr>
        <w:t xml:space="preserve">Synthèse de l'incidence estimée sur les dépenses </w:t>
      </w:r>
    </w:p>
    <w:p w:rsidR="00435CFF" w:rsidRDefault="00BC16BC">
      <w:pPr>
        <w:keepNext/>
        <w:tabs>
          <w:tab w:val="left" w:pos="850"/>
        </w:tabs>
        <w:ind w:left="850" w:hanging="850"/>
        <w:outlineLvl w:val="2"/>
        <w:rPr>
          <w:i/>
          <w:noProof/>
        </w:rPr>
      </w:pPr>
      <w:r>
        <w:rPr>
          <w:noProof/>
        </w:rPr>
        <w:tab/>
      </w:r>
      <w:r>
        <w:rPr>
          <w:i/>
          <w:noProof/>
        </w:rPr>
        <w:t>3.2.2.</w:t>
      </w:r>
      <w:r>
        <w:rPr>
          <w:noProof/>
        </w:rPr>
        <w:tab/>
      </w:r>
      <w:r>
        <w:rPr>
          <w:i/>
          <w:noProof/>
        </w:rPr>
        <w:t xml:space="preserve">Incidence estimée sur les crédits opérationnels </w:t>
      </w:r>
    </w:p>
    <w:p w:rsidR="00435CFF" w:rsidRDefault="00BC16BC">
      <w:pPr>
        <w:keepNext/>
        <w:tabs>
          <w:tab w:val="left" w:pos="850"/>
        </w:tabs>
        <w:ind w:left="850" w:hanging="850"/>
        <w:outlineLvl w:val="2"/>
        <w:rPr>
          <w:i/>
          <w:noProof/>
        </w:rPr>
      </w:pPr>
      <w:r>
        <w:rPr>
          <w:noProof/>
        </w:rPr>
        <w:tab/>
      </w:r>
      <w:r>
        <w:rPr>
          <w:i/>
          <w:noProof/>
        </w:rPr>
        <w:t>3.2.3.</w:t>
      </w:r>
      <w:r>
        <w:rPr>
          <w:noProof/>
        </w:rPr>
        <w:tab/>
      </w:r>
      <w:r>
        <w:rPr>
          <w:i/>
          <w:noProof/>
        </w:rPr>
        <w:t>Incidence estimée sur les c</w:t>
      </w:r>
      <w:r>
        <w:rPr>
          <w:i/>
          <w:noProof/>
        </w:rPr>
        <w:t>rédits de nature administrative</w:t>
      </w:r>
    </w:p>
    <w:p w:rsidR="00435CFF" w:rsidRDefault="00BC16BC">
      <w:pPr>
        <w:keepNext/>
        <w:tabs>
          <w:tab w:val="left" w:pos="850"/>
        </w:tabs>
        <w:ind w:left="850" w:hanging="850"/>
        <w:outlineLvl w:val="2"/>
        <w:rPr>
          <w:i/>
          <w:noProof/>
        </w:rPr>
      </w:pPr>
      <w:r>
        <w:rPr>
          <w:noProof/>
        </w:rPr>
        <w:tab/>
      </w:r>
      <w:r>
        <w:rPr>
          <w:i/>
          <w:noProof/>
        </w:rPr>
        <w:t>3.2.4.</w:t>
      </w:r>
      <w:r>
        <w:rPr>
          <w:noProof/>
        </w:rPr>
        <w:tab/>
      </w:r>
      <w:r>
        <w:rPr>
          <w:i/>
          <w:noProof/>
        </w:rPr>
        <w:t>Compatibilité avec le cadre financier pluriannuel actuel</w:t>
      </w:r>
    </w:p>
    <w:p w:rsidR="00435CFF" w:rsidRDefault="00BC16BC">
      <w:pPr>
        <w:keepNext/>
        <w:tabs>
          <w:tab w:val="left" w:pos="850"/>
        </w:tabs>
        <w:ind w:left="850" w:hanging="850"/>
        <w:outlineLvl w:val="2"/>
        <w:rPr>
          <w:i/>
          <w:noProof/>
        </w:rPr>
      </w:pPr>
      <w:r>
        <w:rPr>
          <w:noProof/>
        </w:rPr>
        <w:tab/>
      </w:r>
      <w:r>
        <w:rPr>
          <w:i/>
          <w:noProof/>
        </w:rPr>
        <w:t>3.2.5.</w:t>
      </w:r>
      <w:r>
        <w:rPr>
          <w:noProof/>
        </w:rPr>
        <w:tab/>
      </w:r>
      <w:r>
        <w:rPr>
          <w:i/>
          <w:noProof/>
        </w:rPr>
        <w:t xml:space="preserve">Participation de tiers au financement </w:t>
      </w:r>
    </w:p>
    <w:p w:rsidR="00435CFF" w:rsidRPr="00BC16BC" w:rsidRDefault="00BC16BC">
      <w:pPr>
        <w:keepNext/>
        <w:tabs>
          <w:tab w:val="left" w:pos="850"/>
        </w:tabs>
        <w:ind w:left="850" w:hanging="850"/>
        <w:outlineLvl w:val="1"/>
        <w:rPr>
          <w:noProof/>
        </w:rPr>
      </w:pPr>
      <w:r>
        <w:rPr>
          <w:noProof/>
        </w:rPr>
        <w:tab/>
      </w:r>
      <w:r w:rsidRPr="00BC16BC">
        <w:rPr>
          <w:noProof/>
        </w:rPr>
        <w:t>3</w:t>
      </w:r>
      <w:r w:rsidRPr="00BC16BC">
        <w:rPr>
          <w:noProof/>
        </w:rPr>
        <w:t>.</w:t>
      </w:r>
      <w:r w:rsidRPr="00BC16BC">
        <w:rPr>
          <w:noProof/>
        </w:rPr>
        <w:t>3</w:t>
      </w:r>
      <w:r w:rsidRPr="00BC16BC">
        <w:rPr>
          <w:noProof/>
        </w:rPr>
        <w:t>.</w:t>
      </w:r>
      <w:r w:rsidRPr="00BC16BC">
        <w:rPr>
          <w:noProof/>
        </w:rPr>
        <w:tab/>
        <w:t>Incidence estimée sur les recettes</w:t>
      </w:r>
    </w:p>
    <w:p w:rsidR="00435CFF" w:rsidRDefault="00BC16BC">
      <w:pPr>
        <w:spacing w:before="0" w:after="200" w:line="276" w:lineRule="auto"/>
        <w:jc w:val="left"/>
        <w:rPr>
          <w:noProof/>
        </w:rPr>
      </w:pPr>
      <w:bookmarkStart w:id="0" w:name="_GoBack"/>
      <w:bookmarkEnd w:id="0"/>
      <w:r>
        <w:rPr>
          <w:noProof/>
        </w:rPr>
        <w:br w:type="page"/>
      </w:r>
    </w:p>
    <w:p w:rsidR="00435CFF" w:rsidRDefault="00BC16BC">
      <w:pPr>
        <w:jc w:val="center"/>
        <w:rPr>
          <w:b/>
          <w:noProof/>
          <w:u w:val="single"/>
        </w:rPr>
      </w:pPr>
      <w:r>
        <w:rPr>
          <w:b/>
          <w:noProof/>
          <w:u w:val="single"/>
        </w:rPr>
        <w:t>FICHE FINANCIÈRE LÉGISLATIVE</w:t>
      </w:r>
    </w:p>
    <w:p w:rsidR="00435CFF" w:rsidRDefault="00BC16BC">
      <w:pPr>
        <w:keepNext/>
        <w:spacing w:before="360"/>
        <w:outlineLvl w:val="0"/>
        <w:rPr>
          <w:rFonts w:eastAsiaTheme="majorEastAsia"/>
          <w:b/>
          <w:bCs/>
          <w:smallCaps/>
          <w:noProof/>
          <w:szCs w:val="28"/>
        </w:rPr>
      </w:pPr>
      <w:bookmarkStart w:id="1" w:name="_Toc514941971"/>
      <w:bookmarkStart w:id="2" w:name="_Toc40376060"/>
      <w:r>
        <w:rPr>
          <w:b/>
          <w:bCs/>
          <w:smallCaps/>
          <w:noProof/>
          <w:szCs w:val="28"/>
        </w:rPr>
        <w:t>CADRE DE LA PROPOSITION/DE L'INITIATIVE</w:t>
      </w:r>
      <w:bookmarkEnd w:id="1"/>
      <w:bookmarkEnd w:id="2"/>
      <w:r>
        <w:rPr>
          <w:b/>
          <w:bCs/>
          <w:smallCaps/>
          <w:noProof/>
          <w:szCs w:val="28"/>
        </w:rPr>
        <w:t xml:space="preserve"> </w:t>
      </w:r>
    </w:p>
    <w:p w:rsidR="00435CFF" w:rsidRDefault="00BC16BC">
      <w:pPr>
        <w:keepNext/>
        <w:outlineLvl w:val="1"/>
        <w:rPr>
          <w:rFonts w:eastAsiaTheme="majorEastAsia"/>
          <w:b/>
          <w:bCs/>
          <w:noProof/>
          <w:szCs w:val="26"/>
        </w:rPr>
      </w:pPr>
      <w:bookmarkStart w:id="3" w:name="_Toc514941972"/>
      <w:bookmarkStart w:id="4" w:name="_Toc40376061"/>
      <w:r>
        <w:rPr>
          <w:b/>
          <w:bCs/>
          <w:noProof/>
          <w:szCs w:val="26"/>
        </w:rPr>
        <w:t>Dénomination de la proposition/de l'initiative</w:t>
      </w:r>
      <w:bookmarkEnd w:id="3"/>
      <w:bookmarkEnd w:id="4"/>
      <w:r>
        <w:rPr>
          <w:b/>
          <w:bCs/>
          <w:noProof/>
          <w:szCs w:val="26"/>
        </w:rPr>
        <w:t xml:space="preserve"> </w:t>
      </w:r>
    </w:p>
    <w:p w:rsidR="00435CFF" w:rsidRDefault="00BC16BC">
      <w:pPr>
        <w:ind w:left="850"/>
        <w:rPr>
          <w:noProof/>
          <w:color w:val="0000FF"/>
        </w:rPr>
      </w:pPr>
      <w:bookmarkStart w:id="5" w:name="_Toc514941973"/>
      <w:r>
        <w:rPr>
          <w:noProof/>
          <w:color w:val="0000FF"/>
        </w:rPr>
        <w:t xml:space="preserve">Propositions modifiées de RÈGLEMENT DU PARLEMENT EUROPÉEN ET DU CONSEIL portant établissement du programme-cadre pour la recherche et l’innovation «Horizon Europe» et définissant ses règles de participation </w:t>
      </w:r>
      <w:r>
        <w:rPr>
          <w:noProof/>
          <w:color w:val="0000FF"/>
        </w:rPr>
        <w:t>et de diffusion [COM(2018) 435]; DÉCISION DU PARLEMENT EUROPÉEN ET DU CONSEIL établissant le programme spécifique d’exécution du programme-cadre pour la recherche et l’innovation «Horizon Europe» [COM(2018) 436]; RÈGLEMENT DU PARLEMENT EUROPÉEN ET DU CONSE</w:t>
      </w:r>
      <w:r>
        <w:rPr>
          <w:noProof/>
          <w:color w:val="0000FF"/>
        </w:rPr>
        <w:t>IL établissant des règles régissant l'aide aux plans stratégiques devant être établis par les États membres dans le cadre de la politique agricole commune (les «plans stratégiques relevant de la PAC») [COM(2018) 392 ]; RÈGLEMENT DU PARLEMENT EUROPÉEN ET DU</w:t>
      </w:r>
      <w:r>
        <w:rPr>
          <w:noProof/>
          <w:color w:val="0000FF"/>
        </w:rPr>
        <w:t xml:space="preserve"> CONSEIL établissant l’instrument de voisinage, de coopération au développement et de coopération internationale.</w:t>
      </w:r>
    </w:p>
    <w:p w:rsidR="00435CFF" w:rsidRDefault="00BC16BC">
      <w:pPr>
        <w:keepNext/>
        <w:outlineLvl w:val="1"/>
        <w:rPr>
          <w:rFonts w:eastAsiaTheme="majorEastAsia"/>
          <w:b/>
          <w:bCs/>
          <w:noProof/>
          <w:szCs w:val="26"/>
        </w:rPr>
      </w:pPr>
      <w:bookmarkStart w:id="6" w:name="_Toc40374709"/>
      <w:bookmarkStart w:id="7" w:name="_Toc40376062"/>
      <w:bookmarkEnd w:id="6"/>
      <w:r>
        <w:rPr>
          <w:b/>
          <w:bCs/>
          <w:noProof/>
          <w:szCs w:val="26"/>
        </w:rPr>
        <w:t>Domaine(s) politique(s) concerné(s) (groupe de programmes)</w:t>
      </w:r>
      <w:bookmarkEnd w:id="5"/>
      <w:bookmarkEnd w:id="7"/>
    </w:p>
    <w:p w:rsidR="00435CFF" w:rsidRDefault="00BC16BC">
      <w:pPr>
        <w:pBdr>
          <w:top w:val="single" w:sz="4" w:space="1" w:color="auto"/>
          <w:left w:val="single" w:sz="4" w:space="4" w:color="auto"/>
          <w:bottom w:val="single" w:sz="4" w:space="1" w:color="auto"/>
          <w:right w:val="single" w:sz="4" w:space="4" w:color="auto"/>
        </w:pBdr>
        <w:ind w:left="850"/>
        <w:rPr>
          <w:noProof/>
        </w:rPr>
      </w:pPr>
      <w:bookmarkStart w:id="8" w:name="_Toc514941974"/>
      <w:r>
        <w:rPr>
          <w:noProof/>
          <w:color w:val="0000FF"/>
        </w:rPr>
        <w:t>01 Recherche et innovation</w:t>
      </w:r>
    </w:p>
    <w:p w:rsidR="00435CFF" w:rsidRDefault="00BC16B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15 Action extérieure</w:t>
      </w:r>
    </w:p>
    <w:p w:rsidR="00435CFF" w:rsidRDefault="00BC16B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08 Agriculture et politique maritime </w:t>
      </w:r>
    </w:p>
    <w:p w:rsidR="00435CFF" w:rsidRDefault="00BC16BC">
      <w:pPr>
        <w:keepNext/>
        <w:outlineLvl w:val="1"/>
        <w:rPr>
          <w:rFonts w:eastAsiaTheme="majorEastAsia"/>
          <w:b/>
          <w:noProof/>
          <w:szCs w:val="24"/>
        </w:rPr>
      </w:pPr>
      <w:bookmarkStart w:id="9" w:name="_Toc40374711"/>
      <w:bookmarkStart w:id="10" w:name="_Toc40376063"/>
      <w:bookmarkEnd w:id="9"/>
      <w:r>
        <w:rPr>
          <w:b/>
          <w:bCs/>
          <w:noProof/>
          <w:szCs w:val="26"/>
        </w:rPr>
        <w:t>La proposition/l’initiative porte sur:</w:t>
      </w:r>
      <w:bookmarkEnd w:id="8"/>
      <w:bookmarkEnd w:id="10"/>
      <w:r>
        <w:rPr>
          <w:b/>
          <w:bCs/>
          <w:noProof/>
          <w:szCs w:val="26"/>
        </w:rPr>
        <w:t xml:space="preserve"> </w:t>
      </w:r>
    </w:p>
    <w:p w:rsidR="00435CFF" w:rsidRDefault="00BC16BC">
      <w:pPr>
        <w:ind w:left="850"/>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rsidR="00435CFF" w:rsidRDefault="00BC16BC">
      <w:pPr>
        <w:ind w:left="850"/>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noProof/>
        </w:rPr>
        <w:footnoteReference w:id="3"/>
      </w:r>
      <w:r>
        <w:rPr>
          <w:noProof/>
          <w:sz w:val="22"/>
        </w:rPr>
        <w:t xml:space="preserve"> </w:t>
      </w:r>
    </w:p>
    <w:p w:rsidR="00435CFF" w:rsidRDefault="00BC16BC">
      <w:pPr>
        <w:ind w:left="850"/>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rsidR="00435CFF" w:rsidRDefault="00BC16BC">
      <w:pPr>
        <w:ind w:left="850"/>
        <w:rPr>
          <w:noProof/>
        </w:rPr>
      </w:pPr>
      <w:r>
        <w:rPr>
          <w:noProof/>
          <w:sz w:val="22"/>
        </w:rPr>
        <w:t>X</w:t>
      </w:r>
      <w:r>
        <w:rPr>
          <w:i/>
          <w:noProof/>
          <w:sz w:val="22"/>
        </w:rPr>
        <w:t xml:space="preserve"> </w:t>
      </w:r>
      <w:r>
        <w:rPr>
          <w:b/>
          <w:noProof/>
        </w:rPr>
        <w:t xml:space="preserve">une fusion ou une réorientation d’une </w:t>
      </w:r>
      <w:r>
        <w:rPr>
          <w:b/>
          <w:noProof/>
        </w:rPr>
        <w:t>ou de plusieurs actions vers une autre action/une action nouvelle</w:t>
      </w:r>
      <w:r>
        <w:rPr>
          <w:noProof/>
        </w:rPr>
        <w:t xml:space="preserve"> </w:t>
      </w:r>
    </w:p>
    <w:p w:rsidR="00435CFF" w:rsidRDefault="00BC16BC">
      <w:pPr>
        <w:keepNext/>
        <w:outlineLvl w:val="1"/>
        <w:rPr>
          <w:rFonts w:eastAsiaTheme="majorEastAsia"/>
          <w:b/>
          <w:noProof/>
          <w:szCs w:val="24"/>
        </w:rPr>
      </w:pPr>
      <w:bookmarkStart w:id="11" w:name="_Toc514941975"/>
      <w:bookmarkStart w:id="12" w:name="_Toc40376064"/>
      <w:r>
        <w:rPr>
          <w:b/>
          <w:bCs/>
          <w:noProof/>
          <w:szCs w:val="26"/>
        </w:rPr>
        <w:t>Justification(s) de la proposition/de l'initiative</w:t>
      </w:r>
      <w:bookmarkEnd w:id="11"/>
      <w:bookmarkEnd w:id="12"/>
      <w:r>
        <w:rPr>
          <w:b/>
          <w:bCs/>
          <w:noProof/>
          <w:szCs w:val="26"/>
        </w:rPr>
        <w:t xml:space="preserve"> </w:t>
      </w:r>
    </w:p>
    <w:p w:rsidR="00435CFF" w:rsidRDefault="00BC16BC">
      <w:pPr>
        <w:keepNext/>
        <w:outlineLvl w:val="2"/>
        <w:rPr>
          <w:rFonts w:eastAsiaTheme="majorEastAsia"/>
          <w:bCs/>
          <w:i/>
          <w:noProof/>
        </w:rPr>
      </w:pPr>
      <w:bookmarkStart w:id="13" w:name="_Toc514941976"/>
      <w:bookmarkStart w:id="14" w:name="_Toc40376065"/>
      <w:r>
        <w:rPr>
          <w:bCs/>
          <w:i/>
          <w:noProof/>
        </w:rPr>
        <w:t>Besoin(s) à satisfaire à court ou à long terme, assorti(s) d’un calendrier détaillé pour la mise en œuvre de l’initiative</w:t>
      </w:r>
      <w:bookmarkEnd w:id="13"/>
      <w:bookmarkEnd w:id="14"/>
    </w:p>
    <w:p w:rsidR="00435CFF" w:rsidRDefault="00BC16B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Ces modifications ciblées du programme-cadre pour la recherche et l’innovation «Horizon Europe», de l’instrument de voisinage, de coopération au développement et de coopération internationale (IVCDCI) et des interventions du Feader au titre des plans strat</w:t>
      </w:r>
      <w:r>
        <w:rPr>
          <w:noProof/>
          <w:color w:val="0000FF"/>
        </w:rPr>
        <w:t>égiques relevant de la PAC sont proposées dans le cadre de la proposition révisée de CFP, qui comprend l’instrument de l’Union européenne pour la relance. Ce nouvel instrument permettra de financer ces programmes pendant une période limitée au-delà des pla</w:t>
      </w:r>
      <w:r>
        <w:rPr>
          <w:noProof/>
          <w:color w:val="0000FF"/>
        </w:rPr>
        <w:t xml:space="preserve">fonds fixés pour les crédits d’engagement et de paiement par le CFP, en tant que recettes affectées externes au sens de l’article 21 du règlement financier. </w:t>
      </w:r>
    </w:p>
    <w:p w:rsidR="00435CFF" w:rsidRDefault="00BC16B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En règle générale, il convient de concentrer avant la fin de 2024 le soutien financier et les acti</w:t>
      </w:r>
      <w:r>
        <w:rPr>
          <w:noProof/>
          <w:color w:val="0000FF"/>
        </w:rPr>
        <w:t xml:space="preserve">ons correspondantes mises en œuvre par la Commission et, en ce qui concerne le soutien financier non remboursable à hauteur d’au moins 60 % du total, il devrait se concrétiser avant la fin de 2022. Après 2024, les années restant à courir jusqu’à la fin du </w:t>
      </w:r>
      <w:r>
        <w:rPr>
          <w:noProof/>
          <w:color w:val="0000FF"/>
        </w:rPr>
        <w:t>CFP devraient donc être utilisées par la Commission pour favoriser la mise en œuvre des actions correspondantes sur le terrain, pour concrétiser la reprise attendue dans les secteurs économiques et sociaux concernés et pour promouvoir la résilience et la c</w:t>
      </w:r>
      <w:r>
        <w:rPr>
          <w:noProof/>
          <w:color w:val="0000FF"/>
        </w:rPr>
        <w:t>onvergence.</w:t>
      </w:r>
    </w:p>
    <w:p w:rsidR="00435CFF" w:rsidRDefault="00435CFF">
      <w:pPr>
        <w:ind w:left="850"/>
        <w:rPr>
          <w:noProof/>
          <w:color w:val="0000FF"/>
        </w:rPr>
      </w:pPr>
    </w:p>
    <w:p w:rsidR="00435CFF" w:rsidRDefault="00BC16BC">
      <w:pPr>
        <w:keepNext/>
        <w:outlineLvl w:val="2"/>
        <w:rPr>
          <w:rFonts w:eastAsiaTheme="majorEastAsia"/>
          <w:bCs/>
          <w:i/>
          <w:noProof/>
        </w:rPr>
      </w:pPr>
      <w:bookmarkStart w:id="15" w:name="_Toc514941977"/>
      <w:bookmarkStart w:id="16" w:name="_Toc40376066"/>
      <w:r>
        <w:rPr>
          <w:bCs/>
          <w:i/>
          <w:noProof/>
        </w:rPr>
        <w:t>Valeur ajoutée de l’intervention de l’Union (celle‑ci peut résulter de différents facteurs, par exemple gains de coordination, sécurité juridique, efficacité accrue, complémentarités, etc.). Aux fins du présent point, on entend par «valeur ajo</w:t>
      </w:r>
      <w:r>
        <w:rPr>
          <w:bCs/>
          <w:i/>
          <w:noProof/>
        </w:rPr>
        <w:t>utée de l’intervention de l’Union» la valeur découlant de l’intervention de l’Union qui vient s’ajouter à la valeur qui, sans cela, aurait été générée par la seule action des États membres.</w:t>
      </w:r>
      <w:bookmarkEnd w:id="15"/>
      <w:bookmarkEnd w:id="16"/>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rPr>
        <w:t>1)</w:t>
      </w:r>
      <w:r>
        <w:rPr>
          <w:noProof/>
        </w:rPr>
        <w:tab/>
        <w:t xml:space="preserve">Afin de contenir la propagation de la maladie provoquée par le </w:t>
      </w:r>
      <w:r>
        <w:rPr>
          <w:noProof/>
        </w:rPr>
        <w:t xml:space="preserve">coronavirus («COVID-19»), que l’Organisation mondiale de la santé a qualifié de pandémie le 11 mars 2020, les États membres et les pays tiers ont adopté un ensemble de mesures sans précédent. Ces mesures ont perturbé de manière significative les activités </w:t>
      </w:r>
      <w:r>
        <w:rPr>
          <w:noProof/>
        </w:rPr>
        <w:t>économiques. Elles ont, en particulier, provoqué des ruptures des chaînes d’approvisionnement, désorganisé la production et conduit à des absences du lieu de travail. D’une manière plus générale, ces mesures ont déjà entraîné ou vont entraîner une grave dé</w:t>
      </w:r>
      <w:r>
        <w:rPr>
          <w:noProof/>
        </w:rPr>
        <w:t xml:space="preserve">térioration de la situation financière de nombreuses entreprises au sein de l’Union et dans les pays tiers. </w:t>
      </w:r>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rPr>
        <w:t>2)</w:t>
      </w:r>
      <w:r>
        <w:rPr>
          <w:noProof/>
        </w:rPr>
        <w:tab/>
        <w:t xml:space="preserve">La crise s’est rapidement propagée sur le territoire de l’Union et dans les pays tiers. Une forte contraction de la croissance dans l’Union est </w:t>
      </w:r>
      <w:r>
        <w:rPr>
          <w:noProof/>
        </w:rPr>
        <w:t>à présent prévue pour 2020 et est susceptible de se prolonger en 2021. La reprise risque d'être très inégale dans les différents États membres, ce qui accroîtra la divergence entre les économies nationales. Les écarts entre les marges budgétaires dont disp</w:t>
      </w:r>
      <w:r>
        <w:rPr>
          <w:noProof/>
        </w:rPr>
        <w:t>osent les différents États membres pour fournir un soutien financier là où il est le plus nécessaire à la reprise et la divergence entre les mesures nationales mettent en péril le marché unique.</w:t>
      </w:r>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rPr>
        <w:t>3)</w:t>
      </w:r>
      <w:r>
        <w:rPr>
          <w:noProof/>
        </w:rPr>
        <w:tab/>
        <w:t>Il convient de mettre en place un ensemble complet de mesu</w:t>
      </w:r>
      <w:r>
        <w:rPr>
          <w:noProof/>
        </w:rPr>
        <w:t xml:space="preserve">res en faveur de la reprise économique, qui nécessite des montants substantiels d'investissements publics et privés, afin de dynamiser l’économie, de créer des emplois de qualité et d'investir dans la réparation des dégâts immédiats causés par la pandémie </w:t>
      </w:r>
      <w:r>
        <w:rPr>
          <w:noProof/>
        </w:rPr>
        <w:t>de COVID-19.</w:t>
      </w:r>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rPr>
        <w:t>4)</w:t>
      </w:r>
      <w:r>
        <w:rPr>
          <w:noProof/>
        </w:rPr>
        <w:tab/>
        <w:t>Cette situation exceptionnelle appelle une approche cohérente et unifiée au niveau de l’Union afin d’empêcher que l’économie se détériore davantage et de favoriser une reprise équilibrée de l’activité économique, en garantissant la continui</w:t>
      </w:r>
      <w:r>
        <w:rPr>
          <w:noProof/>
        </w:rPr>
        <w:t xml:space="preserve">té et le renforcement des investissements destinés aux transitions écologique et numérique. Dans ce contexte, il est donc nécessaire de mettre en place un instrument de l’UE pour la relance afin de faire face aux conséquences de la pandémie de COVID-19 ou </w:t>
      </w:r>
      <w:r>
        <w:rPr>
          <w:noProof/>
        </w:rPr>
        <w:t xml:space="preserve">de satisfaire aux besoins de financement immédiats, en vue d'éviter sa réapparition. </w:t>
      </w:r>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rPr>
        <w:t>5) Dans cette logique, l’instrument devrait, par l’intermédiaire d’Horizon Europe, intensifier le soutien accordé aux activités de recherche et d’innovation liées à la sa</w:t>
      </w:r>
      <w:r>
        <w:rPr>
          <w:noProof/>
        </w:rPr>
        <w:t>nté et au climat. Cela contribuera à renforcer la capacité à réagir efficacement et rapidement aux situations d’urgence et à augmenter les investissements dans les solutions fondées sur la science ainsi qu’à assurer la cohérence avec les objectifs du pacte</w:t>
      </w:r>
      <w:r>
        <w:rPr>
          <w:noProof/>
        </w:rPr>
        <w:t xml:space="preserve"> vert pour l'Europe.</w:t>
      </w:r>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rPr>
        <w:t>6) Les relations économiques et commerciales avec les pays voisins et les pays en développement, y compris les Balkans occidentaux, les pays du voisinage européen et les pays africains, présentent un grand intérêt pour l’économie de l’</w:t>
      </w:r>
      <w:r>
        <w:rPr>
          <w:noProof/>
        </w:rPr>
        <w:t xml:space="preserve">Union. Pour cette raison, et conformément au rôle et aux responsabilités de l’Union dans le monde ainsi qu’à ses valeurs, les ressources financières de l’instrument pour la relance attribuées à l’IVCDCI devraient également être utilisées pour soutenir les </w:t>
      </w:r>
      <w:r>
        <w:rPr>
          <w:noProof/>
        </w:rPr>
        <w:t>efforts déployés par ces pays pour lutter contre les effets de la pandémie de COVID-19 et se remettre de celle-ci.</w:t>
      </w:r>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rPr>
        <w:t>7) L’instrument devrait également intensifier le soutien octroyé par l’intermédiaire du Fonds européen agricole pour le développement rural (</w:t>
      </w:r>
      <w:r>
        <w:rPr>
          <w:noProof/>
        </w:rPr>
        <w:t>Feader), en accordant aux États membres des ressources supplémentaires exceptionnelles en vue de fournir une aide aux secteurs agricole et alimentaire qui ont été fortement touchés, pour contribuer à remédier aux conséquences de la crise provoquée par la p</w:t>
      </w:r>
      <w:r>
        <w:rPr>
          <w:noProof/>
        </w:rPr>
        <w:t>andémie de COVID-19 et pour préparer la reprise de l’économie.</w:t>
      </w:r>
    </w:p>
    <w:p w:rsidR="00435CFF" w:rsidRDefault="00435CFF">
      <w:pPr>
        <w:ind w:left="720"/>
        <w:rPr>
          <w:noProof/>
        </w:rPr>
      </w:pPr>
    </w:p>
    <w:p w:rsidR="00435CFF" w:rsidRDefault="00BC16BC">
      <w:pPr>
        <w:keepNext/>
        <w:outlineLvl w:val="2"/>
        <w:rPr>
          <w:rFonts w:eastAsiaTheme="majorEastAsia"/>
          <w:bCs/>
          <w:i/>
          <w:noProof/>
        </w:rPr>
      </w:pPr>
      <w:bookmarkStart w:id="17" w:name="_Toc514941978"/>
      <w:bookmarkStart w:id="18" w:name="_Toc40376067"/>
      <w:r>
        <w:rPr>
          <w:bCs/>
          <w:i/>
          <w:noProof/>
        </w:rPr>
        <w:t>Leçons tirées d'expériences similaires</w:t>
      </w:r>
      <w:bookmarkEnd w:id="17"/>
      <w:bookmarkEnd w:id="18"/>
    </w:p>
    <w:p w:rsidR="00435CFF" w:rsidRDefault="00BC16BC">
      <w:pPr>
        <w:pBdr>
          <w:top w:val="single" w:sz="4" w:space="1" w:color="auto"/>
          <w:left w:val="single" w:sz="4" w:space="4" w:color="auto"/>
          <w:bottom w:val="single" w:sz="4" w:space="1" w:color="auto"/>
          <w:right w:val="single" w:sz="4" w:space="4" w:color="auto"/>
        </w:pBdr>
        <w:ind w:left="850"/>
        <w:rPr>
          <w:noProof/>
          <w:color w:val="0000FF"/>
          <w:highlight w:val="yellow"/>
        </w:rPr>
      </w:pPr>
      <w:r>
        <w:rPr>
          <w:noProof/>
          <w:color w:val="0000FF"/>
        </w:rPr>
        <w:t>En ce qui concerne les relations extérieures, le rapport d’examen à mi-parcours des instruments de financement extérieur</w:t>
      </w:r>
      <w:r>
        <w:rPr>
          <w:rStyle w:val="FootnoteReference"/>
          <w:noProof/>
        </w:rPr>
        <w:footnoteReference w:id="4"/>
      </w:r>
      <w:r>
        <w:rPr>
          <w:noProof/>
          <w:color w:val="0000FF"/>
        </w:rPr>
        <w:t xml:space="preserve"> conclut que, dans le contexte actuel de crises et de conflits multiples, le cadre financier pluriannuel de l’UE doit être en mesure de s’adapter rapidement à l’évolution des priorités et à des événements imprévus, et de produire rapidement des résultats s</w:t>
      </w:r>
      <w:r>
        <w:rPr>
          <w:noProof/>
          <w:color w:val="0000FF"/>
        </w:rPr>
        <w:t>ur le terrain. Les instruments nécessitent également une flexibilité financière parmi d’autres types de flexibilité si l’on veut que l’action extérieure permette à l’UE de relever les nombreux défis auxquels elle est confrontée sur la scène internationale.</w:t>
      </w:r>
      <w:r>
        <w:rPr>
          <w:noProof/>
          <w:color w:val="0000FF"/>
        </w:rPr>
        <w:t xml:space="preserve"> Cette flexibilité doit être mise en place à différents niveaux. Cela signifie commencer par le budget, qui devrait comprendre des réserves plus importantes, par l’intermédiaire de la programmation pluriannuelle, et par une plus grande simplification sur l</w:t>
      </w:r>
      <w:r>
        <w:rPr>
          <w:noProof/>
          <w:color w:val="0000FF"/>
        </w:rPr>
        <w:t>e plan de la mise en œuvre afin d’accroître l’efficacité et l’efficience. La présente proposition répond à cette conclusion en augmentant la disponibilité de ressources supplémentaires pour faire face à la crise imprévue provoquée par la pandémie de COVID-</w:t>
      </w:r>
      <w:r>
        <w:rPr>
          <w:noProof/>
          <w:color w:val="0000FF"/>
        </w:rPr>
        <w:t>19.</w:t>
      </w:r>
    </w:p>
    <w:p w:rsidR="00435CFF" w:rsidRDefault="00BC16B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La recherche et l’innovation, et en particulier le programme phare «Horizon Europe», contribuent à réaliser les priorités des citoyens, stimulent la productivité et la compétitivité de l’Union, sont essentielles pour maintenir notre modèle socio-économ</w:t>
      </w:r>
      <w:r>
        <w:rPr>
          <w:noProof/>
          <w:color w:val="0000FF"/>
        </w:rPr>
        <w:t>ique et nos valeurs, et rendent possibles des solutions pour relever les défis de manière plus systématique. Dans les circonstances exceptionnelles d'aujourd'hui, l’Europe a besoin de disposer de solutions rapides fondées sur la recherche et l'innovation e</w:t>
      </w:r>
      <w:r>
        <w:rPr>
          <w:noProof/>
          <w:color w:val="0000FF"/>
        </w:rPr>
        <w:t>t d’approfondir les connaissances scientifiques en matière de maladies transmissibles. Ce renforcement permettrait de réaliser d'importants investissements en matière de recherche et d'innovation portant sur des mesures de protection innovantes et abordabl</w:t>
      </w:r>
      <w:r>
        <w:rPr>
          <w:noProof/>
          <w:color w:val="0000FF"/>
        </w:rPr>
        <w:t>es, la virologie, les vaccins, les traitements et diagnostics, et faciliterait la concrétisation des résultats de la recherche dans des mesures de politique de santé publique. Il est essentiel de consacrer davantage de ressources aux activités de recherche</w:t>
      </w:r>
      <w:r>
        <w:rPr>
          <w:noProof/>
          <w:color w:val="0000FF"/>
        </w:rPr>
        <w:t xml:space="preserve"> et d'innovation liées au climat afin de soutenir la compétitivité de l’industrie de l’UE dans les secteurs économiques correspondants et d’assurer une reprise cohérente par rapport aux objectifs du pacte vert pour l'Europe. Les investissements dans le dom</w:t>
      </w:r>
      <w:r>
        <w:rPr>
          <w:noProof/>
          <w:color w:val="0000FF"/>
        </w:rPr>
        <w:t>aine de la recherche et de l'innovation peuvent contribuer à lutter contre l'accroissement spectaculaire des émissions et des dégradations de l'environnement qui ont une incidence élevée sur la santé (comme les zoonoses). Ce renforcement aiderait les entre</w:t>
      </w:r>
      <w:r>
        <w:rPr>
          <w:noProof/>
          <w:color w:val="0000FF"/>
        </w:rPr>
        <w:t>prises qui ont une activité de recherche et d'innovation à éliminer progressivement les combustibles fossiles et à investir dans des technologies de rupture dans les domaines relevant du pacte vert pour l'Europe. Cela permettrait de mettre à disposition de</w:t>
      </w:r>
      <w:r>
        <w:rPr>
          <w:noProof/>
          <w:color w:val="0000FF"/>
        </w:rPr>
        <w:t>s moyens de financement et de développement d'innovations émergentes et radicales émanant de PME, de jeunes pousses et d'entreprises à capitalisation moyenne. La proposition vient s'ajouter à d'autres mesures spécifiques déjà prises pour soulager le secteu</w:t>
      </w:r>
      <w:r>
        <w:rPr>
          <w:noProof/>
          <w:color w:val="0000FF"/>
        </w:rPr>
        <w:t>r agricole. Des mesures réglementaires ont été prises, telles que l’adaptation des règles en matière d’aides d’État ou la facilitation de la disponibilité des travailleurs saisonniers.</w:t>
      </w:r>
    </w:p>
    <w:p w:rsidR="00435CFF" w:rsidRDefault="00BC16B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 xml:space="preserve">La Commission a également adapté les règles et apporté des changements </w:t>
      </w:r>
      <w:r>
        <w:rPr>
          <w:noProof/>
          <w:color w:val="0000FF"/>
        </w:rPr>
        <w:t>en ce qui concerne les deux fonds agricoles, le FEAGA et le Feader, afin de conférer une flexibilité exceptionnelle au recours aux Fonds structurels et d'investissement européens en réaction à la pandémie de COVID‐19 (initiative d’investissement en réactio</w:t>
      </w:r>
      <w:r>
        <w:rPr>
          <w:noProof/>
          <w:color w:val="0000FF"/>
        </w:rPr>
        <w:t>n au coronavirus), ainsi que pour toutes les autres mesures destinées à faire face à cette situation sans précédent. Ces mesures sont compatibles avec l'instrument de l'Union européenne pour la relance que la Commission suggère de créer dans sa proposition</w:t>
      </w:r>
      <w:r>
        <w:rPr>
          <w:noProof/>
          <w:color w:val="0000FF"/>
        </w:rPr>
        <w:t xml:space="preserve"> de règlement (UE) XXX/XX.</w:t>
      </w:r>
    </w:p>
    <w:p w:rsidR="00435CFF" w:rsidRDefault="00435CFF">
      <w:pPr>
        <w:ind w:left="850"/>
        <w:rPr>
          <w:noProof/>
          <w:color w:val="0000FF"/>
        </w:rPr>
      </w:pPr>
    </w:p>
    <w:p w:rsidR="00435CFF" w:rsidRDefault="00BC16BC">
      <w:pPr>
        <w:keepNext/>
        <w:outlineLvl w:val="2"/>
        <w:rPr>
          <w:rFonts w:eastAsiaTheme="majorEastAsia"/>
          <w:bCs/>
          <w:i/>
          <w:noProof/>
        </w:rPr>
      </w:pPr>
      <w:bookmarkStart w:id="19" w:name="_Toc40374717"/>
      <w:bookmarkStart w:id="20" w:name="_Toc40374718"/>
      <w:bookmarkStart w:id="21" w:name="_Toc514941979"/>
      <w:bookmarkStart w:id="22" w:name="_Toc40376068"/>
      <w:bookmarkEnd w:id="19"/>
      <w:bookmarkEnd w:id="20"/>
      <w:r>
        <w:rPr>
          <w:bCs/>
          <w:i/>
          <w:noProof/>
        </w:rPr>
        <w:t>Compatibilité et synergie éventuelle avec d'autres instruments appropriés</w:t>
      </w:r>
      <w:bookmarkEnd w:id="21"/>
      <w:bookmarkEnd w:id="22"/>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color w:val="0000FF"/>
        </w:rPr>
        <w:t>Outre les synergies déjà recensées pour Horizon Europe, l’IVCDCI et les interventions du Feader au titre des plans stratégiques relevant de la PAC qui son</w:t>
      </w:r>
      <w:r>
        <w:rPr>
          <w:noProof/>
          <w:color w:val="0000FF"/>
        </w:rPr>
        <w:t>t incluses dans les différentes propositions formulées en 2018 par la Commission, cette initiative spécifique lancée dans le contexte de la proposition révisée de CFP établit des synergies fortes entre ces programmes et le nouvel instrument de l’Union euro</w:t>
      </w:r>
      <w:r>
        <w:rPr>
          <w:noProof/>
          <w:color w:val="0000FF"/>
        </w:rPr>
        <w:t>péenne pour la relance, créé par la proposition de règlement (UE) XXX/XX. Ce dernier permettra de financer ces programmes sectoriels pendant une période limitée au-delà des plafonds du CFP, en raison de la complémentarité des objectifs et du fonctionnement</w:t>
      </w:r>
      <w:r>
        <w:rPr>
          <w:noProof/>
          <w:color w:val="0000FF"/>
        </w:rPr>
        <w:t xml:space="preserve"> de ces instruments et à la lumière des justifications et de la valeur ajoutée mises en évidence ci-dessus à la section 1.4.2.</w:t>
      </w:r>
    </w:p>
    <w:p w:rsidR="00435CFF" w:rsidRDefault="00435CFF">
      <w:pPr>
        <w:ind w:left="720"/>
        <w:rPr>
          <w:noProof/>
        </w:rPr>
      </w:pPr>
    </w:p>
    <w:p w:rsidR="00435CFF" w:rsidRDefault="00435CFF">
      <w:pPr>
        <w:ind w:left="850"/>
        <w:rPr>
          <w:noProof/>
          <w:color w:val="0000FF"/>
        </w:rPr>
      </w:pPr>
    </w:p>
    <w:p w:rsidR="00435CFF" w:rsidRDefault="00435CFF">
      <w:pPr>
        <w:ind w:left="850"/>
        <w:rPr>
          <w:noProof/>
        </w:rPr>
      </w:pPr>
    </w:p>
    <w:p w:rsidR="00435CFF" w:rsidRDefault="00BC16BC">
      <w:pPr>
        <w:keepNext/>
        <w:outlineLvl w:val="1"/>
        <w:rPr>
          <w:rFonts w:eastAsiaTheme="majorEastAsia"/>
          <w:b/>
          <w:noProof/>
          <w:szCs w:val="24"/>
        </w:rPr>
      </w:pPr>
      <w:r>
        <w:rPr>
          <w:noProof/>
        </w:rPr>
        <w:br w:type="page"/>
      </w:r>
      <w:bookmarkStart w:id="23" w:name="_Toc514941980"/>
      <w:bookmarkStart w:id="24" w:name="_Toc40376069"/>
      <w:r>
        <w:rPr>
          <w:b/>
          <w:bCs/>
          <w:noProof/>
          <w:szCs w:val="26"/>
        </w:rPr>
        <w:t>Durée et incidence financière</w:t>
      </w:r>
      <w:bookmarkEnd w:id="23"/>
      <w:bookmarkEnd w:id="24"/>
      <w:r>
        <w:rPr>
          <w:b/>
          <w:bCs/>
          <w:noProof/>
          <w:szCs w:val="26"/>
        </w:rPr>
        <w:t xml:space="preserve"> </w:t>
      </w:r>
    </w:p>
    <w:p w:rsidR="00435CFF" w:rsidRDefault="00BC16BC">
      <w:pPr>
        <w:ind w:left="850"/>
        <w:rPr>
          <w:noProof/>
        </w:rPr>
      </w:pPr>
      <w:r>
        <w:rPr>
          <w:noProof/>
        </w:rPr>
        <w:sym w:font="Wingdings" w:char="F0A8"/>
      </w:r>
      <w:r>
        <w:rPr>
          <w:b/>
          <w:i/>
          <w:noProof/>
        </w:rPr>
        <w:t xml:space="preserve"> </w:t>
      </w:r>
      <w:r>
        <w:rPr>
          <w:b/>
          <w:noProof/>
        </w:rPr>
        <w:t xml:space="preserve">durée limitée </w:t>
      </w:r>
    </w:p>
    <w:p w:rsidR="00435CFF" w:rsidRDefault="00BC16BC">
      <w:pPr>
        <w:rPr>
          <w:rFonts w:eastAsia="Times New Roman"/>
          <w:noProof/>
        </w:rPr>
      </w:pPr>
      <w:r>
        <w:rPr>
          <w:noProof/>
        </w:rPr>
        <w:sym w:font="Wingdings" w:char="F0A8"/>
      </w:r>
      <w:r>
        <w:rPr>
          <w:noProof/>
        </w:rPr>
        <w:tab/>
        <w:t xml:space="preserve">en vigueur à partir de [JJ/MM]AAAA jusqu’en [JJ/MM]AAAA </w:t>
      </w:r>
    </w:p>
    <w:p w:rsidR="00435CFF" w:rsidRDefault="00BC16BC">
      <w:pPr>
        <w:rPr>
          <w:rFonts w:eastAsia="Times New Roman"/>
          <w:noProof/>
        </w:rPr>
      </w:pPr>
      <w:r>
        <w:rPr>
          <w:noProof/>
        </w:rPr>
        <w:sym w:font="Wingdings" w:char="F0A8"/>
      </w:r>
      <w:r>
        <w:rPr>
          <w:noProof/>
        </w:rPr>
        <w:tab/>
      </w:r>
      <w:r>
        <w:rPr>
          <w:noProof/>
        </w:rPr>
        <w:t xml:space="preserve">Incidence financière de AAAA jusqu’en AAAA pour les crédits d’engagement et de AAAA jusqu’en AAAA pour les crédits de paiement. </w:t>
      </w:r>
    </w:p>
    <w:p w:rsidR="00435CFF" w:rsidRDefault="00BC16BC">
      <w:pPr>
        <w:ind w:left="850"/>
        <w:rPr>
          <w:noProof/>
        </w:rPr>
      </w:pPr>
      <w:r>
        <w:rPr>
          <w:noProof/>
        </w:rPr>
        <w:t>X</w:t>
      </w:r>
      <w:r>
        <w:rPr>
          <w:b/>
          <w:i/>
          <w:noProof/>
        </w:rPr>
        <w:t xml:space="preserve"> </w:t>
      </w:r>
      <w:r>
        <w:rPr>
          <w:b/>
          <w:noProof/>
        </w:rPr>
        <w:t>durée illimitée</w:t>
      </w:r>
    </w:p>
    <w:p w:rsidR="00435CFF" w:rsidRDefault="00BC16BC">
      <w:pPr>
        <w:rPr>
          <w:rFonts w:eastAsia="Times New Roman"/>
          <w:noProof/>
        </w:rPr>
      </w:pPr>
      <w:r>
        <w:rPr>
          <w:noProof/>
        </w:rPr>
        <w:t>Mise en œuvre avec une période de montée en puissance à compter de 2021,</w:t>
      </w:r>
    </w:p>
    <w:p w:rsidR="00435CFF" w:rsidRDefault="00BC16BC">
      <w:pPr>
        <w:rPr>
          <w:rFonts w:eastAsia="Times New Roman"/>
          <w:noProof/>
        </w:rPr>
      </w:pPr>
      <w:r>
        <w:rPr>
          <w:noProof/>
        </w:rPr>
        <w:t xml:space="preserve">puis un fonctionnement en rythme de </w:t>
      </w:r>
      <w:r>
        <w:rPr>
          <w:noProof/>
        </w:rPr>
        <w:t>croisière au-delà.</w:t>
      </w:r>
    </w:p>
    <w:p w:rsidR="00435CFF" w:rsidRDefault="00BC16BC">
      <w:pPr>
        <w:keepNext/>
        <w:outlineLvl w:val="1"/>
        <w:rPr>
          <w:rFonts w:eastAsiaTheme="majorEastAsia"/>
          <w:b/>
          <w:bCs/>
          <w:noProof/>
          <w:szCs w:val="26"/>
        </w:rPr>
      </w:pPr>
      <w:bookmarkStart w:id="25" w:name="_Toc514941981"/>
      <w:bookmarkStart w:id="26" w:name="_Toc40376070"/>
      <w:r>
        <w:rPr>
          <w:b/>
          <w:bCs/>
          <w:noProof/>
          <w:szCs w:val="26"/>
        </w:rPr>
        <w:t>Mode(s) de gestion prévu(s)</w:t>
      </w:r>
      <w:r>
        <w:rPr>
          <w:rStyle w:val="FootnoteReference"/>
          <w:noProof/>
        </w:rPr>
        <w:footnoteReference w:id="5"/>
      </w:r>
      <w:bookmarkEnd w:id="25"/>
      <w:bookmarkEnd w:id="26"/>
      <w:r>
        <w:rPr>
          <w:b/>
          <w:bCs/>
          <w:noProof/>
          <w:szCs w:val="26"/>
          <w:vertAlign w:val="superscript"/>
        </w:rPr>
        <w:t xml:space="preserve"> </w:t>
      </w:r>
    </w:p>
    <w:p w:rsidR="00435CFF" w:rsidRDefault="00BC16BC">
      <w:pPr>
        <w:ind w:left="850"/>
        <w:rPr>
          <w:noProof/>
        </w:rPr>
      </w:pPr>
      <w:r>
        <w:rPr>
          <w:noProof/>
        </w:rPr>
        <w:t xml:space="preserve">X </w:t>
      </w:r>
      <w:r>
        <w:rPr>
          <w:b/>
          <w:noProof/>
        </w:rPr>
        <w:t>Gestion directe</w:t>
      </w:r>
      <w:r>
        <w:rPr>
          <w:noProof/>
        </w:rPr>
        <w:t xml:space="preserve"> par la Commission</w:t>
      </w:r>
    </w:p>
    <w:p w:rsidR="00435CFF" w:rsidRDefault="00BC16BC">
      <w:pPr>
        <w:rPr>
          <w:rFonts w:eastAsia="Times New Roman" w:cs="EUAlbertina"/>
          <w:noProof/>
        </w:rPr>
      </w:pPr>
      <w:r>
        <w:rPr>
          <w:noProof/>
        </w:rPr>
        <w:t xml:space="preserve">X dans ses services, y compris par l’intermédiaire de son personnel dans les délégations de l’Union; </w:t>
      </w:r>
    </w:p>
    <w:p w:rsidR="00435CFF" w:rsidRDefault="00BC16BC">
      <w:pPr>
        <w:rPr>
          <w:rFonts w:eastAsia="Times New Roman"/>
          <w:noProof/>
        </w:rPr>
      </w:pPr>
      <w:r>
        <w:rPr>
          <w:noProof/>
        </w:rPr>
        <w:t>X</w:t>
      </w:r>
      <w:r>
        <w:rPr>
          <w:noProof/>
        </w:rPr>
        <w:tab/>
        <w:t xml:space="preserve">par les agences exécutives </w:t>
      </w:r>
    </w:p>
    <w:p w:rsidR="00435CFF" w:rsidRDefault="00BC16BC">
      <w:pPr>
        <w:ind w:left="850"/>
        <w:rPr>
          <w:noProof/>
        </w:rPr>
      </w:pPr>
      <w:r>
        <w:rPr>
          <w:noProof/>
        </w:rPr>
        <w:sym w:font="Wingdings" w:char="F0A8"/>
      </w:r>
      <w:r>
        <w:rPr>
          <w:b/>
          <w:i/>
          <w:noProof/>
        </w:rPr>
        <w:t xml:space="preserve"> </w:t>
      </w:r>
      <w:r>
        <w:rPr>
          <w:b/>
          <w:noProof/>
        </w:rPr>
        <w:t>Gestion partagée</w:t>
      </w:r>
      <w:r>
        <w:rPr>
          <w:noProof/>
        </w:rPr>
        <w:t xml:space="preserve"> avec les États membr</w:t>
      </w:r>
      <w:r>
        <w:rPr>
          <w:noProof/>
        </w:rPr>
        <w:t xml:space="preserve">es </w:t>
      </w:r>
    </w:p>
    <w:p w:rsidR="00435CFF" w:rsidRDefault="00BC16BC">
      <w:pPr>
        <w:ind w:left="850"/>
        <w:rPr>
          <w:noProof/>
        </w:rPr>
      </w:pPr>
      <w:r>
        <w:rPr>
          <w:noProof/>
        </w:rPr>
        <w:t xml:space="preserve">X </w:t>
      </w:r>
      <w:r>
        <w:rPr>
          <w:b/>
          <w:noProof/>
        </w:rPr>
        <w:t>Gestion indirecte</w:t>
      </w:r>
      <w:r>
        <w:rPr>
          <w:noProof/>
        </w:rPr>
        <w:t xml:space="preserve"> en confiant des tâches d’exécution budgétaire:</w:t>
      </w:r>
    </w:p>
    <w:p w:rsidR="00435CFF" w:rsidRDefault="00BC16BC">
      <w:pPr>
        <w:rPr>
          <w:rFonts w:eastAsia="Times New Roman"/>
          <w:noProof/>
        </w:rPr>
      </w:pPr>
      <w:r>
        <w:rPr>
          <w:noProof/>
        </w:rPr>
        <w:t>X à des pays tiers ou des organismes qu’ils ont désignés;</w:t>
      </w:r>
    </w:p>
    <w:p w:rsidR="00435CFF" w:rsidRDefault="00BC16BC">
      <w:pPr>
        <w:rPr>
          <w:rFonts w:eastAsia="Times New Roman"/>
          <w:noProof/>
        </w:rPr>
      </w:pPr>
      <w:r>
        <w:rPr>
          <w:noProof/>
        </w:rPr>
        <w:t>X à des organisations internationales et à leurs agences (à préciser);</w:t>
      </w:r>
    </w:p>
    <w:p w:rsidR="00435CFF" w:rsidRDefault="00BC16BC">
      <w:pPr>
        <w:rPr>
          <w:rFonts w:eastAsia="Times New Roman"/>
          <w:noProof/>
        </w:rPr>
      </w:pPr>
      <w:r>
        <w:rPr>
          <w:noProof/>
        </w:rPr>
        <w:t>X à la BEI et au Fonds européen d'investissement;</w:t>
      </w:r>
    </w:p>
    <w:p w:rsidR="00435CFF" w:rsidRDefault="00BC16BC">
      <w:pPr>
        <w:rPr>
          <w:rFonts w:eastAsia="Times New Roman"/>
          <w:noProof/>
        </w:rPr>
      </w:pPr>
      <w:r>
        <w:rPr>
          <w:noProof/>
        </w:rPr>
        <w:t xml:space="preserve">X aux </w:t>
      </w:r>
      <w:r>
        <w:rPr>
          <w:noProof/>
        </w:rPr>
        <w:t>organismes visés aux articles 70 et 71 du règlement financier;</w:t>
      </w:r>
    </w:p>
    <w:p w:rsidR="00435CFF" w:rsidRDefault="00BC16BC">
      <w:pPr>
        <w:rPr>
          <w:rFonts w:eastAsia="Times New Roman"/>
          <w:noProof/>
        </w:rPr>
      </w:pPr>
      <w:r>
        <w:rPr>
          <w:noProof/>
        </w:rPr>
        <w:t>X à des organismes de droit public;</w:t>
      </w:r>
    </w:p>
    <w:p w:rsidR="00435CFF" w:rsidRDefault="00BC16BC">
      <w:pPr>
        <w:rPr>
          <w:rFonts w:eastAsia="Times New Roman"/>
          <w:noProof/>
        </w:rPr>
      </w:pPr>
      <w:r>
        <w:rPr>
          <w:noProof/>
        </w:rPr>
        <w:t>X à des organismes de droit privé investis d'une mission de service public, pour autant qu'ils présentent les garanties financières suffisantes;</w:t>
      </w:r>
    </w:p>
    <w:p w:rsidR="00435CFF" w:rsidRDefault="00BC16BC">
      <w:pPr>
        <w:rPr>
          <w:rFonts w:eastAsia="Times New Roman"/>
          <w:noProof/>
        </w:rPr>
      </w:pPr>
      <w:r>
        <w:rPr>
          <w:noProof/>
        </w:rPr>
        <w:t>X à des orga</w:t>
      </w:r>
      <w:r>
        <w:rPr>
          <w:noProof/>
        </w:rPr>
        <w:t>nismes de droit privé d'un État membre qui sont chargés de la mise en œuvre d'un partenariat public-privé et présentent les garanties financières suffisantes;</w:t>
      </w:r>
    </w:p>
    <w:p w:rsidR="00435CFF" w:rsidRDefault="00BC16BC">
      <w:pPr>
        <w:rPr>
          <w:rFonts w:eastAsia="Times New Roman"/>
          <w:noProof/>
        </w:rPr>
      </w:pPr>
      <w:r>
        <w:rPr>
          <w:noProof/>
        </w:rPr>
        <w:t xml:space="preserve">X à des personnes chargées de l'exécution d'actions spécifiques relevant de la PESC, en vertu du </w:t>
      </w:r>
      <w:r>
        <w:rPr>
          <w:noProof/>
        </w:rPr>
        <w:t>titre V du traité sur l'Union européenne, identifiées dans l'acte de base concerné.</w:t>
      </w:r>
    </w:p>
    <w:p w:rsidR="00435CFF" w:rsidRDefault="00BC16BC">
      <w:pPr>
        <w:rPr>
          <w:noProof/>
        </w:rPr>
      </w:pPr>
      <w:r>
        <w:rPr>
          <w:noProof/>
        </w:rPr>
        <w:t>Remarques:</w:t>
      </w:r>
    </w:p>
    <w:p w:rsidR="00435CFF" w:rsidRDefault="00BC16BC">
      <w:pPr>
        <w:pBdr>
          <w:top w:val="single" w:sz="4" w:space="1" w:color="auto"/>
          <w:left w:val="single" w:sz="4" w:space="4" w:color="auto"/>
          <w:bottom w:val="single" w:sz="4" w:space="1" w:color="auto"/>
          <w:right w:val="single" w:sz="4" w:space="4" w:color="auto"/>
        </w:pBdr>
        <w:rPr>
          <w:noProof/>
        </w:rPr>
      </w:pPr>
      <w:r>
        <w:rPr>
          <w:noProof/>
        </w:rPr>
        <w:t>La Commission peut décider de déléguer une partie de la mise en œuvre du renforcement d’Horizon Europe à une agence exécutive, conformément au mode de gestion dé</w:t>
      </w:r>
      <w:r>
        <w:rPr>
          <w:noProof/>
        </w:rPr>
        <w:t>cidé pour les activités qui seront renforcées.</w:t>
      </w:r>
    </w:p>
    <w:p w:rsidR="00435CFF" w:rsidRDefault="00435CFF">
      <w:pPr>
        <w:rPr>
          <w:noProof/>
        </w:rPr>
      </w:pPr>
    </w:p>
    <w:p w:rsidR="00435CFF" w:rsidRDefault="00435CFF">
      <w:pPr>
        <w:rPr>
          <w:noProof/>
        </w:rPr>
        <w:sectPr w:rsidR="00435CFF">
          <w:pgSz w:w="11907" w:h="16840" w:code="9"/>
          <w:pgMar w:top="1134" w:right="1418" w:bottom="1134" w:left="1418" w:header="709" w:footer="709" w:gutter="0"/>
          <w:cols w:space="708"/>
          <w:docGrid w:linePitch="360"/>
        </w:sectPr>
      </w:pPr>
    </w:p>
    <w:p w:rsidR="00435CFF" w:rsidRDefault="00BC16BC">
      <w:pPr>
        <w:keepNext/>
        <w:spacing w:before="360"/>
        <w:outlineLvl w:val="0"/>
        <w:rPr>
          <w:rFonts w:eastAsiaTheme="majorEastAsia"/>
          <w:b/>
          <w:smallCaps/>
          <w:noProof/>
          <w:szCs w:val="24"/>
        </w:rPr>
      </w:pPr>
      <w:bookmarkStart w:id="27" w:name="_Toc514941982"/>
      <w:bookmarkStart w:id="28" w:name="_Toc39837055"/>
      <w:bookmarkStart w:id="29" w:name="_Toc39839402"/>
      <w:bookmarkStart w:id="30" w:name="_Toc40376071"/>
      <w:r>
        <w:rPr>
          <w:b/>
          <w:bCs/>
          <w:smallCaps/>
          <w:noProof/>
          <w:szCs w:val="28"/>
        </w:rPr>
        <w:t>MESURES DE GESTION</w:t>
      </w:r>
      <w:bookmarkEnd w:id="27"/>
      <w:bookmarkEnd w:id="28"/>
      <w:bookmarkEnd w:id="29"/>
      <w:bookmarkEnd w:id="30"/>
      <w:r>
        <w:rPr>
          <w:b/>
          <w:bCs/>
          <w:smallCaps/>
          <w:noProof/>
          <w:szCs w:val="28"/>
        </w:rPr>
        <w:t xml:space="preserve"> </w:t>
      </w:r>
    </w:p>
    <w:p w:rsidR="00435CFF" w:rsidRDefault="00BC16BC">
      <w:pPr>
        <w:keepNext/>
        <w:outlineLvl w:val="1"/>
        <w:rPr>
          <w:rFonts w:eastAsiaTheme="majorEastAsia"/>
          <w:b/>
          <w:bCs/>
          <w:noProof/>
          <w:szCs w:val="26"/>
        </w:rPr>
      </w:pPr>
      <w:bookmarkStart w:id="31" w:name="_Toc514941983"/>
      <w:bookmarkStart w:id="32" w:name="_Toc39837056"/>
      <w:bookmarkStart w:id="33" w:name="_Toc39839403"/>
      <w:bookmarkStart w:id="34" w:name="_Toc40376072"/>
      <w:r>
        <w:rPr>
          <w:b/>
          <w:bCs/>
          <w:noProof/>
          <w:szCs w:val="26"/>
        </w:rPr>
        <w:t>Dispositions en matière de suivi et de compte rendu</w:t>
      </w:r>
      <w:bookmarkEnd w:id="31"/>
      <w:bookmarkEnd w:id="32"/>
      <w:bookmarkEnd w:id="33"/>
      <w:bookmarkEnd w:id="34"/>
      <w:r>
        <w:rPr>
          <w:b/>
          <w:bCs/>
          <w:noProof/>
          <w:szCs w:val="26"/>
        </w:rPr>
        <w:t xml:space="preserve"> </w:t>
      </w:r>
    </w:p>
    <w:p w:rsidR="00435CFF" w:rsidRDefault="00BC16BC">
      <w:pPr>
        <w:ind w:left="850"/>
        <w:rPr>
          <w:i/>
          <w:noProof/>
          <w:sz w:val="20"/>
          <w:szCs w:val="20"/>
        </w:rPr>
      </w:pPr>
      <w:r>
        <w:rPr>
          <w:i/>
          <w:noProof/>
          <w:sz w:val="20"/>
          <w:szCs w:val="20"/>
        </w:rPr>
        <w:t>Préciser la fréquence et les conditions de ces dispositions.</w:t>
      </w:r>
    </w:p>
    <w:p w:rsidR="00435CFF" w:rsidRDefault="00BC16BC">
      <w:pPr>
        <w:pBdr>
          <w:top w:val="single" w:sz="4" w:space="1" w:color="auto"/>
          <w:left w:val="single" w:sz="4" w:space="4" w:color="auto"/>
          <w:bottom w:val="single" w:sz="4" w:space="1" w:color="auto"/>
          <w:right w:val="single" w:sz="4" w:space="4" w:color="auto"/>
        </w:pBdr>
        <w:ind w:left="850"/>
        <w:rPr>
          <w:noProof/>
        </w:rPr>
      </w:pPr>
      <w:r>
        <w:rPr>
          <w:noProof/>
          <w:color w:val="0000FF"/>
        </w:rPr>
        <w:t xml:space="preserve">Voir les fiches financières législatives des </w:t>
      </w:r>
      <w:r>
        <w:rPr>
          <w:noProof/>
          <w:color w:val="0000FF"/>
        </w:rPr>
        <w:t>propositions de la Commission: COM(2018) 460 final, COM(2018) 435 final, COM(2018) 436 final et COM(2018) 392 final</w:t>
      </w:r>
    </w:p>
    <w:p w:rsidR="00435CFF" w:rsidRDefault="00BC16BC">
      <w:pPr>
        <w:keepNext/>
        <w:outlineLvl w:val="1"/>
        <w:rPr>
          <w:rFonts w:eastAsiaTheme="majorEastAsia"/>
          <w:b/>
          <w:noProof/>
          <w:szCs w:val="24"/>
        </w:rPr>
      </w:pPr>
      <w:bookmarkStart w:id="35" w:name="_Toc514941984"/>
      <w:bookmarkStart w:id="36" w:name="_Toc39837057"/>
      <w:bookmarkStart w:id="37" w:name="_Toc39839404"/>
      <w:bookmarkStart w:id="38" w:name="_Toc40376073"/>
      <w:r>
        <w:rPr>
          <w:b/>
          <w:bCs/>
          <w:noProof/>
          <w:szCs w:val="26"/>
        </w:rPr>
        <w:t>Système(s) de gestion et de contrôle</w:t>
      </w:r>
      <w:bookmarkEnd w:id="35"/>
      <w:bookmarkEnd w:id="36"/>
      <w:bookmarkEnd w:id="37"/>
      <w:bookmarkEnd w:id="38"/>
      <w:r>
        <w:rPr>
          <w:b/>
          <w:bCs/>
          <w:noProof/>
          <w:szCs w:val="26"/>
        </w:rPr>
        <w:t xml:space="preserve"> </w:t>
      </w:r>
    </w:p>
    <w:p w:rsidR="00435CFF" w:rsidRDefault="00BC16BC">
      <w:pPr>
        <w:pBdr>
          <w:top w:val="single" w:sz="4" w:space="1" w:color="auto"/>
          <w:left w:val="single" w:sz="4" w:space="4" w:color="auto"/>
          <w:bottom w:val="single" w:sz="4" w:space="1" w:color="auto"/>
          <w:right w:val="single" w:sz="4" w:space="4" w:color="auto"/>
        </w:pBdr>
        <w:ind w:left="850"/>
        <w:rPr>
          <w:noProof/>
          <w:color w:val="0000FF"/>
        </w:rPr>
      </w:pPr>
      <w:bookmarkStart w:id="39" w:name="_Toc514941985"/>
      <w:bookmarkStart w:id="40" w:name="_Toc39837058"/>
      <w:bookmarkStart w:id="41" w:name="_Toc39839405"/>
      <w:r>
        <w:rPr>
          <w:noProof/>
          <w:color w:val="0000FF"/>
        </w:rPr>
        <w:t xml:space="preserve">Voir les fiches financières législatives des propositions de la Commission: COM(2018) 460 final, </w:t>
      </w:r>
      <w:r>
        <w:rPr>
          <w:noProof/>
          <w:color w:val="0000FF"/>
        </w:rPr>
        <w:t>COM(2018) 435 final, COM(2018) 436 final et COM(2018) 392 final</w:t>
      </w:r>
    </w:p>
    <w:bookmarkEnd w:id="39"/>
    <w:bookmarkEnd w:id="40"/>
    <w:bookmarkEnd w:id="41"/>
    <w:p w:rsidR="00435CFF" w:rsidRDefault="00435CFF">
      <w:pPr>
        <w:pBdr>
          <w:top w:val="single" w:sz="4" w:space="1" w:color="auto"/>
          <w:left w:val="single" w:sz="4" w:space="4" w:color="auto"/>
          <w:bottom w:val="single" w:sz="4" w:space="1" w:color="auto"/>
          <w:right w:val="single" w:sz="4" w:space="4" w:color="auto"/>
        </w:pBdr>
        <w:ind w:left="850"/>
        <w:rPr>
          <w:noProof/>
        </w:rPr>
      </w:pPr>
    </w:p>
    <w:p w:rsidR="00435CFF" w:rsidRDefault="00BC16BC">
      <w:pPr>
        <w:keepNext/>
        <w:outlineLvl w:val="1"/>
        <w:rPr>
          <w:rFonts w:eastAsiaTheme="majorEastAsia"/>
          <w:b/>
          <w:noProof/>
          <w:szCs w:val="24"/>
        </w:rPr>
      </w:pPr>
      <w:bookmarkStart w:id="42" w:name="_Toc514941988"/>
      <w:bookmarkStart w:id="43" w:name="_Toc39837061"/>
      <w:bookmarkStart w:id="44" w:name="_Toc39839408"/>
      <w:bookmarkStart w:id="45" w:name="_Toc40376074"/>
      <w:r>
        <w:rPr>
          <w:b/>
          <w:bCs/>
          <w:noProof/>
          <w:szCs w:val="26"/>
        </w:rPr>
        <w:t>Mesures de prévention des fraudes et irrégularités</w:t>
      </w:r>
      <w:bookmarkEnd w:id="42"/>
      <w:bookmarkEnd w:id="43"/>
      <w:bookmarkEnd w:id="44"/>
      <w:bookmarkEnd w:id="45"/>
      <w:r>
        <w:rPr>
          <w:b/>
          <w:bCs/>
          <w:noProof/>
          <w:szCs w:val="26"/>
        </w:rPr>
        <w:t xml:space="preserve"> </w:t>
      </w:r>
    </w:p>
    <w:p w:rsidR="00435CFF" w:rsidRDefault="00BC16BC">
      <w:pPr>
        <w:ind w:left="850"/>
        <w:rPr>
          <w:i/>
          <w:noProof/>
          <w:sz w:val="20"/>
          <w:szCs w:val="20"/>
        </w:rPr>
      </w:pPr>
      <w:r>
        <w:rPr>
          <w:i/>
          <w:noProof/>
          <w:sz w:val="20"/>
          <w:szCs w:val="20"/>
        </w:rPr>
        <w:t>Préciser les mesures de prévention et de protection existantes ou envisagées, au titre de la stratégie antifraude par exemple.</w:t>
      </w:r>
    </w:p>
    <w:p w:rsidR="00435CFF" w:rsidRDefault="00BC16BC">
      <w:pPr>
        <w:pBdr>
          <w:top w:val="single" w:sz="4" w:space="1" w:color="auto"/>
          <w:left w:val="single" w:sz="4" w:space="4" w:color="auto"/>
          <w:bottom w:val="single" w:sz="4" w:space="1" w:color="auto"/>
          <w:right w:val="single" w:sz="4" w:space="4" w:color="auto"/>
        </w:pBdr>
        <w:ind w:left="850"/>
        <w:rPr>
          <w:noProof/>
          <w:color w:val="0000FF"/>
        </w:rPr>
      </w:pPr>
      <w:r>
        <w:rPr>
          <w:noProof/>
          <w:color w:val="0000FF"/>
        </w:rPr>
        <w:t>Voir les fic</w:t>
      </w:r>
      <w:r>
        <w:rPr>
          <w:noProof/>
          <w:color w:val="0000FF"/>
        </w:rPr>
        <w:t>hes financières législatives des propositions de la Commission: COM(2018) 460 final, COM(2018) 435 final, COM(2018) 436 final et COM(2018) 392 final</w:t>
      </w:r>
    </w:p>
    <w:p w:rsidR="00435CFF" w:rsidRDefault="00435CFF">
      <w:pPr>
        <w:pBdr>
          <w:top w:val="single" w:sz="4" w:space="1" w:color="auto"/>
          <w:left w:val="single" w:sz="4" w:space="4" w:color="auto"/>
          <w:bottom w:val="single" w:sz="4" w:space="1" w:color="auto"/>
          <w:right w:val="single" w:sz="4" w:space="4" w:color="auto"/>
        </w:pBdr>
        <w:ind w:left="850"/>
        <w:rPr>
          <w:noProof/>
        </w:rPr>
      </w:pPr>
    </w:p>
    <w:p w:rsidR="00435CFF" w:rsidRDefault="00BC16BC">
      <w:pPr>
        <w:keepNext/>
        <w:spacing w:before="360"/>
        <w:outlineLvl w:val="0"/>
        <w:rPr>
          <w:rFonts w:eastAsiaTheme="majorEastAsia"/>
          <w:b/>
          <w:smallCaps/>
          <w:noProof/>
          <w:szCs w:val="24"/>
        </w:rPr>
      </w:pPr>
      <w:r>
        <w:rPr>
          <w:b/>
          <w:bCs/>
          <w:smallCaps/>
          <w:noProof/>
          <w:color w:val="0000FF"/>
          <w:szCs w:val="28"/>
        </w:rPr>
        <w:t xml:space="preserve"> </w:t>
      </w:r>
      <w:bookmarkStart w:id="46" w:name="_Toc40374726"/>
      <w:bookmarkStart w:id="47" w:name="_Toc40374727"/>
      <w:bookmarkStart w:id="48" w:name="_Toc514941989"/>
      <w:bookmarkStart w:id="49" w:name="_Toc40376075"/>
      <w:bookmarkEnd w:id="46"/>
      <w:bookmarkEnd w:id="47"/>
      <w:r>
        <w:rPr>
          <w:b/>
          <w:bCs/>
          <w:smallCaps/>
          <w:noProof/>
          <w:szCs w:val="28"/>
        </w:rPr>
        <w:t>INCIDENCE FINANCIÈRE ESTIMÉE DE LA PROPOSITION/DE L'INITIATIVE</w:t>
      </w:r>
      <w:bookmarkEnd w:id="48"/>
      <w:bookmarkEnd w:id="49"/>
      <w:r>
        <w:rPr>
          <w:b/>
          <w:bCs/>
          <w:smallCaps/>
          <w:noProof/>
          <w:szCs w:val="28"/>
        </w:rPr>
        <w:t xml:space="preserve"> </w:t>
      </w:r>
    </w:p>
    <w:p w:rsidR="00435CFF" w:rsidRDefault="00BC16BC">
      <w:pPr>
        <w:keepNext/>
        <w:outlineLvl w:val="1"/>
        <w:rPr>
          <w:rFonts w:eastAsiaTheme="majorEastAsia"/>
          <w:b/>
          <w:bCs/>
          <w:noProof/>
          <w:szCs w:val="26"/>
        </w:rPr>
      </w:pPr>
      <w:bookmarkStart w:id="50" w:name="_Toc514941990"/>
      <w:bookmarkStart w:id="51" w:name="_Toc40376076"/>
      <w:r>
        <w:rPr>
          <w:b/>
          <w:bCs/>
          <w:noProof/>
          <w:szCs w:val="26"/>
        </w:rPr>
        <w:t>Rubrique du cadre financier pluriannuel e</w:t>
      </w:r>
      <w:r>
        <w:rPr>
          <w:b/>
          <w:bCs/>
          <w:noProof/>
          <w:szCs w:val="26"/>
        </w:rPr>
        <w:t>t nouvelle(s) ligne(s) budgétaire(s) de dépenses proposée(s)</w:t>
      </w:r>
      <w:bookmarkEnd w:id="50"/>
      <w:bookmarkEnd w:id="51"/>
      <w:r>
        <w:rPr>
          <w:b/>
          <w:bCs/>
          <w:noProof/>
          <w:szCs w:val="26"/>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rsidR="00435CFF">
        <w:tc>
          <w:tcPr>
            <w:tcW w:w="1080" w:type="dxa"/>
            <w:vAlign w:val="center"/>
          </w:tcPr>
          <w:p w:rsidR="00435CFF" w:rsidRDefault="00435CFF">
            <w:pPr>
              <w:spacing w:before="60" w:after="60"/>
              <w:jc w:val="center"/>
              <w:rPr>
                <w:noProof/>
                <w:sz w:val="18"/>
              </w:rPr>
            </w:pPr>
          </w:p>
        </w:tc>
        <w:tc>
          <w:tcPr>
            <w:tcW w:w="3960" w:type="dxa"/>
            <w:vAlign w:val="center"/>
          </w:tcPr>
          <w:p w:rsidR="00435CFF" w:rsidRDefault="00435CFF">
            <w:pPr>
              <w:spacing w:before="60" w:after="60"/>
              <w:jc w:val="center"/>
              <w:rPr>
                <w:noProof/>
                <w:sz w:val="20"/>
              </w:rPr>
            </w:pPr>
          </w:p>
        </w:tc>
        <w:tc>
          <w:tcPr>
            <w:tcW w:w="1080" w:type="dxa"/>
            <w:vAlign w:val="center"/>
          </w:tcPr>
          <w:p w:rsidR="00435CFF" w:rsidRDefault="00435CFF">
            <w:pPr>
              <w:spacing w:before="60" w:after="60"/>
              <w:jc w:val="center"/>
              <w:rPr>
                <w:noProof/>
                <w:sz w:val="18"/>
              </w:rPr>
            </w:pPr>
          </w:p>
        </w:tc>
        <w:tc>
          <w:tcPr>
            <w:tcW w:w="4440" w:type="dxa"/>
            <w:gridSpan w:val="4"/>
            <w:vAlign w:val="center"/>
          </w:tcPr>
          <w:p w:rsidR="00435CFF" w:rsidRDefault="00435CFF">
            <w:pPr>
              <w:spacing w:before="60" w:after="60"/>
              <w:jc w:val="center"/>
              <w:rPr>
                <w:noProof/>
                <w:sz w:val="20"/>
              </w:rPr>
            </w:pPr>
          </w:p>
        </w:tc>
      </w:tr>
      <w:tr w:rsidR="00435CFF">
        <w:tc>
          <w:tcPr>
            <w:tcW w:w="1080" w:type="dxa"/>
            <w:vAlign w:val="center"/>
          </w:tcPr>
          <w:p w:rsidR="00435CFF" w:rsidRDefault="00BC16BC">
            <w:pPr>
              <w:spacing w:before="60" w:after="60"/>
              <w:jc w:val="center"/>
              <w:rPr>
                <w:noProof/>
              </w:rPr>
            </w:pPr>
            <w:r>
              <w:rPr>
                <w:noProof/>
                <w:sz w:val="18"/>
              </w:rPr>
              <w:t>Rubrique du cadre financier pluriannuel</w:t>
            </w:r>
          </w:p>
        </w:tc>
        <w:tc>
          <w:tcPr>
            <w:tcW w:w="3960" w:type="dxa"/>
            <w:vAlign w:val="center"/>
          </w:tcPr>
          <w:p w:rsidR="00435CFF" w:rsidRDefault="00BC16BC">
            <w:pPr>
              <w:spacing w:before="60" w:after="60"/>
              <w:jc w:val="center"/>
              <w:rPr>
                <w:noProof/>
              </w:rPr>
            </w:pPr>
            <w:r>
              <w:rPr>
                <w:noProof/>
                <w:sz w:val="20"/>
              </w:rPr>
              <w:t>Ligne budgétaire</w:t>
            </w:r>
          </w:p>
        </w:tc>
        <w:tc>
          <w:tcPr>
            <w:tcW w:w="1080" w:type="dxa"/>
            <w:vAlign w:val="center"/>
          </w:tcPr>
          <w:p w:rsidR="00435CFF" w:rsidRDefault="00BC16BC">
            <w:pPr>
              <w:spacing w:before="60" w:after="60"/>
              <w:jc w:val="center"/>
              <w:rPr>
                <w:noProof/>
              </w:rPr>
            </w:pPr>
            <w:r>
              <w:rPr>
                <w:noProof/>
                <w:sz w:val="18"/>
              </w:rPr>
              <w:t>Nature de</w:t>
            </w:r>
            <w:r>
              <w:rPr>
                <w:noProof/>
              </w:rPr>
              <w:br/>
            </w:r>
            <w:r>
              <w:rPr>
                <w:noProof/>
                <w:sz w:val="18"/>
              </w:rPr>
              <w:t>la dépense</w:t>
            </w:r>
          </w:p>
        </w:tc>
        <w:tc>
          <w:tcPr>
            <w:tcW w:w="4440" w:type="dxa"/>
            <w:gridSpan w:val="4"/>
            <w:vAlign w:val="center"/>
          </w:tcPr>
          <w:p w:rsidR="00435CFF" w:rsidRDefault="00BC16BC">
            <w:pPr>
              <w:spacing w:before="60" w:after="60"/>
              <w:jc w:val="center"/>
              <w:rPr>
                <w:noProof/>
              </w:rPr>
            </w:pPr>
            <w:r>
              <w:rPr>
                <w:noProof/>
                <w:sz w:val="20"/>
              </w:rPr>
              <w:t xml:space="preserve">Participation </w:t>
            </w:r>
          </w:p>
        </w:tc>
      </w:tr>
      <w:tr w:rsidR="00435CFF">
        <w:tc>
          <w:tcPr>
            <w:tcW w:w="1080" w:type="dxa"/>
            <w:vAlign w:val="center"/>
          </w:tcPr>
          <w:p w:rsidR="00435CFF" w:rsidRDefault="00435CFF">
            <w:pPr>
              <w:jc w:val="center"/>
              <w:rPr>
                <w:noProof/>
              </w:rPr>
            </w:pPr>
          </w:p>
        </w:tc>
        <w:tc>
          <w:tcPr>
            <w:tcW w:w="3960" w:type="dxa"/>
            <w:vAlign w:val="center"/>
          </w:tcPr>
          <w:p w:rsidR="00435CFF" w:rsidRDefault="00BC16BC">
            <w:pPr>
              <w:rPr>
                <w:b/>
                <w:noProof/>
                <w:sz w:val="20"/>
              </w:rPr>
            </w:pPr>
            <w:r>
              <w:rPr>
                <w:b/>
                <w:noProof/>
                <w:sz w:val="20"/>
              </w:rPr>
              <w:t>Rubrique 1. Marché unique, innovation et numérique</w:t>
            </w:r>
          </w:p>
        </w:tc>
        <w:tc>
          <w:tcPr>
            <w:tcW w:w="1080" w:type="dxa"/>
            <w:vAlign w:val="center"/>
          </w:tcPr>
          <w:p w:rsidR="00435CFF" w:rsidRDefault="00BC16BC">
            <w:pPr>
              <w:jc w:val="center"/>
              <w:rPr>
                <w:noProof/>
                <w:sz w:val="18"/>
              </w:rPr>
            </w:pPr>
            <w:r>
              <w:rPr>
                <w:noProof/>
                <w:sz w:val="18"/>
                <w:szCs w:val="18"/>
              </w:rPr>
              <w:t>CD/CND</w:t>
            </w:r>
            <w:r>
              <w:rPr>
                <w:rStyle w:val="FootnoteReference"/>
                <w:noProof/>
              </w:rPr>
              <w:footnoteReference w:id="6"/>
            </w:r>
            <w:r>
              <w:rPr>
                <w:noProof/>
              </w:rPr>
              <w:t>.</w:t>
            </w:r>
          </w:p>
        </w:tc>
        <w:tc>
          <w:tcPr>
            <w:tcW w:w="1044" w:type="dxa"/>
            <w:vAlign w:val="center"/>
          </w:tcPr>
          <w:p w:rsidR="00435CFF" w:rsidRDefault="00BC16BC">
            <w:pPr>
              <w:jc w:val="center"/>
              <w:rPr>
                <w:noProof/>
              </w:rPr>
            </w:pPr>
            <w:r>
              <w:rPr>
                <w:noProof/>
                <w:sz w:val="18"/>
                <w:szCs w:val="18"/>
              </w:rPr>
              <w:t>de pays AELE</w:t>
            </w:r>
            <w:r>
              <w:rPr>
                <w:rStyle w:val="FootnoteReference"/>
                <w:noProof/>
              </w:rPr>
              <w:footnoteReference w:id="7"/>
            </w:r>
          </w:p>
          <w:p w:rsidR="00435CFF" w:rsidRDefault="00435CFF">
            <w:pPr>
              <w:jc w:val="center"/>
              <w:rPr>
                <w:noProof/>
                <w:sz w:val="18"/>
              </w:rPr>
            </w:pPr>
          </w:p>
        </w:tc>
        <w:tc>
          <w:tcPr>
            <w:tcW w:w="1134" w:type="dxa"/>
            <w:vAlign w:val="center"/>
          </w:tcPr>
          <w:p w:rsidR="00435CFF" w:rsidRDefault="00BC16BC">
            <w:pPr>
              <w:jc w:val="center"/>
              <w:rPr>
                <w:noProof/>
              </w:rPr>
            </w:pPr>
            <w:r>
              <w:rPr>
                <w:noProof/>
                <w:sz w:val="18"/>
                <w:szCs w:val="18"/>
              </w:rPr>
              <w:t>de pays candidats</w:t>
            </w:r>
            <w:r>
              <w:rPr>
                <w:rStyle w:val="FootnoteReference"/>
                <w:noProof/>
              </w:rPr>
              <w:footnoteReference w:id="8"/>
            </w:r>
          </w:p>
          <w:p w:rsidR="00435CFF" w:rsidRDefault="00435CFF">
            <w:pPr>
              <w:jc w:val="center"/>
              <w:rPr>
                <w:noProof/>
                <w:sz w:val="18"/>
              </w:rPr>
            </w:pPr>
          </w:p>
        </w:tc>
        <w:tc>
          <w:tcPr>
            <w:tcW w:w="814" w:type="dxa"/>
            <w:vAlign w:val="center"/>
          </w:tcPr>
          <w:p w:rsidR="00435CFF" w:rsidRDefault="00BC16BC">
            <w:pPr>
              <w:jc w:val="center"/>
              <w:rPr>
                <w:noProof/>
                <w:sz w:val="18"/>
              </w:rPr>
            </w:pPr>
            <w:r>
              <w:rPr>
                <w:noProof/>
                <w:sz w:val="18"/>
              </w:rPr>
              <w:t>de pays tiers</w:t>
            </w:r>
          </w:p>
        </w:tc>
        <w:tc>
          <w:tcPr>
            <w:tcW w:w="1448" w:type="dxa"/>
            <w:vAlign w:val="center"/>
          </w:tcPr>
          <w:p w:rsidR="00435CFF" w:rsidRDefault="00BC16BC">
            <w:pPr>
              <w:jc w:val="center"/>
              <w:rPr>
                <w:noProof/>
                <w:sz w:val="16"/>
              </w:rPr>
            </w:pPr>
            <w:r>
              <w:rPr>
                <w:noProof/>
                <w:sz w:val="16"/>
              </w:rPr>
              <w:t xml:space="preserve">au sens de l'article [21, paragraphe 2, point b),] du règlement financier </w:t>
            </w:r>
          </w:p>
        </w:tc>
      </w:tr>
      <w:tr w:rsidR="00435CFF">
        <w:tc>
          <w:tcPr>
            <w:tcW w:w="1080" w:type="dxa"/>
            <w:vAlign w:val="center"/>
          </w:tcPr>
          <w:p w:rsidR="00435CFF" w:rsidRDefault="00BC16BC">
            <w:pPr>
              <w:jc w:val="center"/>
              <w:rPr>
                <w:noProof/>
                <w:color w:val="0000FF"/>
              </w:rPr>
            </w:pPr>
            <w:r>
              <w:rPr>
                <w:noProof/>
                <w:color w:val="0000FF"/>
              </w:rPr>
              <w:t>1</w:t>
            </w:r>
          </w:p>
        </w:tc>
        <w:tc>
          <w:tcPr>
            <w:tcW w:w="3960" w:type="dxa"/>
            <w:vAlign w:val="center"/>
          </w:tcPr>
          <w:p w:rsidR="00435CFF" w:rsidRDefault="00BC16BC">
            <w:pPr>
              <w:spacing w:before="60"/>
              <w:rPr>
                <w:noProof/>
                <w:color w:val="0000FF"/>
                <w:sz w:val="22"/>
              </w:rPr>
            </w:pPr>
            <w:r>
              <w:rPr>
                <w:noProof/>
                <w:color w:val="0000FF"/>
                <w:sz w:val="22"/>
              </w:rPr>
              <w:t xml:space="preserve">01 01 01 01, 01 01 01 02, 01 01 01 03, 01 01 01 61, 01 01 01 62, 01 01 01 62, 01 01 01 63, 01 01 01 64 Dépense d’appui pour «Horizon Europe», y compris les </w:t>
            </w:r>
            <w:r>
              <w:rPr>
                <w:noProof/>
                <w:color w:val="0000FF"/>
                <w:sz w:val="22"/>
              </w:rPr>
              <w:t>contributions versées aux agences exécutives mettant en œuvre le programme</w:t>
            </w:r>
          </w:p>
          <w:p w:rsidR="00435CFF" w:rsidRDefault="00435CFF">
            <w:pPr>
              <w:rPr>
                <w:noProof/>
                <w:sz w:val="20"/>
              </w:rPr>
            </w:pPr>
          </w:p>
        </w:tc>
        <w:tc>
          <w:tcPr>
            <w:tcW w:w="1080" w:type="dxa"/>
            <w:vAlign w:val="center"/>
          </w:tcPr>
          <w:p w:rsidR="00435CFF" w:rsidRDefault="00BC16BC">
            <w:pPr>
              <w:jc w:val="center"/>
              <w:rPr>
                <w:noProof/>
                <w:sz w:val="22"/>
              </w:rPr>
            </w:pPr>
            <w:r>
              <w:rPr>
                <w:noProof/>
                <w:sz w:val="22"/>
              </w:rPr>
              <w:t>CND</w:t>
            </w:r>
          </w:p>
        </w:tc>
        <w:tc>
          <w:tcPr>
            <w:tcW w:w="1044" w:type="dxa"/>
            <w:vAlign w:val="center"/>
          </w:tcPr>
          <w:p w:rsidR="00435CFF" w:rsidRDefault="00BC16BC">
            <w:pPr>
              <w:jc w:val="center"/>
              <w:rPr>
                <w:noProof/>
                <w:sz w:val="18"/>
              </w:rPr>
            </w:pPr>
            <w:r>
              <w:rPr>
                <w:noProof/>
                <w:sz w:val="22"/>
              </w:rPr>
              <w:t>OUI</w:t>
            </w:r>
          </w:p>
        </w:tc>
        <w:tc>
          <w:tcPr>
            <w:tcW w:w="1134" w:type="dxa"/>
            <w:vAlign w:val="center"/>
          </w:tcPr>
          <w:p w:rsidR="00435CFF" w:rsidRDefault="00BC16BC">
            <w:pPr>
              <w:jc w:val="center"/>
              <w:rPr>
                <w:noProof/>
                <w:sz w:val="18"/>
              </w:rPr>
            </w:pPr>
            <w:r>
              <w:rPr>
                <w:noProof/>
                <w:sz w:val="22"/>
              </w:rPr>
              <w:t>OUI</w:t>
            </w:r>
          </w:p>
        </w:tc>
        <w:tc>
          <w:tcPr>
            <w:tcW w:w="814" w:type="dxa"/>
            <w:vAlign w:val="center"/>
          </w:tcPr>
          <w:p w:rsidR="00435CFF" w:rsidRDefault="00BC16BC">
            <w:pPr>
              <w:jc w:val="center"/>
              <w:rPr>
                <w:noProof/>
                <w:sz w:val="18"/>
              </w:rPr>
            </w:pPr>
            <w:r>
              <w:rPr>
                <w:noProof/>
                <w:sz w:val="22"/>
              </w:rPr>
              <w:t>OUI</w:t>
            </w:r>
          </w:p>
        </w:tc>
        <w:tc>
          <w:tcPr>
            <w:tcW w:w="1448" w:type="dxa"/>
            <w:vAlign w:val="center"/>
          </w:tcPr>
          <w:p w:rsidR="00435CFF" w:rsidRDefault="00BC16BC">
            <w:pPr>
              <w:jc w:val="center"/>
              <w:rPr>
                <w:noProof/>
                <w:sz w:val="16"/>
              </w:rPr>
            </w:pPr>
            <w:r>
              <w:rPr>
                <w:noProof/>
                <w:sz w:val="22"/>
              </w:rPr>
              <w:t>NON</w:t>
            </w:r>
          </w:p>
        </w:tc>
      </w:tr>
      <w:tr w:rsidR="00435CFF">
        <w:tc>
          <w:tcPr>
            <w:tcW w:w="1080" w:type="dxa"/>
            <w:vAlign w:val="center"/>
          </w:tcPr>
          <w:p w:rsidR="00435CFF" w:rsidRDefault="00BC16BC">
            <w:pPr>
              <w:jc w:val="center"/>
              <w:rPr>
                <w:noProof/>
                <w:color w:val="0000FF"/>
              </w:rPr>
            </w:pPr>
            <w:r>
              <w:rPr>
                <w:noProof/>
                <w:color w:val="0000FF"/>
              </w:rPr>
              <w:t>1</w:t>
            </w:r>
          </w:p>
        </w:tc>
        <w:tc>
          <w:tcPr>
            <w:tcW w:w="3960" w:type="dxa"/>
            <w:vAlign w:val="center"/>
          </w:tcPr>
          <w:p w:rsidR="00435CFF" w:rsidRDefault="00BC16BC">
            <w:pPr>
              <w:spacing w:before="60"/>
              <w:rPr>
                <w:noProof/>
                <w:color w:val="0000FF"/>
                <w:sz w:val="22"/>
              </w:rPr>
            </w:pPr>
            <w:r>
              <w:rPr>
                <w:noProof/>
                <w:color w:val="0000FF"/>
                <w:sz w:val="22"/>
              </w:rPr>
              <w:t>01 02 02 10 Pôle «Santé»</w:t>
            </w:r>
          </w:p>
        </w:tc>
        <w:tc>
          <w:tcPr>
            <w:tcW w:w="1080" w:type="dxa"/>
            <w:vAlign w:val="center"/>
          </w:tcPr>
          <w:p w:rsidR="00435CFF" w:rsidRDefault="00BC16BC">
            <w:pPr>
              <w:jc w:val="center"/>
              <w:rPr>
                <w:noProof/>
                <w:sz w:val="18"/>
              </w:rPr>
            </w:pPr>
            <w:r>
              <w:rPr>
                <w:noProof/>
                <w:sz w:val="22"/>
              </w:rPr>
              <w:t>CD</w:t>
            </w:r>
          </w:p>
        </w:tc>
        <w:tc>
          <w:tcPr>
            <w:tcW w:w="1044" w:type="dxa"/>
            <w:vAlign w:val="center"/>
          </w:tcPr>
          <w:p w:rsidR="00435CFF" w:rsidRDefault="00BC16BC">
            <w:pPr>
              <w:jc w:val="center"/>
              <w:rPr>
                <w:noProof/>
                <w:sz w:val="18"/>
              </w:rPr>
            </w:pPr>
            <w:r>
              <w:rPr>
                <w:noProof/>
                <w:sz w:val="22"/>
              </w:rPr>
              <w:t>OUI</w:t>
            </w:r>
          </w:p>
        </w:tc>
        <w:tc>
          <w:tcPr>
            <w:tcW w:w="1134" w:type="dxa"/>
            <w:vAlign w:val="center"/>
          </w:tcPr>
          <w:p w:rsidR="00435CFF" w:rsidRDefault="00BC16BC">
            <w:pPr>
              <w:jc w:val="center"/>
              <w:rPr>
                <w:noProof/>
                <w:sz w:val="18"/>
              </w:rPr>
            </w:pPr>
            <w:r>
              <w:rPr>
                <w:noProof/>
                <w:sz w:val="22"/>
              </w:rPr>
              <w:t>OUI</w:t>
            </w:r>
          </w:p>
        </w:tc>
        <w:tc>
          <w:tcPr>
            <w:tcW w:w="814" w:type="dxa"/>
            <w:vAlign w:val="center"/>
          </w:tcPr>
          <w:p w:rsidR="00435CFF" w:rsidRDefault="00BC16BC">
            <w:pPr>
              <w:jc w:val="center"/>
              <w:rPr>
                <w:noProof/>
                <w:sz w:val="18"/>
              </w:rPr>
            </w:pPr>
            <w:r>
              <w:rPr>
                <w:noProof/>
                <w:sz w:val="22"/>
              </w:rPr>
              <w:t>OUI</w:t>
            </w:r>
          </w:p>
        </w:tc>
        <w:tc>
          <w:tcPr>
            <w:tcW w:w="1448" w:type="dxa"/>
            <w:vAlign w:val="center"/>
          </w:tcPr>
          <w:p w:rsidR="00435CFF" w:rsidRDefault="00BC16BC">
            <w:pPr>
              <w:jc w:val="center"/>
              <w:rPr>
                <w:noProof/>
                <w:sz w:val="16"/>
              </w:rPr>
            </w:pPr>
            <w:r>
              <w:rPr>
                <w:noProof/>
                <w:sz w:val="22"/>
              </w:rPr>
              <w:t>NON</w:t>
            </w:r>
          </w:p>
        </w:tc>
      </w:tr>
      <w:tr w:rsidR="00435CFF">
        <w:tc>
          <w:tcPr>
            <w:tcW w:w="1080" w:type="dxa"/>
            <w:vAlign w:val="center"/>
          </w:tcPr>
          <w:p w:rsidR="00435CFF" w:rsidRDefault="00BC16BC">
            <w:pPr>
              <w:jc w:val="center"/>
              <w:rPr>
                <w:noProof/>
                <w:color w:val="0000FF"/>
              </w:rPr>
            </w:pPr>
            <w:r>
              <w:rPr>
                <w:noProof/>
                <w:color w:val="0000FF"/>
              </w:rPr>
              <w:t>1</w:t>
            </w:r>
          </w:p>
        </w:tc>
        <w:tc>
          <w:tcPr>
            <w:tcW w:w="3960" w:type="dxa"/>
            <w:vAlign w:val="center"/>
          </w:tcPr>
          <w:p w:rsidR="00435CFF" w:rsidRDefault="00BC16BC">
            <w:pPr>
              <w:spacing w:before="60"/>
              <w:rPr>
                <w:noProof/>
                <w:color w:val="0000FF"/>
                <w:sz w:val="22"/>
              </w:rPr>
            </w:pPr>
            <w:r>
              <w:rPr>
                <w:noProof/>
                <w:color w:val="0000FF"/>
                <w:sz w:val="22"/>
              </w:rPr>
              <w:t>01 02 02 40 Pôle «Numérique, industrie et espace»</w:t>
            </w:r>
          </w:p>
        </w:tc>
        <w:tc>
          <w:tcPr>
            <w:tcW w:w="1080" w:type="dxa"/>
            <w:vAlign w:val="center"/>
          </w:tcPr>
          <w:p w:rsidR="00435CFF" w:rsidRDefault="00BC16BC">
            <w:pPr>
              <w:jc w:val="center"/>
              <w:rPr>
                <w:noProof/>
                <w:sz w:val="18"/>
              </w:rPr>
            </w:pPr>
            <w:r>
              <w:rPr>
                <w:noProof/>
                <w:sz w:val="22"/>
              </w:rPr>
              <w:t>CD</w:t>
            </w:r>
          </w:p>
        </w:tc>
        <w:tc>
          <w:tcPr>
            <w:tcW w:w="1044" w:type="dxa"/>
            <w:vAlign w:val="center"/>
          </w:tcPr>
          <w:p w:rsidR="00435CFF" w:rsidRDefault="00BC16BC">
            <w:pPr>
              <w:jc w:val="center"/>
              <w:rPr>
                <w:noProof/>
                <w:sz w:val="18"/>
              </w:rPr>
            </w:pPr>
            <w:r>
              <w:rPr>
                <w:noProof/>
                <w:sz w:val="22"/>
              </w:rPr>
              <w:t>OUI</w:t>
            </w:r>
          </w:p>
        </w:tc>
        <w:tc>
          <w:tcPr>
            <w:tcW w:w="1134" w:type="dxa"/>
            <w:vAlign w:val="center"/>
          </w:tcPr>
          <w:p w:rsidR="00435CFF" w:rsidRDefault="00BC16BC">
            <w:pPr>
              <w:jc w:val="center"/>
              <w:rPr>
                <w:noProof/>
                <w:sz w:val="18"/>
              </w:rPr>
            </w:pPr>
            <w:r>
              <w:rPr>
                <w:noProof/>
                <w:sz w:val="22"/>
              </w:rPr>
              <w:t>OUI</w:t>
            </w:r>
          </w:p>
        </w:tc>
        <w:tc>
          <w:tcPr>
            <w:tcW w:w="814" w:type="dxa"/>
            <w:vAlign w:val="center"/>
          </w:tcPr>
          <w:p w:rsidR="00435CFF" w:rsidRDefault="00BC16BC">
            <w:pPr>
              <w:jc w:val="center"/>
              <w:rPr>
                <w:noProof/>
                <w:sz w:val="18"/>
              </w:rPr>
            </w:pPr>
            <w:r>
              <w:rPr>
                <w:noProof/>
                <w:sz w:val="22"/>
              </w:rPr>
              <w:t>OUI</w:t>
            </w:r>
          </w:p>
        </w:tc>
        <w:tc>
          <w:tcPr>
            <w:tcW w:w="1448" w:type="dxa"/>
            <w:vAlign w:val="center"/>
          </w:tcPr>
          <w:p w:rsidR="00435CFF" w:rsidRDefault="00BC16BC">
            <w:pPr>
              <w:jc w:val="center"/>
              <w:rPr>
                <w:noProof/>
                <w:sz w:val="16"/>
              </w:rPr>
            </w:pPr>
            <w:r>
              <w:rPr>
                <w:noProof/>
                <w:sz w:val="22"/>
              </w:rPr>
              <w:t>NON</w:t>
            </w:r>
          </w:p>
        </w:tc>
      </w:tr>
      <w:tr w:rsidR="00435CFF">
        <w:tc>
          <w:tcPr>
            <w:tcW w:w="1080" w:type="dxa"/>
            <w:vAlign w:val="center"/>
          </w:tcPr>
          <w:p w:rsidR="00435CFF" w:rsidRDefault="00BC16BC">
            <w:pPr>
              <w:jc w:val="center"/>
              <w:rPr>
                <w:noProof/>
                <w:color w:val="0000FF"/>
              </w:rPr>
            </w:pPr>
            <w:r>
              <w:rPr>
                <w:noProof/>
                <w:color w:val="0000FF"/>
              </w:rPr>
              <w:t>1</w:t>
            </w:r>
          </w:p>
        </w:tc>
        <w:tc>
          <w:tcPr>
            <w:tcW w:w="3960" w:type="dxa"/>
            <w:vAlign w:val="center"/>
          </w:tcPr>
          <w:p w:rsidR="00435CFF" w:rsidRDefault="00BC16BC">
            <w:pPr>
              <w:spacing w:before="60"/>
              <w:rPr>
                <w:noProof/>
                <w:color w:val="0000FF"/>
                <w:sz w:val="22"/>
              </w:rPr>
            </w:pPr>
            <w:r>
              <w:rPr>
                <w:noProof/>
                <w:color w:val="0000FF"/>
                <w:sz w:val="22"/>
              </w:rPr>
              <w:t xml:space="preserve">01 02 02 50 Pôle «Climat, énergie et </w:t>
            </w:r>
            <w:r>
              <w:rPr>
                <w:noProof/>
                <w:color w:val="0000FF"/>
                <w:sz w:val="22"/>
              </w:rPr>
              <w:t>mobilité»</w:t>
            </w:r>
          </w:p>
        </w:tc>
        <w:tc>
          <w:tcPr>
            <w:tcW w:w="1080" w:type="dxa"/>
            <w:vAlign w:val="center"/>
          </w:tcPr>
          <w:p w:rsidR="00435CFF" w:rsidRDefault="00BC16BC">
            <w:pPr>
              <w:jc w:val="center"/>
              <w:rPr>
                <w:noProof/>
                <w:sz w:val="18"/>
              </w:rPr>
            </w:pPr>
            <w:r>
              <w:rPr>
                <w:noProof/>
                <w:sz w:val="22"/>
              </w:rPr>
              <w:t>CD</w:t>
            </w:r>
          </w:p>
        </w:tc>
        <w:tc>
          <w:tcPr>
            <w:tcW w:w="1044" w:type="dxa"/>
            <w:vAlign w:val="center"/>
          </w:tcPr>
          <w:p w:rsidR="00435CFF" w:rsidRDefault="00BC16BC">
            <w:pPr>
              <w:jc w:val="center"/>
              <w:rPr>
                <w:noProof/>
                <w:sz w:val="18"/>
              </w:rPr>
            </w:pPr>
            <w:r>
              <w:rPr>
                <w:noProof/>
                <w:sz w:val="22"/>
              </w:rPr>
              <w:t>OUI</w:t>
            </w:r>
          </w:p>
        </w:tc>
        <w:tc>
          <w:tcPr>
            <w:tcW w:w="1134" w:type="dxa"/>
            <w:vAlign w:val="center"/>
          </w:tcPr>
          <w:p w:rsidR="00435CFF" w:rsidRDefault="00BC16BC">
            <w:pPr>
              <w:jc w:val="center"/>
              <w:rPr>
                <w:noProof/>
                <w:sz w:val="18"/>
              </w:rPr>
            </w:pPr>
            <w:r>
              <w:rPr>
                <w:noProof/>
                <w:sz w:val="22"/>
              </w:rPr>
              <w:t>OUI</w:t>
            </w:r>
          </w:p>
        </w:tc>
        <w:tc>
          <w:tcPr>
            <w:tcW w:w="814" w:type="dxa"/>
            <w:vAlign w:val="center"/>
          </w:tcPr>
          <w:p w:rsidR="00435CFF" w:rsidRDefault="00BC16BC">
            <w:pPr>
              <w:jc w:val="center"/>
              <w:rPr>
                <w:noProof/>
                <w:sz w:val="18"/>
              </w:rPr>
            </w:pPr>
            <w:r>
              <w:rPr>
                <w:noProof/>
                <w:sz w:val="22"/>
              </w:rPr>
              <w:t>OUI</w:t>
            </w:r>
          </w:p>
        </w:tc>
        <w:tc>
          <w:tcPr>
            <w:tcW w:w="1448" w:type="dxa"/>
            <w:vAlign w:val="center"/>
          </w:tcPr>
          <w:p w:rsidR="00435CFF" w:rsidRDefault="00BC16BC">
            <w:pPr>
              <w:jc w:val="center"/>
              <w:rPr>
                <w:noProof/>
                <w:sz w:val="16"/>
              </w:rPr>
            </w:pPr>
            <w:r>
              <w:rPr>
                <w:noProof/>
                <w:sz w:val="22"/>
              </w:rPr>
              <w:t>NON</w:t>
            </w:r>
          </w:p>
        </w:tc>
      </w:tr>
      <w:tr w:rsidR="00435CFF">
        <w:tc>
          <w:tcPr>
            <w:tcW w:w="1080" w:type="dxa"/>
            <w:vAlign w:val="center"/>
          </w:tcPr>
          <w:p w:rsidR="00435CFF" w:rsidRDefault="00BC16BC">
            <w:pPr>
              <w:jc w:val="center"/>
              <w:rPr>
                <w:noProof/>
                <w:color w:val="0000FF"/>
              </w:rPr>
            </w:pPr>
            <w:r>
              <w:rPr>
                <w:noProof/>
                <w:color w:val="0000FF"/>
              </w:rPr>
              <w:t>1</w:t>
            </w:r>
          </w:p>
        </w:tc>
        <w:tc>
          <w:tcPr>
            <w:tcW w:w="3960" w:type="dxa"/>
            <w:vAlign w:val="center"/>
          </w:tcPr>
          <w:p w:rsidR="00435CFF" w:rsidRDefault="00BC16BC">
            <w:pPr>
              <w:spacing w:before="60"/>
              <w:rPr>
                <w:noProof/>
                <w:color w:val="0000FF"/>
                <w:sz w:val="22"/>
              </w:rPr>
            </w:pPr>
            <w:r>
              <w:rPr>
                <w:noProof/>
                <w:color w:val="0000FF"/>
                <w:sz w:val="22"/>
              </w:rPr>
              <w:t>01 02 03 01 Conseil européen de l’innovation</w:t>
            </w:r>
          </w:p>
        </w:tc>
        <w:tc>
          <w:tcPr>
            <w:tcW w:w="1080" w:type="dxa"/>
            <w:vAlign w:val="center"/>
          </w:tcPr>
          <w:p w:rsidR="00435CFF" w:rsidRDefault="00BC16BC">
            <w:pPr>
              <w:jc w:val="center"/>
              <w:rPr>
                <w:noProof/>
                <w:sz w:val="18"/>
              </w:rPr>
            </w:pPr>
            <w:r>
              <w:rPr>
                <w:noProof/>
                <w:sz w:val="22"/>
              </w:rPr>
              <w:t>CD</w:t>
            </w:r>
          </w:p>
        </w:tc>
        <w:tc>
          <w:tcPr>
            <w:tcW w:w="1044" w:type="dxa"/>
            <w:vAlign w:val="center"/>
          </w:tcPr>
          <w:p w:rsidR="00435CFF" w:rsidRDefault="00BC16BC">
            <w:pPr>
              <w:jc w:val="center"/>
              <w:rPr>
                <w:noProof/>
                <w:sz w:val="18"/>
              </w:rPr>
            </w:pPr>
            <w:r>
              <w:rPr>
                <w:noProof/>
                <w:sz w:val="22"/>
              </w:rPr>
              <w:t>OUI</w:t>
            </w:r>
          </w:p>
        </w:tc>
        <w:tc>
          <w:tcPr>
            <w:tcW w:w="1134" w:type="dxa"/>
            <w:vAlign w:val="center"/>
          </w:tcPr>
          <w:p w:rsidR="00435CFF" w:rsidRDefault="00BC16BC">
            <w:pPr>
              <w:jc w:val="center"/>
              <w:rPr>
                <w:noProof/>
                <w:sz w:val="18"/>
              </w:rPr>
            </w:pPr>
            <w:r>
              <w:rPr>
                <w:noProof/>
                <w:sz w:val="22"/>
              </w:rPr>
              <w:t>OUI</w:t>
            </w:r>
          </w:p>
        </w:tc>
        <w:tc>
          <w:tcPr>
            <w:tcW w:w="814" w:type="dxa"/>
            <w:vAlign w:val="center"/>
          </w:tcPr>
          <w:p w:rsidR="00435CFF" w:rsidRDefault="00BC16BC">
            <w:pPr>
              <w:jc w:val="center"/>
              <w:rPr>
                <w:noProof/>
                <w:sz w:val="18"/>
              </w:rPr>
            </w:pPr>
            <w:r>
              <w:rPr>
                <w:noProof/>
                <w:sz w:val="22"/>
              </w:rPr>
              <w:t>OUI</w:t>
            </w:r>
          </w:p>
        </w:tc>
        <w:tc>
          <w:tcPr>
            <w:tcW w:w="1448" w:type="dxa"/>
            <w:vAlign w:val="center"/>
          </w:tcPr>
          <w:p w:rsidR="00435CFF" w:rsidRDefault="00BC16BC">
            <w:pPr>
              <w:jc w:val="center"/>
              <w:rPr>
                <w:noProof/>
                <w:sz w:val="16"/>
              </w:rPr>
            </w:pPr>
            <w:r>
              <w:rPr>
                <w:noProof/>
                <w:sz w:val="22"/>
              </w:rPr>
              <w:t>NON</w:t>
            </w:r>
          </w:p>
        </w:tc>
      </w:tr>
      <w:tr w:rsidR="00435CFF">
        <w:tc>
          <w:tcPr>
            <w:tcW w:w="1080" w:type="dxa"/>
            <w:vAlign w:val="center"/>
          </w:tcPr>
          <w:p w:rsidR="00435CFF" w:rsidRDefault="00435CFF">
            <w:pPr>
              <w:jc w:val="center"/>
              <w:rPr>
                <w:noProof/>
              </w:rPr>
            </w:pPr>
          </w:p>
        </w:tc>
        <w:tc>
          <w:tcPr>
            <w:tcW w:w="3960" w:type="dxa"/>
            <w:vAlign w:val="center"/>
          </w:tcPr>
          <w:p w:rsidR="00435CFF" w:rsidRDefault="00BC16BC">
            <w:pPr>
              <w:rPr>
                <w:b/>
                <w:noProof/>
                <w:sz w:val="20"/>
                <w:szCs w:val="20"/>
              </w:rPr>
            </w:pPr>
            <w:r>
              <w:rPr>
                <w:b/>
                <w:noProof/>
                <w:sz w:val="20"/>
                <w:szCs w:val="20"/>
              </w:rPr>
              <w:t>Rubrique 3. Ressources naturelles et environnement</w:t>
            </w:r>
          </w:p>
        </w:tc>
        <w:tc>
          <w:tcPr>
            <w:tcW w:w="1080" w:type="dxa"/>
            <w:vAlign w:val="center"/>
          </w:tcPr>
          <w:p w:rsidR="00435CFF" w:rsidRDefault="00BC16BC">
            <w:pPr>
              <w:jc w:val="center"/>
              <w:rPr>
                <w:noProof/>
                <w:sz w:val="18"/>
                <w:szCs w:val="18"/>
              </w:rPr>
            </w:pPr>
            <w:r>
              <w:rPr>
                <w:noProof/>
                <w:sz w:val="18"/>
                <w:szCs w:val="18"/>
              </w:rPr>
              <w:t>CD/CND</w:t>
            </w:r>
            <w:r>
              <w:rPr>
                <w:rStyle w:val="FootnoteReference"/>
                <w:noProof/>
              </w:rPr>
              <w:footnoteReference w:id="9"/>
            </w:r>
            <w:r>
              <w:rPr>
                <w:noProof/>
              </w:rPr>
              <w:t>.</w:t>
            </w:r>
          </w:p>
        </w:tc>
        <w:tc>
          <w:tcPr>
            <w:tcW w:w="1044" w:type="dxa"/>
            <w:vAlign w:val="center"/>
          </w:tcPr>
          <w:p w:rsidR="00435CFF" w:rsidRDefault="00BC16BC">
            <w:pPr>
              <w:jc w:val="center"/>
              <w:rPr>
                <w:noProof/>
              </w:rPr>
            </w:pPr>
            <w:r>
              <w:rPr>
                <w:noProof/>
                <w:sz w:val="18"/>
                <w:szCs w:val="18"/>
              </w:rPr>
              <w:t>de pays AELE</w:t>
            </w:r>
            <w:r>
              <w:rPr>
                <w:rStyle w:val="FootnoteReference"/>
                <w:noProof/>
              </w:rPr>
              <w:footnoteReference w:id="10"/>
            </w:r>
          </w:p>
          <w:p w:rsidR="00435CFF" w:rsidRDefault="00435CFF">
            <w:pPr>
              <w:jc w:val="center"/>
              <w:rPr>
                <w:noProof/>
                <w:sz w:val="18"/>
                <w:szCs w:val="18"/>
              </w:rPr>
            </w:pPr>
          </w:p>
        </w:tc>
        <w:tc>
          <w:tcPr>
            <w:tcW w:w="1134" w:type="dxa"/>
            <w:vAlign w:val="center"/>
          </w:tcPr>
          <w:p w:rsidR="00435CFF" w:rsidRDefault="00BC16BC">
            <w:pPr>
              <w:jc w:val="center"/>
              <w:rPr>
                <w:noProof/>
              </w:rPr>
            </w:pPr>
            <w:r>
              <w:rPr>
                <w:noProof/>
                <w:sz w:val="18"/>
                <w:szCs w:val="18"/>
              </w:rPr>
              <w:t>de pays candidats</w:t>
            </w:r>
            <w:r>
              <w:rPr>
                <w:rStyle w:val="FootnoteReference"/>
                <w:noProof/>
              </w:rPr>
              <w:footnoteReference w:id="11"/>
            </w:r>
          </w:p>
          <w:p w:rsidR="00435CFF" w:rsidRDefault="00435CFF">
            <w:pPr>
              <w:jc w:val="center"/>
              <w:rPr>
                <w:noProof/>
                <w:sz w:val="18"/>
                <w:szCs w:val="18"/>
              </w:rPr>
            </w:pPr>
          </w:p>
        </w:tc>
        <w:tc>
          <w:tcPr>
            <w:tcW w:w="814" w:type="dxa"/>
            <w:vAlign w:val="center"/>
          </w:tcPr>
          <w:p w:rsidR="00435CFF" w:rsidRDefault="00BC16BC">
            <w:pPr>
              <w:jc w:val="center"/>
              <w:rPr>
                <w:noProof/>
                <w:sz w:val="18"/>
                <w:szCs w:val="18"/>
              </w:rPr>
            </w:pPr>
            <w:r>
              <w:rPr>
                <w:noProof/>
                <w:sz w:val="18"/>
                <w:szCs w:val="18"/>
              </w:rPr>
              <w:t>de pays tiers</w:t>
            </w:r>
          </w:p>
        </w:tc>
        <w:tc>
          <w:tcPr>
            <w:tcW w:w="1448" w:type="dxa"/>
            <w:vAlign w:val="center"/>
          </w:tcPr>
          <w:p w:rsidR="00435CFF" w:rsidRDefault="00BC16BC">
            <w:pPr>
              <w:jc w:val="center"/>
              <w:rPr>
                <w:noProof/>
                <w:sz w:val="16"/>
                <w:szCs w:val="16"/>
              </w:rPr>
            </w:pPr>
            <w:r>
              <w:rPr>
                <w:noProof/>
                <w:sz w:val="16"/>
                <w:szCs w:val="16"/>
              </w:rPr>
              <w:t xml:space="preserve">au sens de l'article [21, paragraphe 2, point b),] du règlement financier </w:t>
            </w:r>
          </w:p>
        </w:tc>
      </w:tr>
      <w:tr w:rsidR="00435CFF">
        <w:tc>
          <w:tcPr>
            <w:tcW w:w="1080" w:type="dxa"/>
            <w:vAlign w:val="center"/>
          </w:tcPr>
          <w:p w:rsidR="00435CFF" w:rsidRDefault="00BC16BC">
            <w:pPr>
              <w:jc w:val="center"/>
              <w:rPr>
                <w:noProof/>
              </w:rPr>
            </w:pPr>
            <w:r>
              <w:rPr>
                <w:noProof/>
              </w:rPr>
              <w:t>3</w:t>
            </w:r>
          </w:p>
        </w:tc>
        <w:tc>
          <w:tcPr>
            <w:tcW w:w="3960" w:type="dxa"/>
            <w:vAlign w:val="center"/>
          </w:tcPr>
          <w:p w:rsidR="00435CFF" w:rsidRDefault="00BC16BC">
            <w:pPr>
              <w:rPr>
                <w:b/>
                <w:noProof/>
                <w:sz w:val="20"/>
                <w:szCs w:val="20"/>
              </w:rPr>
            </w:pPr>
            <w:r>
              <w:rPr>
                <w:b/>
                <w:noProof/>
                <w:sz w:val="20"/>
                <w:szCs w:val="20"/>
              </w:rPr>
              <w:t>08 01 02 Dépenses d’appui pour le Fonds européen agricole pour le développement rural (Feader)</w:t>
            </w:r>
          </w:p>
        </w:tc>
        <w:tc>
          <w:tcPr>
            <w:tcW w:w="1080" w:type="dxa"/>
            <w:vAlign w:val="center"/>
          </w:tcPr>
          <w:p w:rsidR="00435CFF" w:rsidRDefault="00BC16BC">
            <w:pPr>
              <w:jc w:val="center"/>
              <w:rPr>
                <w:noProof/>
                <w:sz w:val="18"/>
                <w:szCs w:val="18"/>
              </w:rPr>
            </w:pPr>
            <w:r>
              <w:rPr>
                <w:noProof/>
                <w:sz w:val="22"/>
              </w:rPr>
              <w:t>CND</w:t>
            </w:r>
          </w:p>
        </w:tc>
        <w:tc>
          <w:tcPr>
            <w:tcW w:w="1044" w:type="dxa"/>
            <w:vAlign w:val="center"/>
          </w:tcPr>
          <w:p w:rsidR="00435CFF" w:rsidRDefault="00BC16BC">
            <w:pPr>
              <w:jc w:val="center"/>
              <w:rPr>
                <w:noProof/>
                <w:sz w:val="18"/>
                <w:szCs w:val="18"/>
              </w:rPr>
            </w:pPr>
            <w:r>
              <w:rPr>
                <w:noProof/>
                <w:sz w:val="22"/>
              </w:rPr>
              <w:t>NON</w:t>
            </w:r>
          </w:p>
        </w:tc>
        <w:tc>
          <w:tcPr>
            <w:tcW w:w="1134" w:type="dxa"/>
            <w:vAlign w:val="center"/>
          </w:tcPr>
          <w:p w:rsidR="00435CFF" w:rsidRDefault="00BC16BC">
            <w:pPr>
              <w:jc w:val="center"/>
              <w:rPr>
                <w:noProof/>
                <w:sz w:val="18"/>
                <w:szCs w:val="18"/>
              </w:rPr>
            </w:pPr>
            <w:r>
              <w:rPr>
                <w:noProof/>
                <w:sz w:val="22"/>
              </w:rPr>
              <w:t>NON</w:t>
            </w:r>
          </w:p>
        </w:tc>
        <w:tc>
          <w:tcPr>
            <w:tcW w:w="814" w:type="dxa"/>
            <w:vAlign w:val="center"/>
          </w:tcPr>
          <w:p w:rsidR="00435CFF" w:rsidRDefault="00BC16BC">
            <w:pPr>
              <w:jc w:val="center"/>
              <w:rPr>
                <w:noProof/>
                <w:sz w:val="18"/>
                <w:szCs w:val="18"/>
              </w:rPr>
            </w:pPr>
            <w:r>
              <w:rPr>
                <w:noProof/>
                <w:sz w:val="22"/>
              </w:rPr>
              <w:t>NON</w:t>
            </w:r>
          </w:p>
        </w:tc>
        <w:tc>
          <w:tcPr>
            <w:tcW w:w="1448" w:type="dxa"/>
            <w:vAlign w:val="center"/>
          </w:tcPr>
          <w:p w:rsidR="00435CFF" w:rsidRDefault="00BC16BC">
            <w:pPr>
              <w:jc w:val="center"/>
              <w:rPr>
                <w:noProof/>
                <w:sz w:val="16"/>
                <w:szCs w:val="16"/>
              </w:rPr>
            </w:pPr>
            <w:r>
              <w:rPr>
                <w:noProof/>
                <w:sz w:val="22"/>
              </w:rPr>
              <w:t>NON</w:t>
            </w:r>
          </w:p>
        </w:tc>
      </w:tr>
      <w:tr w:rsidR="00435CFF">
        <w:tc>
          <w:tcPr>
            <w:tcW w:w="1080" w:type="dxa"/>
            <w:vAlign w:val="center"/>
          </w:tcPr>
          <w:p w:rsidR="00435CFF" w:rsidRDefault="00BC16BC">
            <w:pPr>
              <w:jc w:val="center"/>
              <w:rPr>
                <w:noProof/>
              </w:rPr>
            </w:pPr>
            <w:r>
              <w:rPr>
                <w:noProof/>
              </w:rPr>
              <w:t>3</w:t>
            </w:r>
          </w:p>
        </w:tc>
        <w:tc>
          <w:tcPr>
            <w:tcW w:w="3960" w:type="dxa"/>
            <w:vAlign w:val="center"/>
          </w:tcPr>
          <w:p w:rsidR="00435CFF" w:rsidRDefault="00BC16BC">
            <w:pPr>
              <w:rPr>
                <w:b/>
                <w:noProof/>
                <w:sz w:val="20"/>
                <w:szCs w:val="20"/>
              </w:rPr>
            </w:pPr>
            <w:r>
              <w:rPr>
                <w:b/>
                <w:noProof/>
                <w:sz w:val="20"/>
                <w:szCs w:val="20"/>
              </w:rPr>
              <w:t xml:space="preserve">08 03 01 03 Types d'interventions en faveur du développement rural dans le cadre des plans stratégiques relevant de la PAC financés par l’instrument de l'Union européenne pour la relance  </w:t>
            </w:r>
          </w:p>
        </w:tc>
        <w:tc>
          <w:tcPr>
            <w:tcW w:w="1080" w:type="dxa"/>
            <w:vAlign w:val="center"/>
          </w:tcPr>
          <w:p w:rsidR="00435CFF" w:rsidRDefault="00BC16BC">
            <w:pPr>
              <w:jc w:val="center"/>
              <w:rPr>
                <w:noProof/>
                <w:sz w:val="18"/>
                <w:szCs w:val="18"/>
              </w:rPr>
            </w:pPr>
            <w:r>
              <w:rPr>
                <w:noProof/>
                <w:sz w:val="22"/>
              </w:rPr>
              <w:t>CD</w:t>
            </w:r>
          </w:p>
        </w:tc>
        <w:tc>
          <w:tcPr>
            <w:tcW w:w="1044" w:type="dxa"/>
            <w:vAlign w:val="center"/>
          </w:tcPr>
          <w:p w:rsidR="00435CFF" w:rsidRDefault="00BC16BC">
            <w:pPr>
              <w:jc w:val="center"/>
              <w:rPr>
                <w:noProof/>
                <w:sz w:val="18"/>
                <w:szCs w:val="18"/>
              </w:rPr>
            </w:pPr>
            <w:r>
              <w:rPr>
                <w:noProof/>
                <w:sz w:val="22"/>
              </w:rPr>
              <w:t>NON</w:t>
            </w:r>
          </w:p>
        </w:tc>
        <w:tc>
          <w:tcPr>
            <w:tcW w:w="1134" w:type="dxa"/>
            <w:vAlign w:val="center"/>
          </w:tcPr>
          <w:p w:rsidR="00435CFF" w:rsidRDefault="00BC16BC">
            <w:pPr>
              <w:jc w:val="center"/>
              <w:rPr>
                <w:noProof/>
                <w:sz w:val="18"/>
                <w:szCs w:val="18"/>
              </w:rPr>
            </w:pPr>
            <w:r>
              <w:rPr>
                <w:noProof/>
                <w:sz w:val="22"/>
              </w:rPr>
              <w:t>NON</w:t>
            </w:r>
          </w:p>
        </w:tc>
        <w:tc>
          <w:tcPr>
            <w:tcW w:w="814" w:type="dxa"/>
            <w:vAlign w:val="center"/>
          </w:tcPr>
          <w:p w:rsidR="00435CFF" w:rsidRDefault="00BC16BC">
            <w:pPr>
              <w:jc w:val="center"/>
              <w:rPr>
                <w:noProof/>
                <w:sz w:val="18"/>
                <w:szCs w:val="18"/>
              </w:rPr>
            </w:pPr>
            <w:r>
              <w:rPr>
                <w:noProof/>
                <w:sz w:val="22"/>
              </w:rPr>
              <w:t>NON</w:t>
            </w:r>
          </w:p>
        </w:tc>
        <w:tc>
          <w:tcPr>
            <w:tcW w:w="1448" w:type="dxa"/>
            <w:vAlign w:val="center"/>
          </w:tcPr>
          <w:p w:rsidR="00435CFF" w:rsidRDefault="00BC16BC">
            <w:pPr>
              <w:jc w:val="center"/>
              <w:rPr>
                <w:noProof/>
                <w:sz w:val="16"/>
                <w:szCs w:val="16"/>
              </w:rPr>
            </w:pPr>
            <w:r>
              <w:rPr>
                <w:noProof/>
                <w:sz w:val="22"/>
              </w:rPr>
              <w:t>NON</w:t>
            </w:r>
          </w:p>
        </w:tc>
      </w:tr>
      <w:tr w:rsidR="00435CFF">
        <w:tc>
          <w:tcPr>
            <w:tcW w:w="1080" w:type="dxa"/>
            <w:vAlign w:val="center"/>
          </w:tcPr>
          <w:p w:rsidR="00435CFF" w:rsidRDefault="00BC16BC">
            <w:pPr>
              <w:jc w:val="center"/>
              <w:rPr>
                <w:noProof/>
              </w:rPr>
            </w:pPr>
            <w:r>
              <w:rPr>
                <w:noProof/>
              </w:rPr>
              <w:t>3</w:t>
            </w:r>
          </w:p>
        </w:tc>
        <w:tc>
          <w:tcPr>
            <w:tcW w:w="3960" w:type="dxa"/>
            <w:vAlign w:val="center"/>
          </w:tcPr>
          <w:p w:rsidR="00435CFF" w:rsidRDefault="00BC16BC">
            <w:pPr>
              <w:rPr>
                <w:b/>
                <w:noProof/>
                <w:sz w:val="20"/>
                <w:szCs w:val="20"/>
              </w:rPr>
            </w:pPr>
            <w:r>
              <w:rPr>
                <w:b/>
                <w:noProof/>
                <w:sz w:val="20"/>
                <w:szCs w:val="20"/>
              </w:rPr>
              <w:t xml:space="preserve">08 03 02 Feader – Assistance technique </w:t>
            </w:r>
            <w:r>
              <w:rPr>
                <w:b/>
                <w:noProof/>
                <w:sz w:val="20"/>
                <w:szCs w:val="20"/>
              </w:rPr>
              <w:t>opérationnelle</w:t>
            </w:r>
          </w:p>
        </w:tc>
        <w:tc>
          <w:tcPr>
            <w:tcW w:w="1080" w:type="dxa"/>
            <w:vAlign w:val="center"/>
          </w:tcPr>
          <w:p w:rsidR="00435CFF" w:rsidRDefault="00BC16BC">
            <w:pPr>
              <w:jc w:val="center"/>
              <w:rPr>
                <w:noProof/>
                <w:sz w:val="22"/>
              </w:rPr>
            </w:pPr>
            <w:r>
              <w:rPr>
                <w:noProof/>
                <w:sz w:val="22"/>
              </w:rPr>
              <w:t>CD</w:t>
            </w:r>
          </w:p>
        </w:tc>
        <w:tc>
          <w:tcPr>
            <w:tcW w:w="1044" w:type="dxa"/>
            <w:vAlign w:val="center"/>
          </w:tcPr>
          <w:p w:rsidR="00435CFF" w:rsidRDefault="00BC16BC">
            <w:pPr>
              <w:jc w:val="center"/>
              <w:rPr>
                <w:noProof/>
                <w:sz w:val="22"/>
              </w:rPr>
            </w:pPr>
            <w:r>
              <w:rPr>
                <w:noProof/>
                <w:sz w:val="22"/>
              </w:rPr>
              <w:t>NON</w:t>
            </w:r>
          </w:p>
        </w:tc>
        <w:tc>
          <w:tcPr>
            <w:tcW w:w="1134" w:type="dxa"/>
            <w:vAlign w:val="center"/>
          </w:tcPr>
          <w:p w:rsidR="00435CFF" w:rsidRDefault="00BC16BC">
            <w:pPr>
              <w:jc w:val="center"/>
              <w:rPr>
                <w:noProof/>
                <w:sz w:val="22"/>
              </w:rPr>
            </w:pPr>
            <w:r>
              <w:rPr>
                <w:noProof/>
                <w:sz w:val="22"/>
              </w:rPr>
              <w:t>NON</w:t>
            </w:r>
          </w:p>
        </w:tc>
        <w:tc>
          <w:tcPr>
            <w:tcW w:w="814" w:type="dxa"/>
            <w:vAlign w:val="center"/>
          </w:tcPr>
          <w:p w:rsidR="00435CFF" w:rsidRDefault="00BC16BC">
            <w:pPr>
              <w:jc w:val="center"/>
              <w:rPr>
                <w:noProof/>
                <w:sz w:val="22"/>
              </w:rPr>
            </w:pPr>
            <w:r>
              <w:rPr>
                <w:noProof/>
                <w:sz w:val="22"/>
              </w:rPr>
              <w:t>NON</w:t>
            </w:r>
          </w:p>
        </w:tc>
        <w:tc>
          <w:tcPr>
            <w:tcW w:w="1448" w:type="dxa"/>
            <w:vAlign w:val="center"/>
          </w:tcPr>
          <w:p w:rsidR="00435CFF" w:rsidRDefault="00BC16BC">
            <w:pPr>
              <w:jc w:val="center"/>
              <w:rPr>
                <w:noProof/>
                <w:sz w:val="22"/>
              </w:rPr>
            </w:pPr>
            <w:r>
              <w:rPr>
                <w:noProof/>
                <w:sz w:val="22"/>
              </w:rPr>
              <w:t>NON</w:t>
            </w:r>
          </w:p>
        </w:tc>
      </w:tr>
      <w:tr w:rsidR="00435CFF">
        <w:tc>
          <w:tcPr>
            <w:tcW w:w="1080" w:type="dxa"/>
            <w:vAlign w:val="center"/>
          </w:tcPr>
          <w:p w:rsidR="00435CFF" w:rsidRDefault="00435CFF">
            <w:pPr>
              <w:jc w:val="center"/>
              <w:rPr>
                <w:noProof/>
              </w:rPr>
            </w:pPr>
          </w:p>
        </w:tc>
        <w:tc>
          <w:tcPr>
            <w:tcW w:w="3960" w:type="dxa"/>
            <w:vAlign w:val="center"/>
          </w:tcPr>
          <w:p w:rsidR="00435CFF" w:rsidRDefault="00BC16BC">
            <w:pPr>
              <w:rPr>
                <w:b/>
                <w:noProof/>
              </w:rPr>
            </w:pPr>
            <w:r>
              <w:rPr>
                <w:b/>
                <w:noProof/>
                <w:sz w:val="20"/>
              </w:rPr>
              <w:t>Rubrique 6. Voisinage et le monde</w:t>
            </w:r>
          </w:p>
        </w:tc>
        <w:tc>
          <w:tcPr>
            <w:tcW w:w="1080" w:type="dxa"/>
            <w:vAlign w:val="center"/>
          </w:tcPr>
          <w:p w:rsidR="00435CFF" w:rsidRDefault="00BC16BC">
            <w:pPr>
              <w:jc w:val="center"/>
              <w:rPr>
                <w:noProof/>
              </w:rPr>
            </w:pPr>
            <w:r>
              <w:rPr>
                <w:noProof/>
                <w:sz w:val="18"/>
                <w:szCs w:val="18"/>
              </w:rPr>
              <w:t>CD/CND</w:t>
            </w:r>
            <w:r>
              <w:rPr>
                <w:rStyle w:val="FootnoteReference"/>
                <w:noProof/>
              </w:rPr>
              <w:footnoteReference w:id="12"/>
            </w:r>
            <w:r>
              <w:rPr>
                <w:noProof/>
              </w:rPr>
              <w:t>.</w:t>
            </w:r>
          </w:p>
        </w:tc>
        <w:tc>
          <w:tcPr>
            <w:tcW w:w="1044" w:type="dxa"/>
            <w:vAlign w:val="center"/>
          </w:tcPr>
          <w:p w:rsidR="00435CFF" w:rsidRDefault="00BC16BC">
            <w:pPr>
              <w:jc w:val="center"/>
              <w:rPr>
                <w:noProof/>
              </w:rPr>
            </w:pPr>
            <w:r>
              <w:rPr>
                <w:noProof/>
                <w:sz w:val="18"/>
                <w:szCs w:val="18"/>
              </w:rPr>
              <w:t>de pays AELE</w:t>
            </w:r>
            <w:r>
              <w:rPr>
                <w:rStyle w:val="FootnoteReference"/>
                <w:noProof/>
              </w:rPr>
              <w:footnoteReference w:id="13"/>
            </w:r>
          </w:p>
          <w:p w:rsidR="00435CFF" w:rsidRDefault="00435CFF">
            <w:pPr>
              <w:spacing w:before="0" w:after="0"/>
              <w:jc w:val="center"/>
              <w:rPr>
                <w:b/>
                <w:noProof/>
                <w:sz w:val="18"/>
              </w:rPr>
            </w:pPr>
          </w:p>
        </w:tc>
        <w:tc>
          <w:tcPr>
            <w:tcW w:w="1134" w:type="dxa"/>
            <w:vAlign w:val="center"/>
          </w:tcPr>
          <w:p w:rsidR="00435CFF" w:rsidRDefault="00BC16BC">
            <w:pPr>
              <w:jc w:val="center"/>
              <w:rPr>
                <w:noProof/>
              </w:rPr>
            </w:pPr>
            <w:r>
              <w:rPr>
                <w:noProof/>
                <w:sz w:val="18"/>
                <w:szCs w:val="18"/>
              </w:rPr>
              <w:t>de pays candidats</w:t>
            </w:r>
            <w:r>
              <w:rPr>
                <w:rStyle w:val="FootnoteReference"/>
                <w:noProof/>
              </w:rPr>
              <w:footnoteReference w:id="14"/>
            </w:r>
          </w:p>
          <w:p w:rsidR="00435CFF" w:rsidRDefault="00435CFF">
            <w:pPr>
              <w:spacing w:before="0" w:after="0"/>
              <w:jc w:val="center"/>
              <w:rPr>
                <w:noProof/>
                <w:sz w:val="18"/>
              </w:rPr>
            </w:pPr>
          </w:p>
        </w:tc>
        <w:tc>
          <w:tcPr>
            <w:tcW w:w="814" w:type="dxa"/>
            <w:vAlign w:val="center"/>
          </w:tcPr>
          <w:p w:rsidR="00435CFF" w:rsidRDefault="00BC16BC">
            <w:pPr>
              <w:jc w:val="center"/>
              <w:rPr>
                <w:noProof/>
                <w:sz w:val="18"/>
              </w:rPr>
            </w:pPr>
            <w:r>
              <w:rPr>
                <w:noProof/>
                <w:sz w:val="18"/>
              </w:rPr>
              <w:t>de pays tiers</w:t>
            </w:r>
          </w:p>
        </w:tc>
        <w:tc>
          <w:tcPr>
            <w:tcW w:w="1448" w:type="dxa"/>
            <w:vAlign w:val="center"/>
          </w:tcPr>
          <w:p w:rsidR="00435CFF" w:rsidRDefault="00BC16BC">
            <w:pPr>
              <w:jc w:val="center"/>
              <w:rPr>
                <w:noProof/>
              </w:rPr>
            </w:pPr>
            <w:r>
              <w:rPr>
                <w:noProof/>
                <w:sz w:val="16"/>
              </w:rPr>
              <w:t xml:space="preserve">au sens de l'article [21, paragraphe 2, point b),] du règlement financier </w:t>
            </w:r>
          </w:p>
        </w:tc>
      </w:tr>
      <w:tr w:rsidR="00435CFF">
        <w:tc>
          <w:tcPr>
            <w:tcW w:w="1080" w:type="dxa"/>
            <w:vAlign w:val="center"/>
          </w:tcPr>
          <w:p w:rsidR="00435CFF" w:rsidRDefault="00BC16BC">
            <w:pPr>
              <w:jc w:val="center"/>
              <w:rPr>
                <w:noProof/>
                <w:color w:val="0000FF"/>
              </w:rPr>
            </w:pPr>
            <w:r>
              <w:rPr>
                <w:noProof/>
                <w:color w:val="0000FF"/>
              </w:rPr>
              <w:t>6</w:t>
            </w:r>
          </w:p>
        </w:tc>
        <w:tc>
          <w:tcPr>
            <w:tcW w:w="3960" w:type="dxa"/>
            <w:vAlign w:val="center"/>
          </w:tcPr>
          <w:p w:rsidR="00435CFF" w:rsidRDefault="00BC16BC">
            <w:pPr>
              <w:spacing w:before="60"/>
              <w:rPr>
                <w:noProof/>
                <w:color w:val="0000FF"/>
                <w:sz w:val="22"/>
              </w:rPr>
            </w:pPr>
            <w:r>
              <w:rPr>
                <w:noProof/>
                <w:color w:val="0000FF"/>
                <w:sz w:val="22"/>
              </w:rPr>
              <w:t xml:space="preserve">15 01 01 Dépenses d’appui pour l’instrument de </w:t>
            </w:r>
            <w:r>
              <w:rPr>
                <w:noProof/>
                <w:color w:val="0000FF"/>
                <w:sz w:val="22"/>
              </w:rPr>
              <w:t>voisinage, de coopération au développement et de coopération internationale</w:t>
            </w:r>
          </w:p>
          <w:p w:rsidR="00435CFF" w:rsidRDefault="00435CFF">
            <w:pPr>
              <w:spacing w:after="60"/>
              <w:rPr>
                <w:noProof/>
              </w:rPr>
            </w:pPr>
          </w:p>
        </w:tc>
        <w:tc>
          <w:tcPr>
            <w:tcW w:w="1080" w:type="dxa"/>
            <w:vAlign w:val="center"/>
          </w:tcPr>
          <w:p w:rsidR="00435CFF" w:rsidRDefault="00BC16BC">
            <w:pPr>
              <w:jc w:val="center"/>
              <w:rPr>
                <w:noProof/>
                <w:color w:val="0000FF"/>
              </w:rPr>
            </w:pPr>
            <w:r>
              <w:rPr>
                <w:noProof/>
                <w:sz w:val="22"/>
              </w:rPr>
              <w:t>CND</w:t>
            </w:r>
          </w:p>
        </w:tc>
        <w:tc>
          <w:tcPr>
            <w:tcW w:w="1044" w:type="dxa"/>
            <w:vAlign w:val="center"/>
          </w:tcPr>
          <w:p w:rsidR="00435CFF" w:rsidRDefault="00BC16BC">
            <w:pPr>
              <w:jc w:val="center"/>
              <w:rPr>
                <w:noProof/>
              </w:rPr>
            </w:pPr>
            <w:r>
              <w:rPr>
                <w:noProof/>
                <w:sz w:val="22"/>
              </w:rPr>
              <w:t>NON</w:t>
            </w:r>
          </w:p>
        </w:tc>
        <w:tc>
          <w:tcPr>
            <w:tcW w:w="1134" w:type="dxa"/>
            <w:vAlign w:val="center"/>
          </w:tcPr>
          <w:p w:rsidR="00435CFF" w:rsidRDefault="00BC16BC">
            <w:pPr>
              <w:jc w:val="center"/>
              <w:rPr>
                <w:noProof/>
              </w:rPr>
            </w:pPr>
            <w:r>
              <w:rPr>
                <w:noProof/>
                <w:sz w:val="22"/>
              </w:rPr>
              <w:t>NON</w:t>
            </w:r>
          </w:p>
        </w:tc>
        <w:tc>
          <w:tcPr>
            <w:tcW w:w="814" w:type="dxa"/>
            <w:vAlign w:val="center"/>
          </w:tcPr>
          <w:p w:rsidR="00435CFF" w:rsidRDefault="00BC16BC">
            <w:pPr>
              <w:jc w:val="center"/>
              <w:rPr>
                <w:noProof/>
              </w:rPr>
            </w:pPr>
            <w:r>
              <w:rPr>
                <w:noProof/>
                <w:sz w:val="22"/>
              </w:rPr>
              <w:t>NON</w:t>
            </w:r>
          </w:p>
        </w:tc>
        <w:tc>
          <w:tcPr>
            <w:tcW w:w="1448" w:type="dxa"/>
            <w:vAlign w:val="center"/>
          </w:tcPr>
          <w:p w:rsidR="00435CFF" w:rsidRDefault="00BC16BC">
            <w:pPr>
              <w:jc w:val="center"/>
              <w:rPr>
                <w:noProof/>
              </w:rPr>
            </w:pPr>
            <w:r>
              <w:rPr>
                <w:noProof/>
                <w:sz w:val="22"/>
              </w:rPr>
              <w:t>NON</w:t>
            </w:r>
          </w:p>
        </w:tc>
      </w:tr>
      <w:tr w:rsidR="00435CFF">
        <w:tc>
          <w:tcPr>
            <w:tcW w:w="1080" w:type="dxa"/>
            <w:vAlign w:val="center"/>
          </w:tcPr>
          <w:p w:rsidR="00435CFF" w:rsidRDefault="00BC16BC">
            <w:pPr>
              <w:jc w:val="center"/>
              <w:rPr>
                <w:noProof/>
                <w:color w:val="0000FF"/>
              </w:rPr>
            </w:pPr>
            <w:r>
              <w:rPr>
                <w:noProof/>
                <w:color w:val="0000FF"/>
              </w:rPr>
              <w:t>6</w:t>
            </w:r>
          </w:p>
        </w:tc>
        <w:tc>
          <w:tcPr>
            <w:tcW w:w="3960" w:type="dxa"/>
            <w:vAlign w:val="center"/>
          </w:tcPr>
          <w:p w:rsidR="00435CFF" w:rsidRDefault="00BC16BC">
            <w:pPr>
              <w:spacing w:before="60"/>
              <w:rPr>
                <w:noProof/>
                <w:color w:val="0000FF"/>
                <w:sz w:val="22"/>
              </w:rPr>
            </w:pPr>
            <w:r>
              <w:rPr>
                <w:noProof/>
                <w:color w:val="0000FF"/>
                <w:sz w:val="22"/>
              </w:rPr>
              <w:t>15 02 01 07 Provisionnement de la garantie pour l’action extérieure au titre de l’instrument de l'Union européenne pour la relance</w:t>
            </w:r>
          </w:p>
        </w:tc>
        <w:tc>
          <w:tcPr>
            <w:tcW w:w="1080" w:type="dxa"/>
            <w:vAlign w:val="center"/>
          </w:tcPr>
          <w:p w:rsidR="00435CFF" w:rsidRDefault="00BC16BC">
            <w:pPr>
              <w:jc w:val="center"/>
              <w:rPr>
                <w:noProof/>
                <w:sz w:val="22"/>
              </w:rPr>
            </w:pPr>
            <w:r>
              <w:rPr>
                <w:noProof/>
                <w:sz w:val="22"/>
              </w:rPr>
              <w:t>CD</w:t>
            </w:r>
          </w:p>
        </w:tc>
        <w:tc>
          <w:tcPr>
            <w:tcW w:w="1044" w:type="dxa"/>
            <w:vAlign w:val="center"/>
          </w:tcPr>
          <w:p w:rsidR="00435CFF" w:rsidRDefault="00BC16BC">
            <w:pPr>
              <w:jc w:val="center"/>
              <w:rPr>
                <w:noProof/>
                <w:sz w:val="22"/>
              </w:rPr>
            </w:pPr>
            <w:r>
              <w:rPr>
                <w:noProof/>
                <w:sz w:val="22"/>
              </w:rPr>
              <w:t>OUI</w:t>
            </w:r>
          </w:p>
        </w:tc>
        <w:tc>
          <w:tcPr>
            <w:tcW w:w="1134" w:type="dxa"/>
            <w:vAlign w:val="center"/>
          </w:tcPr>
          <w:p w:rsidR="00435CFF" w:rsidRDefault="00BC16BC">
            <w:pPr>
              <w:jc w:val="center"/>
              <w:rPr>
                <w:noProof/>
                <w:sz w:val="22"/>
              </w:rPr>
            </w:pPr>
            <w:r>
              <w:rPr>
                <w:noProof/>
                <w:sz w:val="22"/>
              </w:rPr>
              <w:t>OUI</w:t>
            </w:r>
          </w:p>
        </w:tc>
        <w:tc>
          <w:tcPr>
            <w:tcW w:w="814" w:type="dxa"/>
            <w:vAlign w:val="center"/>
          </w:tcPr>
          <w:p w:rsidR="00435CFF" w:rsidRDefault="00BC16BC">
            <w:pPr>
              <w:jc w:val="center"/>
              <w:rPr>
                <w:noProof/>
                <w:sz w:val="22"/>
              </w:rPr>
            </w:pPr>
            <w:r>
              <w:rPr>
                <w:noProof/>
                <w:sz w:val="22"/>
              </w:rPr>
              <w:t>OUI</w:t>
            </w:r>
          </w:p>
        </w:tc>
        <w:tc>
          <w:tcPr>
            <w:tcW w:w="1448" w:type="dxa"/>
            <w:vAlign w:val="center"/>
          </w:tcPr>
          <w:p w:rsidR="00435CFF" w:rsidRDefault="00BC16BC">
            <w:pPr>
              <w:jc w:val="center"/>
              <w:rPr>
                <w:noProof/>
                <w:sz w:val="22"/>
              </w:rPr>
            </w:pPr>
            <w:r>
              <w:rPr>
                <w:noProof/>
                <w:sz w:val="22"/>
              </w:rPr>
              <w:t>NON</w:t>
            </w:r>
          </w:p>
        </w:tc>
      </w:tr>
    </w:tbl>
    <w:p w:rsidR="00435CFF" w:rsidRDefault="00435CFF">
      <w:pPr>
        <w:rPr>
          <w:noProof/>
        </w:rPr>
        <w:sectPr w:rsidR="00435CFF">
          <w:pgSz w:w="11907" w:h="16840" w:code="1"/>
          <w:pgMar w:top="1134" w:right="1418" w:bottom="1134" w:left="1418" w:header="709" w:footer="709" w:gutter="0"/>
          <w:cols w:space="708"/>
          <w:docGrid w:linePitch="360"/>
        </w:sectPr>
      </w:pPr>
    </w:p>
    <w:p w:rsidR="00435CFF" w:rsidRDefault="00BC16BC">
      <w:pPr>
        <w:keepNext/>
        <w:outlineLvl w:val="1"/>
        <w:rPr>
          <w:rFonts w:eastAsiaTheme="majorEastAsia"/>
          <w:b/>
          <w:noProof/>
          <w:szCs w:val="24"/>
        </w:rPr>
      </w:pPr>
      <w:bookmarkStart w:id="52" w:name="_Toc514941991"/>
      <w:bookmarkStart w:id="53" w:name="_Toc40376077"/>
      <w:r>
        <w:rPr>
          <w:b/>
          <w:bCs/>
          <w:noProof/>
          <w:szCs w:val="26"/>
        </w:rPr>
        <w:t>Incidence estimée sur les dépenses</w:t>
      </w:r>
      <w:bookmarkEnd w:id="52"/>
      <w:bookmarkEnd w:id="53"/>
      <w:r>
        <w:rPr>
          <w:b/>
          <w:bCs/>
          <w:noProof/>
          <w:szCs w:val="26"/>
        </w:rPr>
        <w:t xml:space="preserve"> </w:t>
      </w:r>
    </w:p>
    <w:p w:rsidR="00435CFF" w:rsidRDefault="00BC16BC">
      <w:pPr>
        <w:keepNext/>
        <w:outlineLvl w:val="2"/>
        <w:rPr>
          <w:rFonts w:eastAsiaTheme="majorEastAsia"/>
          <w:bCs/>
          <w:i/>
          <w:noProof/>
          <w:u w:val="single"/>
        </w:rPr>
      </w:pPr>
      <w:bookmarkStart w:id="54" w:name="_Toc514941992"/>
      <w:bookmarkStart w:id="55" w:name="_Toc40376078"/>
      <w:r>
        <w:rPr>
          <w:bCs/>
          <w:i/>
          <w:noProof/>
        </w:rPr>
        <w:t>Synthèse de l'incidence estimée sur les dépenses</w:t>
      </w:r>
      <w:bookmarkEnd w:id="54"/>
      <w:bookmarkEnd w:id="55"/>
      <w:r>
        <w:rPr>
          <w:bCs/>
          <w:i/>
          <w:noProof/>
        </w:rPr>
        <w:t xml:space="preserve"> </w:t>
      </w:r>
    </w:p>
    <w:p w:rsidR="00435CFF" w:rsidRDefault="00BC16BC">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35CFF">
        <w:trPr>
          <w:jc w:val="center"/>
        </w:trPr>
        <w:tc>
          <w:tcPr>
            <w:tcW w:w="4744" w:type="dxa"/>
            <w:shd w:val="clear" w:color="auto" w:fill="auto"/>
            <w:vAlign w:val="center"/>
          </w:tcPr>
          <w:p w:rsidR="00435CFF" w:rsidRDefault="00BC16BC">
            <w:pPr>
              <w:spacing w:before="60" w:after="60"/>
              <w:jc w:val="center"/>
              <w:rPr>
                <w:b/>
                <w:noProof/>
              </w:rPr>
            </w:pPr>
            <w:r>
              <w:rPr>
                <w:b/>
                <w:noProof/>
                <w:sz w:val="22"/>
              </w:rPr>
              <w:t>Rubrique du cadre financier</w:t>
            </w:r>
            <w:r>
              <w:rPr>
                <w:noProof/>
              </w:rPr>
              <w:br/>
            </w:r>
            <w:r>
              <w:rPr>
                <w:b/>
                <w:noProof/>
                <w:sz w:val="22"/>
              </w:rPr>
              <w:t xml:space="preserve">pluriannuel </w:t>
            </w:r>
          </w:p>
        </w:tc>
        <w:tc>
          <w:tcPr>
            <w:tcW w:w="1080" w:type="dxa"/>
            <w:vAlign w:val="center"/>
          </w:tcPr>
          <w:p w:rsidR="00435CFF" w:rsidRDefault="00BC16BC">
            <w:pPr>
              <w:spacing w:before="60" w:after="60"/>
              <w:jc w:val="center"/>
              <w:rPr>
                <w:noProof/>
              </w:rPr>
            </w:pPr>
            <w:r>
              <w:rPr>
                <w:b/>
                <w:noProof/>
                <w:sz w:val="22"/>
              </w:rPr>
              <w:t>&lt; 1, 3 &amp; 6 &gt;</w:t>
            </w:r>
          </w:p>
        </w:tc>
        <w:tc>
          <w:tcPr>
            <w:tcW w:w="7817" w:type="dxa"/>
            <w:vAlign w:val="center"/>
          </w:tcPr>
          <w:p w:rsidR="00435CFF" w:rsidRDefault="00BC16BC">
            <w:pPr>
              <w:spacing w:before="60" w:after="60"/>
              <w:jc w:val="left"/>
              <w:rPr>
                <w:noProof/>
              </w:rPr>
            </w:pPr>
            <w:r>
              <w:rPr>
                <w:noProof/>
                <w:color w:val="0000FF"/>
                <w:sz w:val="22"/>
              </w:rPr>
              <w:t xml:space="preserve"> </w:t>
            </w:r>
            <w:r>
              <w:rPr>
                <w:noProof/>
                <w:sz w:val="22"/>
              </w:rPr>
              <w:t xml:space="preserve">[Rubrique 1 - Marché unique, innovation et numérique, </w:t>
            </w:r>
            <w:r>
              <w:rPr>
                <w:noProof/>
                <w:sz w:val="22"/>
              </w:rPr>
              <w:t>rubrique 3 - Ressources naturelles et environnement, rubrique 6 - Voisinage et le monde]</w:t>
            </w:r>
          </w:p>
        </w:tc>
      </w:tr>
    </w:tbl>
    <w:p w:rsidR="00435CFF" w:rsidRDefault="00435CFF">
      <w:pPr>
        <w:rPr>
          <w:i/>
          <w:iCs/>
          <w:noProof/>
        </w:rPr>
      </w:pPr>
    </w:p>
    <w:p w:rsidR="00435CFF" w:rsidRDefault="00BC16BC">
      <w:pPr>
        <w:rPr>
          <w:i/>
          <w:noProof/>
        </w:rPr>
      </w:pPr>
      <w:r>
        <w:rPr>
          <w:i/>
          <w:noProof/>
        </w:rPr>
        <w:t>Outre l’enveloppe financière définie à l’article 9 de la proposition de règlement COM(2018) 435 («règlement portant établissement du programme-cadre “Horizon Europe”</w:t>
      </w:r>
      <w:r>
        <w:rPr>
          <w:i/>
          <w:noProof/>
        </w:rPr>
        <w:t>») et à l’article 4 de la proposition de décision relative au programme spécifique «Horizon Europe», un montant de 14 647 millions d’EUR (aux prix courants) sera mis à disposition en tant que recettes affectées externes, au sens de l’article 21, paragraphe</w:t>
      </w:r>
      <w:r>
        <w:rPr>
          <w:i/>
          <w:noProof/>
        </w:rPr>
        <w:t xml:space="preserve"> 5, du règlement financier, sous la forme d’un financement au titre de l’instrument de l’Union européenne pour la relance.</w:t>
      </w:r>
      <w:r>
        <w:rPr>
          <w:i/>
          <w:iCs/>
          <w:noProof/>
        </w:rPr>
        <w:t xml:space="preserve"> De cette somme, un montant maximal de 689,160 millions d’EUR peut être consacré aux dépenses administratives, y compris les frais de </w:t>
      </w:r>
      <w:r>
        <w:rPr>
          <w:i/>
          <w:iCs/>
          <w:noProof/>
        </w:rPr>
        <w:t>personnel externe.</w:t>
      </w:r>
    </w:p>
    <w:p w:rsidR="00435CFF" w:rsidRDefault="00BC16BC">
      <w:pPr>
        <w:rPr>
          <w:i/>
          <w:noProof/>
        </w:rPr>
      </w:pPr>
      <w:r>
        <w:rPr>
          <w:i/>
          <w:noProof/>
        </w:rPr>
        <w:t>La ventilation indicative des dépenses financées par des recettes affectées externes est la suivante:</w:t>
      </w:r>
    </w:p>
    <w:p w:rsidR="00435CFF" w:rsidRDefault="00435CFF">
      <w:pPr>
        <w:rPr>
          <w:i/>
          <w:noProof/>
        </w:rPr>
      </w:pPr>
    </w:p>
    <w:p w:rsidR="00435CFF" w:rsidRDefault="00435CFF">
      <w:pPr>
        <w:rPr>
          <w:i/>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88"/>
        <w:gridCol w:w="540"/>
        <w:gridCol w:w="1049"/>
        <w:gridCol w:w="990"/>
        <w:gridCol w:w="990"/>
        <w:gridCol w:w="976"/>
        <w:gridCol w:w="1004"/>
        <w:gridCol w:w="990"/>
        <w:gridCol w:w="990"/>
        <w:gridCol w:w="1033"/>
        <w:gridCol w:w="1127"/>
      </w:tblGrid>
      <w:tr w:rsidR="00435CFF">
        <w:tc>
          <w:tcPr>
            <w:tcW w:w="3510" w:type="dxa"/>
            <w:vAlign w:val="center"/>
          </w:tcPr>
          <w:p w:rsidR="00435CFF" w:rsidRDefault="00BC16BC">
            <w:pPr>
              <w:jc w:val="center"/>
              <w:rPr>
                <w:noProof/>
              </w:rPr>
            </w:pPr>
            <w:r>
              <w:rPr>
                <w:noProof/>
                <w:sz w:val="22"/>
              </w:rPr>
              <w:t>[Horizon Europe]</w:t>
            </w:r>
          </w:p>
        </w:tc>
        <w:tc>
          <w:tcPr>
            <w:tcW w:w="1388" w:type="dxa"/>
          </w:tcPr>
          <w:p w:rsidR="00435CFF" w:rsidRDefault="00435CFF">
            <w:pPr>
              <w:rPr>
                <w:noProof/>
                <w:sz w:val="20"/>
              </w:rPr>
            </w:pPr>
          </w:p>
        </w:tc>
        <w:tc>
          <w:tcPr>
            <w:tcW w:w="540" w:type="dxa"/>
          </w:tcPr>
          <w:p w:rsidR="00435CFF" w:rsidRDefault="00435CFF">
            <w:pPr>
              <w:jc w:val="center"/>
              <w:rPr>
                <w:noProof/>
                <w:sz w:val="20"/>
              </w:rPr>
            </w:pPr>
          </w:p>
        </w:tc>
        <w:tc>
          <w:tcPr>
            <w:tcW w:w="1049" w:type="dxa"/>
            <w:vAlign w:val="center"/>
          </w:tcPr>
          <w:p w:rsidR="00435CFF" w:rsidRDefault="00BC16BC">
            <w:pPr>
              <w:jc w:val="center"/>
              <w:rPr>
                <w:noProof/>
                <w:sz w:val="20"/>
              </w:rPr>
            </w:pPr>
            <w:r>
              <w:rPr>
                <w:b/>
                <w:noProof/>
                <w:sz w:val="20"/>
              </w:rPr>
              <w:t>2021</w:t>
            </w:r>
          </w:p>
        </w:tc>
        <w:tc>
          <w:tcPr>
            <w:tcW w:w="990" w:type="dxa"/>
            <w:vAlign w:val="center"/>
          </w:tcPr>
          <w:p w:rsidR="00435CFF" w:rsidRDefault="00BC16BC">
            <w:pPr>
              <w:jc w:val="center"/>
              <w:rPr>
                <w:noProof/>
                <w:sz w:val="20"/>
              </w:rPr>
            </w:pPr>
            <w:r>
              <w:rPr>
                <w:b/>
                <w:noProof/>
                <w:sz w:val="20"/>
              </w:rPr>
              <w:t>2022</w:t>
            </w:r>
          </w:p>
        </w:tc>
        <w:tc>
          <w:tcPr>
            <w:tcW w:w="990" w:type="dxa"/>
            <w:vAlign w:val="center"/>
          </w:tcPr>
          <w:p w:rsidR="00435CFF" w:rsidRDefault="00BC16BC">
            <w:pPr>
              <w:jc w:val="center"/>
              <w:rPr>
                <w:noProof/>
                <w:sz w:val="20"/>
              </w:rPr>
            </w:pPr>
            <w:r>
              <w:rPr>
                <w:b/>
                <w:noProof/>
                <w:sz w:val="20"/>
              </w:rPr>
              <w:t>2023</w:t>
            </w:r>
          </w:p>
        </w:tc>
        <w:tc>
          <w:tcPr>
            <w:tcW w:w="976" w:type="dxa"/>
            <w:vAlign w:val="center"/>
          </w:tcPr>
          <w:p w:rsidR="00435CFF" w:rsidRDefault="00BC16BC">
            <w:pPr>
              <w:jc w:val="center"/>
              <w:rPr>
                <w:noProof/>
                <w:sz w:val="20"/>
              </w:rPr>
            </w:pPr>
            <w:r>
              <w:rPr>
                <w:b/>
                <w:noProof/>
                <w:sz w:val="20"/>
              </w:rPr>
              <w:t>2024</w:t>
            </w:r>
          </w:p>
        </w:tc>
        <w:tc>
          <w:tcPr>
            <w:tcW w:w="1004" w:type="dxa"/>
            <w:vAlign w:val="center"/>
          </w:tcPr>
          <w:p w:rsidR="00435CFF" w:rsidRDefault="00BC16BC">
            <w:pPr>
              <w:jc w:val="center"/>
              <w:rPr>
                <w:b/>
                <w:noProof/>
                <w:sz w:val="20"/>
              </w:rPr>
            </w:pPr>
            <w:r>
              <w:rPr>
                <w:b/>
                <w:noProof/>
                <w:sz w:val="20"/>
              </w:rPr>
              <w:t>2025</w:t>
            </w:r>
          </w:p>
        </w:tc>
        <w:tc>
          <w:tcPr>
            <w:tcW w:w="990" w:type="dxa"/>
            <w:vAlign w:val="center"/>
          </w:tcPr>
          <w:p w:rsidR="00435CFF" w:rsidRDefault="00BC16BC">
            <w:pPr>
              <w:jc w:val="center"/>
              <w:rPr>
                <w:b/>
                <w:noProof/>
                <w:sz w:val="20"/>
              </w:rPr>
            </w:pPr>
            <w:r>
              <w:rPr>
                <w:b/>
                <w:noProof/>
                <w:sz w:val="20"/>
              </w:rPr>
              <w:t>2026</w:t>
            </w:r>
          </w:p>
        </w:tc>
        <w:tc>
          <w:tcPr>
            <w:tcW w:w="990" w:type="dxa"/>
            <w:vAlign w:val="center"/>
          </w:tcPr>
          <w:p w:rsidR="00435CFF" w:rsidRDefault="00BC16BC">
            <w:pPr>
              <w:jc w:val="center"/>
              <w:rPr>
                <w:b/>
                <w:noProof/>
                <w:sz w:val="20"/>
              </w:rPr>
            </w:pPr>
            <w:r>
              <w:rPr>
                <w:b/>
                <w:noProof/>
                <w:sz w:val="20"/>
              </w:rPr>
              <w:t>2027</w:t>
            </w:r>
          </w:p>
        </w:tc>
        <w:tc>
          <w:tcPr>
            <w:tcW w:w="1033" w:type="dxa"/>
          </w:tcPr>
          <w:p w:rsidR="00435CFF" w:rsidRDefault="00BC16BC">
            <w:pPr>
              <w:jc w:val="center"/>
              <w:rPr>
                <w:b/>
                <w:noProof/>
                <w:sz w:val="20"/>
              </w:rPr>
            </w:pPr>
            <w:r>
              <w:rPr>
                <w:b/>
                <w:i/>
                <w:noProof/>
                <w:sz w:val="20"/>
              </w:rPr>
              <w:t>Après 2027</w:t>
            </w:r>
          </w:p>
        </w:tc>
        <w:tc>
          <w:tcPr>
            <w:tcW w:w="1127" w:type="dxa"/>
            <w:vAlign w:val="center"/>
          </w:tcPr>
          <w:p w:rsidR="00435CFF" w:rsidRDefault="00BC16BC">
            <w:pPr>
              <w:jc w:val="center"/>
              <w:rPr>
                <w:b/>
                <w:noProof/>
                <w:sz w:val="20"/>
              </w:rPr>
            </w:pPr>
            <w:r>
              <w:rPr>
                <w:b/>
                <w:noProof/>
                <w:sz w:val="20"/>
              </w:rPr>
              <w:t>TOTAL</w:t>
            </w:r>
          </w:p>
        </w:tc>
      </w:tr>
      <w:tr w:rsidR="00435CFF">
        <w:tc>
          <w:tcPr>
            <w:tcW w:w="3510" w:type="dxa"/>
            <w:vMerge w:val="restart"/>
            <w:tcBorders>
              <w:top w:val="single" w:sz="4" w:space="0" w:color="auto"/>
              <w:left w:val="single" w:sz="4" w:space="0" w:color="auto"/>
              <w:right w:val="single" w:sz="4" w:space="0" w:color="auto"/>
            </w:tcBorders>
            <w:vAlign w:val="center"/>
          </w:tcPr>
          <w:p w:rsidR="00435CFF" w:rsidRDefault="00BC16BC">
            <w:pPr>
              <w:jc w:val="center"/>
              <w:rPr>
                <w:noProof/>
                <w:sz w:val="22"/>
              </w:rPr>
            </w:pPr>
            <w:r>
              <w:rPr>
                <w:noProof/>
                <w:sz w:val="22"/>
              </w:rPr>
              <w:t>Dépenses opérationnelles financées par des recettes affectées</w:t>
            </w:r>
            <w:r>
              <w:rPr>
                <w:noProof/>
                <w:sz w:val="22"/>
              </w:rPr>
              <w:t xml:space="preserve"> externes au titre de l’instrument de l'Union européenne pour la relance</w:t>
            </w: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rPr>
            </w:pPr>
            <w:r>
              <w:rPr>
                <w:noProof/>
                <w:sz w:val="20"/>
              </w:rPr>
              <w:t>Engagements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rPr>
            </w:pPr>
            <w:r>
              <w:rPr>
                <w:noProof/>
                <w:sz w:val="14"/>
              </w:rPr>
              <w:t>(1)</w:t>
            </w:r>
          </w:p>
        </w:tc>
        <w:tc>
          <w:tcPr>
            <w:tcW w:w="1049"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4 919,020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4 739,320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2 558,890</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1 740,610</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rPr>
            </w:pPr>
          </w:p>
        </w:tc>
        <w:tc>
          <w:tcPr>
            <w:tcW w:w="1033" w:type="dxa"/>
            <w:tcBorders>
              <w:top w:val="single" w:sz="4" w:space="0" w:color="auto"/>
              <w:left w:val="single" w:sz="4" w:space="0" w:color="auto"/>
              <w:bottom w:val="single" w:sz="4" w:space="0" w:color="auto"/>
              <w:right w:val="single" w:sz="4" w:space="0" w:color="auto"/>
            </w:tcBorders>
          </w:tcPr>
          <w:p w:rsidR="00435CFF" w:rsidRDefault="00435CFF">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13 957,840</w:t>
            </w:r>
          </w:p>
        </w:tc>
      </w:tr>
      <w:tr w:rsidR="00435CFF">
        <w:tc>
          <w:tcPr>
            <w:tcW w:w="3510" w:type="dxa"/>
            <w:vMerge/>
            <w:tcBorders>
              <w:left w:val="single" w:sz="4" w:space="0" w:color="auto"/>
              <w:bottom w:val="single" w:sz="4" w:space="0" w:color="auto"/>
              <w:right w:val="single" w:sz="4" w:space="0" w:color="auto"/>
            </w:tcBorders>
            <w:vAlign w:val="center"/>
          </w:tcPr>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rPr>
            </w:pPr>
            <w:r>
              <w:rPr>
                <w:noProof/>
                <w:sz w:val="14"/>
              </w:rPr>
              <w:t>(2)</w:t>
            </w:r>
          </w:p>
        </w:tc>
        <w:tc>
          <w:tcPr>
            <w:tcW w:w="1049"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433,668</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3 479,853</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2 708,187</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2 475,285</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1 978,160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1 860,712</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909,443</w:t>
            </w:r>
          </w:p>
        </w:tc>
        <w:tc>
          <w:tcPr>
            <w:tcW w:w="1033"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13 957,840</w:t>
            </w:r>
          </w:p>
        </w:tc>
      </w:tr>
      <w:tr w:rsidR="00435CFF">
        <w:tc>
          <w:tcPr>
            <w:tcW w:w="351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noProof/>
                <w:sz w:val="22"/>
              </w:rPr>
            </w:pPr>
            <w:r>
              <w:rPr>
                <w:noProof/>
                <w:sz w:val="22"/>
              </w:rPr>
              <w:t xml:space="preserve">Dépenses </w:t>
            </w:r>
            <w:r>
              <w:rPr>
                <w:noProof/>
                <w:sz w:val="22"/>
              </w:rPr>
              <w:t>d’appui administratif financées par des recettes affectées externes au titre de l’instrument de l'Union européenne pour la relance</w:t>
            </w:r>
          </w:p>
        </w:tc>
        <w:tc>
          <w:tcPr>
            <w:tcW w:w="1388" w:type="dxa"/>
            <w:tcBorders>
              <w:top w:val="single" w:sz="4" w:space="0" w:color="auto"/>
              <w:left w:val="single" w:sz="4" w:space="0" w:color="auto"/>
              <w:bottom w:val="single" w:sz="4" w:space="0" w:color="auto"/>
              <w:right w:val="single" w:sz="4" w:space="0" w:color="auto"/>
            </w:tcBorders>
            <w:vAlign w:val="center"/>
          </w:tcPr>
          <w:p w:rsidR="00435CFF" w:rsidRDefault="00BC16BC">
            <w:pPr>
              <w:rPr>
                <w:noProof/>
                <w:sz w:val="20"/>
              </w:rPr>
            </w:pPr>
            <w:r>
              <w:rPr>
                <w:noProof/>
                <w:sz w:val="18"/>
              </w:rPr>
              <w:t>Engagements = Paiements</w:t>
            </w:r>
          </w:p>
        </w:tc>
        <w:tc>
          <w:tcPr>
            <w:tcW w:w="54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noProof/>
                <w:sz w:val="20"/>
              </w:rPr>
            </w:pPr>
            <w:r>
              <w:rPr>
                <w:noProof/>
                <w:sz w:val="14"/>
              </w:rPr>
              <w:t>(3)</w:t>
            </w:r>
          </w:p>
        </w:tc>
        <w:tc>
          <w:tcPr>
            <w:tcW w:w="1049"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126,980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197,680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132,110</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106,390</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689,160</w:t>
            </w:r>
          </w:p>
        </w:tc>
      </w:tr>
      <w:tr w:rsidR="00435CFF">
        <w:tc>
          <w:tcPr>
            <w:tcW w:w="3510" w:type="dxa"/>
            <w:vMerge w:val="restart"/>
            <w:tcBorders>
              <w:top w:val="single" w:sz="4" w:space="0" w:color="auto"/>
              <w:left w:val="single" w:sz="4" w:space="0" w:color="auto"/>
              <w:right w:val="single" w:sz="4" w:space="0" w:color="auto"/>
            </w:tcBorders>
            <w:vAlign w:val="center"/>
          </w:tcPr>
          <w:p w:rsidR="00435CFF" w:rsidRDefault="00BC16BC">
            <w:pPr>
              <w:jc w:val="center"/>
              <w:rPr>
                <w:noProof/>
                <w:sz w:val="22"/>
              </w:rPr>
            </w:pPr>
            <w:r>
              <w:rPr>
                <w:noProof/>
                <w:sz w:val="22"/>
              </w:rPr>
              <w:t xml:space="preserve">Total des recettes affectées </w:t>
            </w:r>
            <w:r>
              <w:rPr>
                <w:noProof/>
                <w:sz w:val="22"/>
              </w:rPr>
              <w:t>externes</w:t>
            </w: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rPr>
            </w:pPr>
            <w:r>
              <w:rPr>
                <w:noProof/>
                <w:sz w:val="20"/>
              </w:rPr>
              <w:t>Engagements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rPr>
            </w:pPr>
            <w:r>
              <w:rPr>
                <w:noProof/>
                <w:sz w:val="14"/>
              </w:rPr>
              <w:t>=1+3</w:t>
            </w:r>
          </w:p>
        </w:tc>
        <w:tc>
          <w:tcPr>
            <w:tcW w:w="1049"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5 046,000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4 937,000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rPr>
                <w:b/>
                <w:noProof/>
                <w:sz w:val="18"/>
                <w:szCs w:val="18"/>
              </w:rPr>
            </w:pPr>
            <w:r>
              <w:rPr>
                <w:b/>
                <w:noProof/>
                <w:sz w:val="18"/>
                <w:szCs w:val="18"/>
              </w:rPr>
              <w:t>2 691,000</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1 847,000</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rPr>
            </w:pPr>
            <w:r>
              <w:rPr>
                <w:b/>
                <w:noProof/>
                <w:sz w:val="18"/>
                <w:szCs w:val="18"/>
              </w:rPr>
              <w:t>51,000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rPr>
            </w:pPr>
            <w:r>
              <w:rPr>
                <w:b/>
                <w:noProof/>
                <w:sz w:val="18"/>
                <w:szCs w:val="18"/>
              </w:rPr>
              <w:t>37,000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rPr>
            </w:pPr>
            <w:r>
              <w:rPr>
                <w:b/>
                <w:noProof/>
                <w:sz w:val="18"/>
                <w:szCs w:val="18"/>
              </w:rPr>
              <w:t>38,000</w:t>
            </w:r>
          </w:p>
        </w:tc>
        <w:tc>
          <w:tcPr>
            <w:tcW w:w="1033"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14 647,000</w:t>
            </w:r>
          </w:p>
        </w:tc>
      </w:tr>
      <w:tr w:rsidR="00435CFF">
        <w:tc>
          <w:tcPr>
            <w:tcW w:w="3510" w:type="dxa"/>
            <w:vMerge/>
            <w:tcBorders>
              <w:left w:val="single" w:sz="4" w:space="0" w:color="auto"/>
              <w:bottom w:val="single" w:sz="4" w:space="0" w:color="auto"/>
              <w:right w:val="single" w:sz="4" w:space="0" w:color="auto"/>
            </w:tcBorders>
            <w:vAlign w:val="center"/>
          </w:tcPr>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14"/>
              </w:rPr>
            </w:pPr>
            <w:r>
              <w:rPr>
                <w:noProof/>
                <w:sz w:val="14"/>
              </w:rPr>
              <w:t>=2+3</w:t>
            </w:r>
          </w:p>
        </w:tc>
        <w:tc>
          <w:tcPr>
            <w:tcW w:w="1049"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560,648</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3 677,533</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2 840,297</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2 581,675</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2 029,160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1 897,712</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947,443</w:t>
            </w:r>
          </w:p>
        </w:tc>
        <w:tc>
          <w:tcPr>
            <w:tcW w:w="1033"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112,532</w:t>
            </w: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14 647,000</w:t>
            </w:r>
          </w:p>
        </w:tc>
      </w:tr>
    </w:tbl>
    <w:p w:rsidR="00435CFF" w:rsidRDefault="00435CFF">
      <w:pPr>
        <w:rPr>
          <w:i/>
          <w:noProof/>
        </w:rPr>
      </w:pPr>
    </w:p>
    <w:p w:rsidR="00435CFF" w:rsidRDefault="00BC16BC">
      <w:pPr>
        <w:rPr>
          <w:i/>
          <w:noProof/>
        </w:rPr>
      </w:pPr>
      <w:r>
        <w:rPr>
          <w:i/>
          <w:noProof/>
        </w:rPr>
        <w:t xml:space="preserve">Outre l’enveloppe financière définie à l’article 83 </w:t>
      </w:r>
      <w:r>
        <w:rPr>
          <w:i/>
          <w:noProof/>
        </w:rPr>
        <w:t>de la proposition de règlement COM(2018) 392 («Interventions du Feader dans le cadre des plans stratégiques relevant de la PAC»), un montant de 16 483 millions d’EUR (aux prix courants) sera mis à disposition pour les années 2022 à 2024</w:t>
      </w:r>
      <w:r>
        <w:rPr>
          <w:rStyle w:val="FootnoteReference"/>
          <w:i/>
          <w:iCs/>
          <w:noProof/>
        </w:rPr>
        <w:footnoteReference w:id="15"/>
      </w:r>
      <w:r>
        <w:rPr>
          <w:i/>
          <w:noProof/>
        </w:rPr>
        <w:t xml:space="preserve"> en tant que recett</w:t>
      </w:r>
      <w:r>
        <w:rPr>
          <w:i/>
          <w:noProof/>
        </w:rPr>
        <w:t>es affectées externes, au sens de l’article 21, paragraphe 5, du règlement financier, sous la forme d’un financement au titre de l’instrument de l’Union européenne pour la relance.</w:t>
      </w:r>
      <w:r>
        <w:rPr>
          <w:i/>
          <w:iCs/>
          <w:noProof/>
        </w:rPr>
        <w:t xml:space="preserve"> De cette somme, un montant maximal de 6,000 millions d’EUR peut être consac</w:t>
      </w:r>
      <w:r>
        <w:rPr>
          <w:i/>
          <w:iCs/>
          <w:noProof/>
        </w:rPr>
        <w:t>ré aux dépenses administratives, y compris les frais de personnel externe. L’assistance technique opérationnelle est comprise dans le montant des dépenses opérationnelles et sera calculée lorsque la ventilation des ressources supplémentaires visées au para</w:t>
      </w:r>
      <w:r>
        <w:rPr>
          <w:i/>
          <w:iCs/>
          <w:noProof/>
        </w:rPr>
        <w:t>graphe 1 pour chaque État membre sera déterminée conformément à l’article 83, paragraphe 3, du COM(2018) 392.</w:t>
      </w:r>
    </w:p>
    <w:p w:rsidR="00435CFF" w:rsidRDefault="00BC16BC">
      <w:pPr>
        <w:rPr>
          <w:i/>
          <w:noProof/>
        </w:rPr>
      </w:pPr>
      <w:r>
        <w:rPr>
          <w:i/>
          <w:noProof/>
        </w:rPr>
        <w:t>La ventilation indicative des dépenses financées par des recettes affectées externes est la suivante:</w:t>
      </w: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033"/>
        <w:gridCol w:w="1127"/>
      </w:tblGrid>
      <w:tr w:rsidR="00435CFF">
        <w:tc>
          <w:tcPr>
            <w:tcW w:w="3652" w:type="dxa"/>
            <w:vAlign w:val="center"/>
          </w:tcPr>
          <w:p w:rsidR="00435CFF" w:rsidRDefault="00BC16BC">
            <w:pPr>
              <w:jc w:val="center"/>
              <w:rPr>
                <w:noProof/>
              </w:rPr>
            </w:pPr>
            <w:r>
              <w:rPr>
                <w:noProof/>
                <w:sz w:val="22"/>
              </w:rPr>
              <w:t>[Feader]</w:t>
            </w:r>
          </w:p>
        </w:tc>
        <w:tc>
          <w:tcPr>
            <w:tcW w:w="1388" w:type="dxa"/>
          </w:tcPr>
          <w:p w:rsidR="00435CFF" w:rsidRDefault="00435CFF">
            <w:pPr>
              <w:rPr>
                <w:noProof/>
                <w:sz w:val="20"/>
              </w:rPr>
            </w:pPr>
          </w:p>
        </w:tc>
        <w:tc>
          <w:tcPr>
            <w:tcW w:w="540" w:type="dxa"/>
          </w:tcPr>
          <w:p w:rsidR="00435CFF" w:rsidRDefault="00435CFF">
            <w:pPr>
              <w:jc w:val="center"/>
              <w:rPr>
                <w:noProof/>
                <w:sz w:val="20"/>
              </w:rPr>
            </w:pPr>
          </w:p>
        </w:tc>
        <w:tc>
          <w:tcPr>
            <w:tcW w:w="990" w:type="dxa"/>
            <w:vAlign w:val="center"/>
          </w:tcPr>
          <w:p w:rsidR="00435CFF" w:rsidRDefault="00BC16BC">
            <w:pPr>
              <w:jc w:val="center"/>
              <w:rPr>
                <w:noProof/>
                <w:sz w:val="20"/>
                <w:szCs w:val="20"/>
              </w:rPr>
            </w:pPr>
            <w:r>
              <w:rPr>
                <w:b/>
                <w:noProof/>
                <w:sz w:val="20"/>
                <w:szCs w:val="20"/>
              </w:rPr>
              <w:t>2021</w:t>
            </w:r>
          </w:p>
        </w:tc>
        <w:tc>
          <w:tcPr>
            <w:tcW w:w="990" w:type="dxa"/>
            <w:vAlign w:val="center"/>
          </w:tcPr>
          <w:p w:rsidR="00435CFF" w:rsidRDefault="00BC16BC">
            <w:pPr>
              <w:jc w:val="center"/>
              <w:rPr>
                <w:noProof/>
                <w:sz w:val="20"/>
                <w:szCs w:val="20"/>
              </w:rPr>
            </w:pPr>
            <w:r>
              <w:rPr>
                <w:b/>
                <w:noProof/>
                <w:sz w:val="20"/>
                <w:szCs w:val="20"/>
              </w:rPr>
              <w:t>2022</w:t>
            </w:r>
          </w:p>
        </w:tc>
        <w:tc>
          <w:tcPr>
            <w:tcW w:w="990" w:type="dxa"/>
            <w:vAlign w:val="center"/>
          </w:tcPr>
          <w:p w:rsidR="00435CFF" w:rsidRDefault="00BC16BC">
            <w:pPr>
              <w:jc w:val="center"/>
              <w:rPr>
                <w:noProof/>
                <w:sz w:val="20"/>
                <w:szCs w:val="20"/>
              </w:rPr>
            </w:pPr>
            <w:r>
              <w:rPr>
                <w:b/>
                <w:noProof/>
                <w:sz w:val="20"/>
                <w:szCs w:val="20"/>
              </w:rPr>
              <w:t>2023</w:t>
            </w:r>
          </w:p>
        </w:tc>
        <w:tc>
          <w:tcPr>
            <w:tcW w:w="976" w:type="dxa"/>
            <w:vAlign w:val="center"/>
          </w:tcPr>
          <w:p w:rsidR="00435CFF" w:rsidRDefault="00BC16BC">
            <w:pPr>
              <w:jc w:val="center"/>
              <w:rPr>
                <w:noProof/>
                <w:sz w:val="20"/>
                <w:szCs w:val="20"/>
              </w:rPr>
            </w:pPr>
            <w:r>
              <w:rPr>
                <w:b/>
                <w:noProof/>
                <w:sz w:val="20"/>
                <w:szCs w:val="20"/>
              </w:rPr>
              <w:t>2024</w:t>
            </w:r>
          </w:p>
        </w:tc>
        <w:tc>
          <w:tcPr>
            <w:tcW w:w="1004" w:type="dxa"/>
            <w:vAlign w:val="center"/>
          </w:tcPr>
          <w:p w:rsidR="00435CFF" w:rsidRDefault="00BC16BC">
            <w:pPr>
              <w:jc w:val="center"/>
              <w:rPr>
                <w:b/>
                <w:noProof/>
                <w:sz w:val="20"/>
                <w:szCs w:val="20"/>
              </w:rPr>
            </w:pPr>
            <w:r>
              <w:rPr>
                <w:b/>
                <w:noProof/>
                <w:sz w:val="20"/>
                <w:szCs w:val="20"/>
              </w:rPr>
              <w:t>2025</w:t>
            </w:r>
          </w:p>
        </w:tc>
        <w:tc>
          <w:tcPr>
            <w:tcW w:w="990" w:type="dxa"/>
            <w:vAlign w:val="center"/>
          </w:tcPr>
          <w:p w:rsidR="00435CFF" w:rsidRDefault="00BC16BC">
            <w:pPr>
              <w:jc w:val="center"/>
              <w:rPr>
                <w:b/>
                <w:noProof/>
                <w:sz w:val="20"/>
                <w:szCs w:val="20"/>
              </w:rPr>
            </w:pPr>
            <w:r>
              <w:rPr>
                <w:b/>
                <w:noProof/>
                <w:sz w:val="20"/>
                <w:szCs w:val="20"/>
              </w:rPr>
              <w:t>2026</w:t>
            </w:r>
          </w:p>
        </w:tc>
        <w:tc>
          <w:tcPr>
            <w:tcW w:w="990" w:type="dxa"/>
            <w:vAlign w:val="center"/>
          </w:tcPr>
          <w:p w:rsidR="00435CFF" w:rsidRDefault="00BC16BC">
            <w:pPr>
              <w:jc w:val="center"/>
              <w:rPr>
                <w:b/>
                <w:noProof/>
                <w:sz w:val="20"/>
                <w:szCs w:val="20"/>
              </w:rPr>
            </w:pPr>
            <w:r>
              <w:rPr>
                <w:b/>
                <w:noProof/>
                <w:sz w:val="20"/>
                <w:szCs w:val="20"/>
              </w:rPr>
              <w:t>202</w:t>
            </w:r>
            <w:r>
              <w:rPr>
                <w:b/>
                <w:noProof/>
                <w:sz w:val="20"/>
                <w:szCs w:val="20"/>
              </w:rPr>
              <w:t>7</w:t>
            </w:r>
          </w:p>
        </w:tc>
        <w:tc>
          <w:tcPr>
            <w:tcW w:w="1033" w:type="dxa"/>
          </w:tcPr>
          <w:p w:rsidR="00435CFF" w:rsidRDefault="00BC16BC">
            <w:pPr>
              <w:jc w:val="center"/>
              <w:rPr>
                <w:b/>
                <w:noProof/>
                <w:sz w:val="20"/>
                <w:szCs w:val="20"/>
              </w:rPr>
            </w:pPr>
            <w:r>
              <w:rPr>
                <w:b/>
                <w:i/>
                <w:noProof/>
                <w:sz w:val="20"/>
                <w:szCs w:val="20"/>
              </w:rPr>
              <w:t>Après 2027</w:t>
            </w:r>
          </w:p>
        </w:tc>
        <w:tc>
          <w:tcPr>
            <w:tcW w:w="1127" w:type="dxa"/>
            <w:vAlign w:val="center"/>
          </w:tcPr>
          <w:p w:rsidR="00435CFF" w:rsidRDefault="00BC16BC">
            <w:pPr>
              <w:jc w:val="center"/>
              <w:rPr>
                <w:b/>
                <w:noProof/>
                <w:sz w:val="20"/>
                <w:szCs w:val="20"/>
              </w:rPr>
            </w:pPr>
            <w:r>
              <w:rPr>
                <w:b/>
                <w:noProof/>
                <w:sz w:val="20"/>
                <w:szCs w:val="20"/>
              </w:rPr>
              <w:t>TOTAL</w:t>
            </w:r>
          </w:p>
        </w:tc>
      </w:tr>
      <w:tr w:rsidR="00435CFF">
        <w:tc>
          <w:tcPr>
            <w:tcW w:w="3652" w:type="dxa"/>
            <w:vMerge w:val="restart"/>
            <w:tcBorders>
              <w:top w:val="single" w:sz="4" w:space="0" w:color="auto"/>
              <w:left w:val="single" w:sz="4" w:space="0" w:color="auto"/>
              <w:right w:val="single" w:sz="4" w:space="0" w:color="auto"/>
            </w:tcBorders>
            <w:vAlign w:val="center"/>
          </w:tcPr>
          <w:p w:rsidR="00435CFF" w:rsidRDefault="00BC16BC">
            <w:pPr>
              <w:jc w:val="center"/>
              <w:rPr>
                <w:noProof/>
                <w:sz w:val="22"/>
              </w:rPr>
            </w:pPr>
            <w:r>
              <w:rPr>
                <w:noProof/>
                <w:sz w:val="22"/>
              </w:rPr>
              <w:t>Dépenses opérationnelles financées par des recettes affectées externes au titre de l’instrument de l'Union européenne pour la relance</w:t>
            </w: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szCs w:val="20"/>
              </w:rPr>
            </w:pPr>
            <w:r>
              <w:rPr>
                <w:noProof/>
                <w:sz w:val="20"/>
                <w:szCs w:val="20"/>
              </w:rPr>
              <w:t>Engagements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szCs w:val="20"/>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8 116,000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4 139,000</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4 222,000</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rsidR="00435CFF" w:rsidRDefault="00435CFF">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16 477,000</w:t>
            </w:r>
          </w:p>
        </w:tc>
      </w:tr>
      <w:tr w:rsidR="00435CFF">
        <w:tc>
          <w:tcPr>
            <w:tcW w:w="3652" w:type="dxa"/>
            <w:vMerge/>
            <w:tcBorders>
              <w:left w:val="single" w:sz="4" w:space="0" w:color="auto"/>
              <w:bottom w:val="single" w:sz="4" w:space="0" w:color="auto"/>
              <w:right w:val="single" w:sz="4" w:space="0" w:color="auto"/>
            </w:tcBorders>
            <w:vAlign w:val="center"/>
          </w:tcPr>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szCs w:val="20"/>
              </w:rPr>
            </w:pPr>
            <w:r>
              <w:rPr>
                <w:noProof/>
                <w:sz w:val="20"/>
                <w:szCs w:val="20"/>
              </w:rPr>
              <w:t>Paiements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szCs w:val="20"/>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2 029,000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3 875,350</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 xml:space="preserve">4 </w:t>
            </w:r>
            <w:r>
              <w:rPr>
                <w:b/>
                <w:noProof/>
                <w:sz w:val="18"/>
                <w:szCs w:val="18"/>
              </w:rPr>
              <w:t>938,950</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3 531,000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1 680,500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422,200</w:t>
            </w:r>
          </w:p>
        </w:tc>
        <w:tc>
          <w:tcPr>
            <w:tcW w:w="1033" w:type="dxa"/>
            <w:tcBorders>
              <w:top w:val="single" w:sz="4" w:space="0" w:color="auto"/>
              <w:left w:val="single" w:sz="4" w:space="0" w:color="auto"/>
              <w:bottom w:val="single" w:sz="4" w:space="0" w:color="auto"/>
              <w:right w:val="single" w:sz="4" w:space="0" w:color="auto"/>
            </w:tcBorders>
          </w:tcPr>
          <w:p w:rsidR="00435CFF" w:rsidRDefault="00435CFF">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16 477,000</w:t>
            </w:r>
          </w:p>
        </w:tc>
      </w:tr>
      <w:tr w:rsidR="00435CFF">
        <w:tc>
          <w:tcPr>
            <w:tcW w:w="3652" w:type="dxa"/>
            <w:vMerge w:val="restart"/>
            <w:tcBorders>
              <w:left w:val="single" w:sz="4" w:space="0" w:color="auto"/>
              <w:right w:val="single" w:sz="4" w:space="0" w:color="auto"/>
            </w:tcBorders>
            <w:vAlign w:val="center"/>
          </w:tcPr>
          <w:p w:rsidR="00435CFF" w:rsidRDefault="00BC16BC">
            <w:pPr>
              <w:jc w:val="center"/>
              <w:rPr>
                <w:noProof/>
                <w:sz w:val="22"/>
              </w:rPr>
            </w:pPr>
            <w:r>
              <w:rPr>
                <w:noProof/>
                <w:sz w:val="22"/>
              </w:rPr>
              <w:t>Feader - Assistance technique opérationnelle (contribution financée par des recettes affectées externes au titre de l’instrument de l’Union européenne pour la relance)</w:t>
            </w: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szCs w:val="20"/>
              </w:rPr>
            </w:pPr>
            <w:r>
              <w:rPr>
                <w:noProof/>
                <w:sz w:val="20"/>
                <w:szCs w:val="20"/>
              </w:rPr>
              <w:t>Engagements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14"/>
                <w:szCs w:val="14"/>
              </w:rPr>
            </w:pPr>
            <w:r>
              <w:rPr>
                <w:noProof/>
                <w:sz w:val="14"/>
                <w:szCs w:val="14"/>
              </w:rPr>
              <w:t>(1)</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1033" w:type="dxa"/>
            <w:tcBorders>
              <w:top w:val="single" w:sz="4" w:space="0" w:color="auto"/>
              <w:left w:val="single" w:sz="4" w:space="0" w:color="auto"/>
              <w:bottom w:val="single" w:sz="4" w:space="0" w:color="auto"/>
              <w:right w:val="single" w:sz="4" w:space="0" w:color="auto"/>
            </w:tcBorders>
          </w:tcPr>
          <w:p w:rsidR="00435CFF" w:rsidRDefault="00435CFF">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p.m.</w:t>
            </w:r>
          </w:p>
        </w:tc>
      </w:tr>
      <w:tr w:rsidR="00435CFF">
        <w:tc>
          <w:tcPr>
            <w:tcW w:w="3652" w:type="dxa"/>
            <w:vMerge/>
            <w:tcBorders>
              <w:left w:val="single" w:sz="4" w:space="0" w:color="auto"/>
              <w:bottom w:val="single" w:sz="4" w:space="0" w:color="auto"/>
              <w:right w:val="single" w:sz="4" w:space="0" w:color="auto"/>
            </w:tcBorders>
            <w:vAlign w:val="center"/>
          </w:tcPr>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szCs w:val="20"/>
              </w:rPr>
            </w:pPr>
            <w:r>
              <w:rPr>
                <w:noProof/>
                <w:sz w:val="20"/>
                <w:szCs w:val="20"/>
              </w:rPr>
              <w:t>Paiements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14"/>
                <w:szCs w:val="14"/>
              </w:rPr>
            </w:pPr>
            <w:r>
              <w:rPr>
                <w:noProof/>
                <w:sz w:val="14"/>
                <w:szCs w:val="14"/>
              </w:rPr>
              <w:t>(2)</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p.m.</w:t>
            </w:r>
          </w:p>
        </w:tc>
        <w:tc>
          <w:tcPr>
            <w:tcW w:w="976"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p.m.</w:t>
            </w:r>
          </w:p>
        </w:tc>
        <w:tc>
          <w:tcPr>
            <w:tcW w:w="1004"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p.m.</w:t>
            </w: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p.m.</w:t>
            </w:r>
          </w:p>
        </w:tc>
        <w:tc>
          <w:tcPr>
            <w:tcW w:w="1033"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p.m.</w:t>
            </w:r>
          </w:p>
        </w:tc>
        <w:tc>
          <w:tcPr>
            <w:tcW w:w="1127"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8"/>
                <w:szCs w:val="18"/>
              </w:rPr>
            </w:pPr>
            <w:r>
              <w:rPr>
                <w:b/>
                <w:noProof/>
                <w:sz w:val="18"/>
                <w:szCs w:val="18"/>
              </w:rPr>
              <w:t>p.m.</w:t>
            </w:r>
          </w:p>
        </w:tc>
      </w:tr>
      <w:tr w:rsidR="00435CFF">
        <w:tc>
          <w:tcPr>
            <w:tcW w:w="3652"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noProof/>
                <w:sz w:val="22"/>
              </w:rPr>
            </w:pPr>
            <w:r>
              <w:rPr>
                <w:noProof/>
                <w:sz w:val="22"/>
              </w:rPr>
              <w:t>Dépenses d’appui administratif (contribution financée par des recettes affectées externes au titre de l’instrument de l'Union européenne pour la relance)</w:t>
            </w:r>
          </w:p>
        </w:tc>
        <w:tc>
          <w:tcPr>
            <w:tcW w:w="1388" w:type="dxa"/>
            <w:tcBorders>
              <w:top w:val="single" w:sz="4" w:space="0" w:color="auto"/>
              <w:left w:val="single" w:sz="4" w:space="0" w:color="auto"/>
              <w:bottom w:val="single" w:sz="4" w:space="0" w:color="auto"/>
              <w:right w:val="single" w:sz="4" w:space="0" w:color="auto"/>
            </w:tcBorders>
            <w:vAlign w:val="center"/>
          </w:tcPr>
          <w:p w:rsidR="00435CFF" w:rsidRDefault="00BC16BC">
            <w:pPr>
              <w:rPr>
                <w:noProof/>
                <w:sz w:val="20"/>
                <w:szCs w:val="20"/>
              </w:rPr>
            </w:pPr>
            <w:r>
              <w:rPr>
                <w:noProof/>
                <w:sz w:val="18"/>
                <w:szCs w:val="18"/>
              </w:rPr>
              <w:t>Engagements = Paiements</w:t>
            </w:r>
          </w:p>
        </w:tc>
        <w:tc>
          <w:tcPr>
            <w:tcW w:w="54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noProof/>
                <w:sz w:val="20"/>
                <w:szCs w:val="20"/>
              </w:rPr>
            </w:pPr>
            <w:r>
              <w:rPr>
                <w:noProof/>
                <w:sz w:val="14"/>
                <w:szCs w:val="14"/>
              </w:rPr>
              <w:t>(3)</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6,000</w:t>
            </w:r>
          </w:p>
        </w:tc>
      </w:tr>
      <w:tr w:rsidR="00435CFF">
        <w:tc>
          <w:tcPr>
            <w:tcW w:w="3652" w:type="dxa"/>
            <w:vMerge w:val="restart"/>
            <w:tcBorders>
              <w:top w:val="single" w:sz="4" w:space="0" w:color="auto"/>
              <w:left w:val="single" w:sz="4" w:space="0" w:color="auto"/>
              <w:right w:val="single" w:sz="4" w:space="0" w:color="auto"/>
            </w:tcBorders>
            <w:vAlign w:val="center"/>
          </w:tcPr>
          <w:p w:rsidR="00435CFF" w:rsidRDefault="00BC16BC">
            <w:pPr>
              <w:jc w:val="center"/>
              <w:rPr>
                <w:noProof/>
                <w:sz w:val="22"/>
              </w:rPr>
            </w:pPr>
            <w:r>
              <w:rPr>
                <w:noProof/>
                <w:sz w:val="22"/>
              </w:rPr>
              <w:t>Total des recettes affectées externes</w:t>
            </w: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szCs w:val="20"/>
              </w:rPr>
            </w:pPr>
            <w:r>
              <w:rPr>
                <w:noProof/>
                <w:sz w:val="20"/>
                <w:szCs w:val="20"/>
              </w:rPr>
              <w:t>Engagements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szCs w:val="20"/>
              </w:rPr>
            </w:pPr>
            <w:r>
              <w:rPr>
                <w:noProof/>
                <w:sz w:val="14"/>
                <w:szCs w:val="14"/>
              </w:rPr>
              <w:t>=1+3</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8 117,000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rPr>
                <w:b/>
                <w:noProof/>
                <w:sz w:val="18"/>
                <w:szCs w:val="18"/>
              </w:rPr>
            </w:pPr>
            <w:r>
              <w:rPr>
                <w:b/>
                <w:noProof/>
                <w:sz w:val="18"/>
                <w:szCs w:val="18"/>
              </w:rPr>
              <w:t>4 140,000</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4 223,000</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1,000</w:t>
            </w:r>
          </w:p>
        </w:tc>
        <w:tc>
          <w:tcPr>
            <w:tcW w:w="1033"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i/>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16 483,000</w:t>
            </w:r>
          </w:p>
        </w:tc>
      </w:tr>
      <w:tr w:rsidR="00435CFF">
        <w:tc>
          <w:tcPr>
            <w:tcW w:w="3652" w:type="dxa"/>
            <w:vMerge/>
            <w:tcBorders>
              <w:left w:val="single" w:sz="4" w:space="0" w:color="auto"/>
              <w:bottom w:val="single" w:sz="4" w:space="0" w:color="auto"/>
              <w:right w:val="single" w:sz="4" w:space="0" w:color="auto"/>
            </w:tcBorders>
            <w:vAlign w:val="center"/>
          </w:tcPr>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szCs w:val="20"/>
              </w:rPr>
            </w:pPr>
            <w:r>
              <w:rPr>
                <w:noProof/>
                <w:sz w:val="20"/>
                <w:szCs w:val="20"/>
              </w:rPr>
              <w:t>Paiements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14"/>
                <w:szCs w:val="14"/>
              </w:rPr>
            </w:pPr>
            <w:r>
              <w:rPr>
                <w:noProof/>
                <w:sz w:val="14"/>
                <w:szCs w:val="14"/>
              </w:rPr>
              <w:t>=2+3</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435CFF">
            <w:pPr>
              <w:jc w:val="center"/>
              <w:rPr>
                <w:b/>
                <w:noProof/>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2 030,000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3 876,350</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4 939,950</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3 532,000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1 681,500</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423,200</w:t>
            </w:r>
          </w:p>
        </w:tc>
        <w:tc>
          <w:tcPr>
            <w:tcW w:w="1033" w:type="dxa"/>
            <w:tcBorders>
              <w:top w:val="single" w:sz="4" w:space="0" w:color="auto"/>
              <w:left w:val="single" w:sz="4" w:space="0" w:color="auto"/>
              <w:bottom w:val="single" w:sz="4" w:space="0" w:color="auto"/>
              <w:right w:val="single" w:sz="4" w:space="0" w:color="auto"/>
            </w:tcBorders>
          </w:tcPr>
          <w:p w:rsidR="00435CFF" w:rsidRDefault="00435CFF">
            <w:pPr>
              <w:jc w:val="center"/>
              <w:rPr>
                <w:b/>
                <w:noProof/>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8"/>
                <w:szCs w:val="18"/>
              </w:rPr>
            </w:pPr>
            <w:r>
              <w:rPr>
                <w:b/>
                <w:noProof/>
                <w:sz w:val="18"/>
                <w:szCs w:val="18"/>
              </w:rPr>
              <w:t>16 483,000</w:t>
            </w:r>
          </w:p>
        </w:tc>
      </w:tr>
    </w:tbl>
    <w:p w:rsidR="00435CFF" w:rsidRDefault="00BC16BC">
      <w:pPr>
        <w:rPr>
          <w:i/>
          <w:noProof/>
        </w:rPr>
      </w:pPr>
      <w:r>
        <w:rPr>
          <w:i/>
          <w:iCs/>
          <w:noProof/>
        </w:rPr>
        <w:t xml:space="preserve">Outre </w:t>
      </w:r>
      <w:r>
        <w:rPr>
          <w:i/>
          <w:iCs/>
          <w:noProof/>
        </w:rPr>
        <w:t>l’enveloppe financière définie à l’article 6 du règlement</w:t>
      </w:r>
      <w:r>
        <w:rPr>
          <w:noProof/>
        </w:rPr>
        <w:t xml:space="preserve"> </w:t>
      </w:r>
      <w:r>
        <w:rPr>
          <w:noProof/>
          <w:color w:val="0000FF"/>
        </w:rPr>
        <w:t>COM(2018) 460 final</w:t>
      </w:r>
      <w:r>
        <w:rPr>
          <w:i/>
          <w:iCs/>
          <w:noProof/>
        </w:rPr>
        <w:t>, («IVCDCI»), un montant de 11 448,070 millions d’EUR (aux prix courants) sera mis à disposition en tant que recettes affectées externes, au sens de l’article 21, paragraphe 5, du</w:t>
      </w:r>
      <w:r>
        <w:rPr>
          <w:i/>
          <w:iCs/>
          <w:noProof/>
        </w:rPr>
        <w:t xml:space="preserve"> règlement financier, sous la forme d’un financement au titre de l’instrument de l’Union européenne pour la relance. De cette somme, un montant maximal de 162,308 millions d’EUR peut être consacré aux dépenses administratives, y compris les frais de person</w:t>
      </w:r>
      <w:r>
        <w:rPr>
          <w:i/>
          <w:iCs/>
          <w:noProof/>
        </w:rPr>
        <w:t>nel externe.</w:t>
      </w:r>
    </w:p>
    <w:p w:rsidR="00435CFF" w:rsidRDefault="00435CFF">
      <w:pPr>
        <w:rPr>
          <w:noProof/>
          <w:color w:val="0000FF"/>
        </w:rPr>
      </w:pPr>
    </w:p>
    <w:p w:rsidR="00435CFF" w:rsidRDefault="00BC16BC">
      <w:pPr>
        <w:rPr>
          <w:i/>
          <w:noProof/>
        </w:rPr>
      </w:pPr>
      <w:r>
        <w:rPr>
          <w:i/>
          <w:noProof/>
        </w:rPr>
        <w:t>La ventilation indicative des dépenses financées par des recettes affectées externes est la suivante:</w:t>
      </w:r>
    </w:p>
    <w:p w:rsidR="00435CFF" w:rsidRDefault="00435CFF">
      <w:pPr>
        <w:rPr>
          <w:i/>
          <w:noProof/>
        </w:rPr>
      </w:pPr>
    </w:p>
    <w:tbl>
      <w:tblP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388"/>
        <w:gridCol w:w="540"/>
        <w:gridCol w:w="990"/>
        <w:gridCol w:w="990"/>
        <w:gridCol w:w="990"/>
        <w:gridCol w:w="976"/>
        <w:gridCol w:w="1004"/>
        <w:gridCol w:w="990"/>
        <w:gridCol w:w="990"/>
        <w:gridCol w:w="1127"/>
      </w:tblGrid>
      <w:tr w:rsidR="00435CFF">
        <w:tc>
          <w:tcPr>
            <w:tcW w:w="3652" w:type="dxa"/>
            <w:vAlign w:val="center"/>
          </w:tcPr>
          <w:p w:rsidR="00435CFF" w:rsidRDefault="00BC16BC">
            <w:pPr>
              <w:jc w:val="center"/>
              <w:rPr>
                <w:noProof/>
              </w:rPr>
            </w:pPr>
            <w:r>
              <w:rPr>
                <w:noProof/>
                <w:sz w:val="22"/>
              </w:rPr>
              <w:t>[Garantie pour l’action extérieure - IVCDCI]</w:t>
            </w:r>
          </w:p>
        </w:tc>
        <w:tc>
          <w:tcPr>
            <w:tcW w:w="1388" w:type="dxa"/>
          </w:tcPr>
          <w:p w:rsidR="00435CFF" w:rsidRDefault="00435CFF">
            <w:pPr>
              <w:rPr>
                <w:noProof/>
                <w:sz w:val="20"/>
              </w:rPr>
            </w:pPr>
          </w:p>
        </w:tc>
        <w:tc>
          <w:tcPr>
            <w:tcW w:w="540" w:type="dxa"/>
          </w:tcPr>
          <w:p w:rsidR="00435CFF" w:rsidRDefault="00435CFF">
            <w:pPr>
              <w:jc w:val="center"/>
              <w:rPr>
                <w:noProof/>
                <w:sz w:val="20"/>
              </w:rPr>
            </w:pPr>
          </w:p>
        </w:tc>
        <w:tc>
          <w:tcPr>
            <w:tcW w:w="990" w:type="dxa"/>
            <w:vAlign w:val="center"/>
          </w:tcPr>
          <w:p w:rsidR="00435CFF" w:rsidRDefault="00BC16BC">
            <w:pPr>
              <w:jc w:val="center"/>
              <w:rPr>
                <w:noProof/>
                <w:sz w:val="20"/>
              </w:rPr>
            </w:pPr>
            <w:r>
              <w:rPr>
                <w:b/>
                <w:noProof/>
                <w:sz w:val="20"/>
              </w:rPr>
              <w:t>2021</w:t>
            </w:r>
          </w:p>
        </w:tc>
        <w:tc>
          <w:tcPr>
            <w:tcW w:w="990" w:type="dxa"/>
            <w:vAlign w:val="center"/>
          </w:tcPr>
          <w:p w:rsidR="00435CFF" w:rsidRDefault="00BC16BC">
            <w:pPr>
              <w:jc w:val="center"/>
              <w:rPr>
                <w:noProof/>
                <w:sz w:val="20"/>
              </w:rPr>
            </w:pPr>
            <w:r>
              <w:rPr>
                <w:b/>
                <w:noProof/>
                <w:sz w:val="20"/>
              </w:rPr>
              <w:t>2022</w:t>
            </w:r>
          </w:p>
        </w:tc>
        <w:tc>
          <w:tcPr>
            <w:tcW w:w="990" w:type="dxa"/>
            <w:vAlign w:val="center"/>
          </w:tcPr>
          <w:p w:rsidR="00435CFF" w:rsidRDefault="00BC16BC">
            <w:pPr>
              <w:jc w:val="center"/>
              <w:rPr>
                <w:noProof/>
                <w:sz w:val="20"/>
              </w:rPr>
            </w:pPr>
            <w:r>
              <w:rPr>
                <w:b/>
                <w:noProof/>
                <w:sz w:val="20"/>
              </w:rPr>
              <w:t>2023</w:t>
            </w:r>
          </w:p>
        </w:tc>
        <w:tc>
          <w:tcPr>
            <w:tcW w:w="976" w:type="dxa"/>
            <w:vAlign w:val="center"/>
          </w:tcPr>
          <w:p w:rsidR="00435CFF" w:rsidRDefault="00BC16BC">
            <w:pPr>
              <w:jc w:val="center"/>
              <w:rPr>
                <w:noProof/>
                <w:sz w:val="20"/>
              </w:rPr>
            </w:pPr>
            <w:r>
              <w:rPr>
                <w:b/>
                <w:noProof/>
                <w:sz w:val="20"/>
              </w:rPr>
              <w:t>2024</w:t>
            </w:r>
          </w:p>
        </w:tc>
        <w:tc>
          <w:tcPr>
            <w:tcW w:w="1004" w:type="dxa"/>
            <w:vAlign w:val="center"/>
          </w:tcPr>
          <w:p w:rsidR="00435CFF" w:rsidRDefault="00BC16BC">
            <w:pPr>
              <w:jc w:val="center"/>
              <w:rPr>
                <w:b/>
                <w:noProof/>
                <w:sz w:val="20"/>
              </w:rPr>
            </w:pPr>
            <w:r>
              <w:rPr>
                <w:b/>
                <w:noProof/>
                <w:sz w:val="20"/>
              </w:rPr>
              <w:t>2025</w:t>
            </w:r>
          </w:p>
        </w:tc>
        <w:tc>
          <w:tcPr>
            <w:tcW w:w="990" w:type="dxa"/>
            <w:vAlign w:val="center"/>
          </w:tcPr>
          <w:p w:rsidR="00435CFF" w:rsidRDefault="00BC16BC">
            <w:pPr>
              <w:jc w:val="center"/>
              <w:rPr>
                <w:b/>
                <w:noProof/>
                <w:sz w:val="20"/>
              </w:rPr>
            </w:pPr>
            <w:r>
              <w:rPr>
                <w:b/>
                <w:noProof/>
                <w:sz w:val="20"/>
              </w:rPr>
              <w:t>2026</w:t>
            </w:r>
          </w:p>
        </w:tc>
        <w:tc>
          <w:tcPr>
            <w:tcW w:w="990" w:type="dxa"/>
            <w:vAlign w:val="center"/>
          </w:tcPr>
          <w:p w:rsidR="00435CFF" w:rsidRDefault="00BC16BC">
            <w:pPr>
              <w:jc w:val="center"/>
              <w:rPr>
                <w:b/>
                <w:noProof/>
                <w:sz w:val="20"/>
              </w:rPr>
            </w:pPr>
            <w:r>
              <w:rPr>
                <w:b/>
                <w:noProof/>
                <w:sz w:val="20"/>
              </w:rPr>
              <w:t>2027</w:t>
            </w:r>
          </w:p>
        </w:tc>
        <w:tc>
          <w:tcPr>
            <w:tcW w:w="1127" w:type="dxa"/>
            <w:vAlign w:val="center"/>
          </w:tcPr>
          <w:p w:rsidR="00435CFF" w:rsidRDefault="00BC16BC">
            <w:pPr>
              <w:jc w:val="center"/>
              <w:rPr>
                <w:b/>
                <w:noProof/>
                <w:sz w:val="20"/>
              </w:rPr>
            </w:pPr>
            <w:r>
              <w:rPr>
                <w:b/>
                <w:noProof/>
                <w:sz w:val="20"/>
              </w:rPr>
              <w:t>TOTAL</w:t>
            </w:r>
          </w:p>
        </w:tc>
      </w:tr>
      <w:tr w:rsidR="00435CFF">
        <w:tc>
          <w:tcPr>
            <w:tcW w:w="3652" w:type="dxa"/>
            <w:vMerge w:val="restart"/>
            <w:tcBorders>
              <w:top w:val="single" w:sz="4" w:space="0" w:color="auto"/>
              <w:left w:val="single" w:sz="4" w:space="0" w:color="auto"/>
              <w:right w:val="single" w:sz="4" w:space="0" w:color="auto"/>
            </w:tcBorders>
            <w:vAlign w:val="center"/>
          </w:tcPr>
          <w:p w:rsidR="00435CFF" w:rsidRDefault="00BC16BC">
            <w:pPr>
              <w:jc w:val="center"/>
              <w:rPr>
                <w:noProof/>
                <w:sz w:val="22"/>
              </w:rPr>
            </w:pPr>
            <w:r>
              <w:rPr>
                <w:noProof/>
                <w:sz w:val="22"/>
              </w:rPr>
              <w:t xml:space="preserve">Dépenses opérationnelles financées par des </w:t>
            </w:r>
            <w:r>
              <w:rPr>
                <w:noProof/>
                <w:sz w:val="22"/>
              </w:rPr>
              <w:t>recettes affectées externes au titre de l’instrument de l'Union européenne pour la relance</w:t>
            </w:r>
          </w:p>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rPr>
            </w:pPr>
            <w:r>
              <w:rPr>
                <w:noProof/>
                <w:sz w:val="20"/>
              </w:rPr>
              <w:t>Engagements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rPr>
            </w:pPr>
            <w:r>
              <w:rPr>
                <w:noProof/>
                <w:sz w:val="14"/>
              </w:rPr>
              <w:t>(1)</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3 265,383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3 331,093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2 274,063 </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2 320,063 </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27,383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33,389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34,389 </w:t>
            </w: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11 285,762 </w:t>
            </w:r>
          </w:p>
        </w:tc>
      </w:tr>
      <w:tr w:rsidR="00435CFF">
        <w:tc>
          <w:tcPr>
            <w:tcW w:w="3652" w:type="dxa"/>
            <w:vMerge/>
            <w:tcBorders>
              <w:left w:val="single" w:sz="4" w:space="0" w:color="auto"/>
              <w:bottom w:val="single" w:sz="4" w:space="0" w:color="auto"/>
              <w:right w:val="single" w:sz="4" w:space="0" w:color="auto"/>
            </w:tcBorders>
            <w:vAlign w:val="center"/>
          </w:tcPr>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rPr>
            </w:pPr>
            <w:r>
              <w:rPr>
                <w:noProof/>
                <w:sz w:val="14"/>
              </w:rPr>
              <w:t>(2)</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23,133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1 883,383 </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1 883,383 </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1 883,383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1 888,389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1 840,709 </w:t>
            </w: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11 285,762 </w:t>
            </w:r>
          </w:p>
        </w:tc>
      </w:tr>
      <w:tr w:rsidR="00435CFF">
        <w:tc>
          <w:tcPr>
            <w:tcW w:w="3652"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noProof/>
                <w:sz w:val="22"/>
              </w:rPr>
            </w:pPr>
            <w:r>
              <w:rPr>
                <w:noProof/>
                <w:sz w:val="22"/>
              </w:rPr>
              <w:t>Dépenses d’appui administratif financées par des recettes affectées externes au titre de l’instrument de l'Union européenne pour la relance</w:t>
            </w:r>
          </w:p>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vAlign w:val="center"/>
          </w:tcPr>
          <w:p w:rsidR="00435CFF" w:rsidRDefault="00BC16BC">
            <w:pPr>
              <w:rPr>
                <w:noProof/>
                <w:sz w:val="20"/>
              </w:rPr>
            </w:pPr>
            <w:r>
              <w:rPr>
                <w:noProof/>
                <w:sz w:val="18"/>
              </w:rPr>
              <w:t>Engagements = Paiements</w:t>
            </w:r>
          </w:p>
        </w:tc>
        <w:tc>
          <w:tcPr>
            <w:tcW w:w="54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noProof/>
                <w:sz w:val="20"/>
              </w:rPr>
            </w:pPr>
            <w:r>
              <w:rPr>
                <w:noProof/>
                <w:sz w:val="14"/>
              </w:rPr>
              <w:t>(3)</w:t>
            </w: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6"/>
                <w:szCs w:val="16"/>
              </w:rPr>
            </w:pPr>
            <w:r>
              <w:rPr>
                <w:noProof/>
                <w:sz w:val="16"/>
                <w:szCs w:val="16"/>
              </w:rPr>
              <w:t xml:space="preserve"> 24,617 </w:t>
            </w:r>
          </w:p>
        </w:tc>
        <w:tc>
          <w:tcPr>
            <w:tcW w:w="976"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6"/>
                <w:szCs w:val="16"/>
              </w:rPr>
            </w:pPr>
            <w:r>
              <w:rPr>
                <w:noProof/>
                <w:sz w:val="16"/>
                <w:szCs w:val="16"/>
              </w:rPr>
              <w:t xml:space="preserve"> 24,617 </w:t>
            </w:r>
          </w:p>
        </w:tc>
        <w:tc>
          <w:tcPr>
            <w:tcW w:w="1004"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6"/>
                <w:szCs w:val="16"/>
              </w:rPr>
            </w:pPr>
            <w:r>
              <w:rPr>
                <w:noProof/>
                <w:sz w:val="16"/>
                <w:szCs w:val="16"/>
              </w:rPr>
              <w:t xml:space="preserve"> 24,617 </w:t>
            </w: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6"/>
                <w:szCs w:val="16"/>
              </w:rPr>
            </w:pPr>
            <w:r>
              <w:rPr>
                <w:noProof/>
                <w:sz w:val="16"/>
                <w:szCs w:val="16"/>
              </w:rPr>
              <w:t xml:space="preserve"> 19,611 </w:t>
            </w:r>
          </w:p>
        </w:tc>
        <w:tc>
          <w:tcPr>
            <w:tcW w:w="990"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6"/>
                <w:szCs w:val="16"/>
              </w:rPr>
            </w:pPr>
            <w:r>
              <w:rPr>
                <w:noProof/>
                <w:sz w:val="16"/>
                <w:szCs w:val="16"/>
              </w:rPr>
              <w:t xml:space="preserve"> 19,611 </w:t>
            </w:r>
          </w:p>
        </w:tc>
        <w:tc>
          <w:tcPr>
            <w:tcW w:w="1127" w:type="dxa"/>
            <w:tcBorders>
              <w:top w:val="single" w:sz="4" w:space="0" w:color="auto"/>
              <w:left w:val="single" w:sz="4" w:space="0" w:color="auto"/>
              <w:bottom w:val="single" w:sz="4" w:space="0" w:color="auto"/>
              <w:right w:val="single" w:sz="4" w:space="0" w:color="auto"/>
            </w:tcBorders>
          </w:tcPr>
          <w:p w:rsidR="00435CFF" w:rsidRDefault="00BC16BC">
            <w:pPr>
              <w:jc w:val="center"/>
              <w:rPr>
                <w:b/>
                <w:noProof/>
                <w:sz w:val="16"/>
                <w:szCs w:val="16"/>
              </w:rPr>
            </w:pPr>
            <w:r>
              <w:rPr>
                <w:noProof/>
                <w:sz w:val="16"/>
                <w:szCs w:val="16"/>
              </w:rPr>
              <w:t xml:space="preserve"> 162,308 </w:t>
            </w:r>
          </w:p>
        </w:tc>
      </w:tr>
      <w:tr w:rsidR="00435CFF">
        <w:tc>
          <w:tcPr>
            <w:tcW w:w="3652" w:type="dxa"/>
            <w:vMerge w:val="restart"/>
            <w:tcBorders>
              <w:top w:val="single" w:sz="4" w:space="0" w:color="auto"/>
              <w:left w:val="single" w:sz="4" w:space="0" w:color="auto"/>
              <w:right w:val="single" w:sz="4" w:space="0" w:color="auto"/>
            </w:tcBorders>
            <w:vAlign w:val="center"/>
          </w:tcPr>
          <w:p w:rsidR="00435CFF" w:rsidRDefault="00BC16BC">
            <w:pPr>
              <w:jc w:val="center"/>
              <w:rPr>
                <w:noProof/>
                <w:sz w:val="22"/>
              </w:rPr>
            </w:pPr>
            <w:r>
              <w:rPr>
                <w:noProof/>
                <w:sz w:val="22"/>
              </w:rPr>
              <w:t>Total des recettes affectées externes</w:t>
            </w: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rPr>
            </w:pPr>
            <w:r>
              <w:rPr>
                <w:noProof/>
                <w:sz w:val="20"/>
              </w:rPr>
              <w:t>Engagements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20"/>
              </w:rPr>
            </w:pPr>
            <w:r>
              <w:rPr>
                <w:noProof/>
                <w:sz w:val="14"/>
              </w:rPr>
              <w:t>=1+3</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3 290,000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3 355,710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rPr>
                <w:b/>
                <w:noProof/>
                <w:sz w:val="16"/>
                <w:szCs w:val="16"/>
              </w:rPr>
            </w:pPr>
            <w:r>
              <w:rPr>
                <w:noProof/>
                <w:sz w:val="16"/>
                <w:szCs w:val="16"/>
              </w:rPr>
              <w:t xml:space="preserve"> 2 298,680 </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2 344,680 </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52,000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53,000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54,000 </w:t>
            </w: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11 448,070 </w:t>
            </w:r>
          </w:p>
        </w:tc>
      </w:tr>
      <w:tr w:rsidR="00435CFF">
        <w:tc>
          <w:tcPr>
            <w:tcW w:w="3652" w:type="dxa"/>
            <w:vMerge/>
            <w:tcBorders>
              <w:left w:val="single" w:sz="4" w:space="0" w:color="auto"/>
              <w:bottom w:val="single" w:sz="4" w:space="0" w:color="auto"/>
              <w:right w:val="single" w:sz="4" w:space="0" w:color="auto"/>
            </w:tcBorders>
            <w:vAlign w:val="center"/>
          </w:tcPr>
          <w:p w:rsidR="00435CFF" w:rsidRDefault="00435CFF">
            <w:pPr>
              <w:jc w:val="center"/>
              <w:rPr>
                <w:noProof/>
                <w:sz w:val="22"/>
              </w:rPr>
            </w:pPr>
          </w:p>
        </w:tc>
        <w:tc>
          <w:tcPr>
            <w:tcW w:w="1388" w:type="dxa"/>
            <w:tcBorders>
              <w:top w:val="single" w:sz="4" w:space="0" w:color="auto"/>
              <w:left w:val="single" w:sz="4" w:space="0" w:color="auto"/>
              <w:bottom w:val="single" w:sz="4" w:space="0" w:color="auto"/>
              <w:right w:val="single" w:sz="4" w:space="0" w:color="auto"/>
            </w:tcBorders>
          </w:tcPr>
          <w:p w:rsidR="00435CFF" w:rsidRDefault="00BC16BC">
            <w:pPr>
              <w:rPr>
                <w:noProof/>
                <w:sz w:val="20"/>
              </w:rPr>
            </w:pPr>
            <w:r>
              <w:rPr>
                <w:noProof/>
                <w:sz w:val="20"/>
              </w:rPr>
              <w:t>Paiements</w:t>
            </w:r>
          </w:p>
        </w:tc>
        <w:tc>
          <w:tcPr>
            <w:tcW w:w="540" w:type="dxa"/>
            <w:tcBorders>
              <w:top w:val="single" w:sz="4" w:space="0" w:color="auto"/>
              <w:left w:val="single" w:sz="4" w:space="0" w:color="auto"/>
              <w:bottom w:val="single" w:sz="4" w:space="0" w:color="auto"/>
              <w:right w:val="single" w:sz="4" w:space="0" w:color="auto"/>
            </w:tcBorders>
          </w:tcPr>
          <w:p w:rsidR="00435CFF" w:rsidRDefault="00BC16BC">
            <w:pPr>
              <w:jc w:val="center"/>
              <w:rPr>
                <w:noProof/>
                <w:sz w:val="14"/>
              </w:rPr>
            </w:pPr>
            <w:r>
              <w:rPr>
                <w:noProof/>
                <w:sz w:val="14"/>
              </w:rPr>
              <w:t>=2+3</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47,750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1 908,000 </w:t>
            </w:r>
          </w:p>
        </w:tc>
        <w:tc>
          <w:tcPr>
            <w:tcW w:w="976"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1 908,000 </w:t>
            </w:r>
          </w:p>
        </w:tc>
        <w:tc>
          <w:tcPr>
            <w:tcW w:w="1004" w:type="dxa"/>
            <w:tcBorders>
              <w:top w:val="single" w:sz="4" w:space="0" w:color="auto"/>
              <w:left w:val="single" w:sz="4" w:space="0" w:color="auto"/>
              <w:bottom w:val="single" w:sz="4" w:space="0" w:color="auto"/>
              <w:right w:val="single" w:sz="4" w:space="0" w:color="auto"/>
            </w:tcBorders>
            <w:vAlign w:val="center"/>
          </w:tcPr>
          <w:p w:rsidR="00435CFF" w:rsidRDefault="00BC16BC">
            <w:pP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1 908,000 </w:t>
            </w:r>
          </w:p>
        </w:tc>
        <w:tc>
          <w:tcPr>
            <w:tcW w:w="990" w:type="dxa"/>
            <w:tcBorders>
              <w:top w:val="single" w:sz="4" w:space="0" w:color="auto"/>
              <w:left w:val="single" w:sz="4" w:space="0" w:color="auto"/>
              <w:bottom w:val="single" w:sz="4" w:space="0" w:color="auto"/>
              <w:right w:val="single" w:sz="4" w:space="0" w:color="auto"/>
            </w:tcBorders>
            <w:vAlign w:val="center"/>
          </w:tcPr>
          <w:p w:rsidR="00435CFF" w:rsidRDefault="00BC16BC">
            <w:pPr>
              <w:rPr>
                <w:b/>
                <w:noProof/>
                <w:sz w:val="16"/>
                <w:szCs w:val="16"/>
              </w:rPr>
            </w:pPr>
            <w:r>
              <w:rPr>
                <w:noProof/>
                <w:sz w:val="16"/>
                <w:szCs w:val="16"/>
              </w:rPr>
              <w:t xml:space="preserve"> 1 860,320 </w:t>
            </w:r>
          </w:p>
        </w:tc>
        <w:tc>
          <w:tcPr>
            <w:tcW w:w="1127" w:type="dxa"/>
            <w:tcBorders>
              <w:top w:val="single" w:sz="4" w:space="0" w:color="auto"/>
              <w:left w:val="single" w:sz="4" w:space="0" w:color="auto"/>
              <w:bottom w:val="single" w:sz="4" w:space="0" w:color="auto"/>
              <w:right w:val="single" w:sz="4" w:space="0" w:color="auto"/>
            </w:tcBorders>
            <w:vAlign w:val="center"/>
          </w:tcPr>
          <w:p w:rsidR="00435CFF" w:rsidRDefault="00BC16BC">
            <w:pPr>
              <w:jc w:val="center"/>
              <w:rPr>
                <w:b/>
                <w:noProof/>
                <w:sz w:val="16"/>
                <w:szCs w:val="16"/>
              </w:rPr>
            </w:pPr>
            <w:r>
              <w:rPr>
                <w:noProof/>
                <w:sz w:val="16"/>
                <w:szCs w:val="16"/>
              </w:rPr>
              <w:t xml:space="preserve"> 11 448,070 </w:t>
            </w:r>
          </w:p>
        </w:tc>
      </w:tr>
    </w:tbl>
    <w:p w:rsidR="00435CFF" w:rsidRDefault="00435CFF">
      <w:pPr>
        <w:rPr>
          <w:noProof/>
        </w:rPr>
      </w:pPr>
    </w:p>
    <w:p w:rsidR="00435CFF" w:rsidRDefault="00435CF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435CFF">
        <w:trPr>
          <w:jc w:val="center"/>
        </w:trPr>
        <w:tc>
          <w:tcPr>
            <w:tcW w:w="4744" w:type="dxa"/>
            <w:shd w:val="thinDiagStripe" w:color="C0C0C0" w:fill="auto"/>
            <w:vAlign w:val="center"/>
          </w:tcPr>
          <w:p w:rsidR="00435CFF" w:rsidRDefault="00BC16BC">
            <w:pPr>
              <w:spacing w:before="60" w:after="60"/>
              <w:jc w:val="center"/>
              <w:rPr>
                <w:b/>
                <w:noProof/>
              </w:rPr>
            </w:pPr>
            <w:r>
              <w:rPr>
                <w:noProof/>
              </w:rPr>
              <w:br w:type="page"/>
            </w:r>
            <w:r>
              <w:rPr>
                <w:b/>
                <w:noProof/>
                <w:sz w:val="22"/>
              </w:rPr>
              <w:t>Rubrique du cadre financier</w:t>
            </w:r>
            <w:r>
              <w:rPr>
                <w:noProof/>
              </w:rPr>
              <w:br/>
            </w:r>
            <w:r>
              <w:rPr>
                <w:b/>
                <w:noProof/>
                <w:sz w:val="22"/>
              </w:rPr>
              <w:t xml:space="preserve">pluriannuel </w:t>
            </w:r>
          </w:p>
        </w:tc>
        <w:tc>
          <w:tcPr>
            <w:tcW w:w="1080" w:type="dxa"/>
            <w:shd w:val="thinDiagStripe" w:color="C0C0C0" w:fill="auto"/>
            <w:vAlign w:val="center"/>
          </w:tcPr>
          <w:p w:rsidR="00435CFF" w:rsidRDefault="00BC16BC">
            <w:pPr>
              <w:spacing w:before="60" w:after="60"/>
              <w:jc w:val="center"/>
              <w:rPr>
                <w:noProof/>
              </w:rPr>
            </w:pPr>
            <w:r>
              <w:rPr>
                <w:noProof/>
              </w:rPr>
              <w:t>7</w:t>
            </w:r>
          </w:p>
        </w:tc>
        <w:tc>
          <w:tcPr>
            <w:tcW w:w="7817" w:type="dxa"/>
            <w:vAlign w:val="center"/>
          </w:tcPr>
          <w:p w:rsidR="00435CFF" w:rsidRDefault="00BC16BC">
            <w:pPr>
              <w:spacing w:before="60" w:after="60"/>
              <w:rPr>
                <w:noProof/>
              </w:rPr>
            </w:pPr>
            <w:r>
              <w:rPr>
                <w:noProof/>
                <w:sz w:val="22"/>
              </w:rPr>
              <w:t>«Dépenses administratives»</w:t>
            </w:r>
          </w:p>
        </w:tc>
      </w:tr>
    </w:tbl>
    <w:p w:rsidR="00435CFF" w:rsidRDefault="00435CFF">
      <w:pPr>
        <w:jc w:val="left"/>
        <w:rPr>
          <w:noProof/>
          <w:color w:val="0000FF"/>
        </w:rPr>
      </w:pPr>
    </w:p>
    <w:p w:rsidR="00435CFF" w:rsidRDefault="00435CFF">
      <w:pPr>
        <w:jc w:val="left"/>
        <w:rPr>
          <w:noProof/>
        </w:rPr>
      </w:pPr>
    </w:p>
    <w:p w:rsidR="00435CFF" w:rsidRDefault="00BC16BC">
      <w:pPr>
        <w:jc w:val="right"/>
        <w:rPr>
          <w:noProof/>
          <w:sz w:val="20"/>
        </w:rPr>
      </w:pPr>
      <w:r>
        <w:rPr>
          <w:noProof/>
          <w:sz w:val="20"/>
        </w:rPr>
        <w:t>En Mio EUR (à la 3</w:t>
      </w:r>
      <w:r>
        <w:rPr>
          <w:noProof/>
          <w:sz w:val="20"/>
          <w:vertAlign w:val="superscript"/>
        </w:rPr>
        <w:t>e</w:t>
      </w:r>
      <w:r>
        <w:rPr>
          <w:noProof/>
          <w:sz w:val="20"/>
        </w:rPr>
        <w:t> décimale)</w:t>
      </w:r>
    </w:p>
    <w:tbl>
      <w:tblPr>
        <w:tblW w:w="13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291"/>
      </w:tblGrid>
      <w:tr w:rsidR="00435CFF">
        <w:trPr>
          <w:jc w:val="center"/>
        </w:trPr>
        <w:tc>
          <w:tcPr>
            <w:tcW w:w="6245" w:type="dxa"/>
            <w:gridSpan w:val="2"/>
            <w:tcBorders>
              <w:top w:val="nil"/>
              <w:left w:val="nil"/>
            </w:tcBorders>
            <w:vAlign w:val="center"/>
          </w:tcPr>
          <w:p w:rsidR="00435CFF" w:rsidRDefault="00435CFF">
            <w:pPr>
              <w:jc w:val="center"/>
              <w:rPr>
                <w:noProof/>
                <w:sz w:val="20"/>
              </w:rPr>
            </w:pPr>
          </w:p>
        </w:tc>
        <w:tc>
          <w:tcPr>
            <w:tcW w:w="868" w:type="dxa"/>
            <w:vAlign w:val="center"/>
          </w:tcPr>
          <w:p w:rsidR="00435CFF" w:rsidRDefault="00BC16BC">
            <w:pPr>
              <w:jc w:val="center"/>
              <w:rPr>
                <w:b/>
                <w:noProof/>
                <w:sz w:val="20"/>
              </w:rPr>
            </w:pPr>
            <w:r>
              <w:rPr>
                <w:b/>
                <w:noProof/>
                <w:sz w:val="20"/>
              </w:rPr>
              <w:t>2021</w:t>
            </w:r>
          </w:p>
        </w:tc>
        <w:tc>
          <w:tcPr>
            <w:tcW w:w="868" w:type="dxa"/>
            <w:vAlign w:val="center"/>
          </w:tcPr>
          <w:p w:rsidR="00435CFF" w:rsidRDefault="00BC16BC">
            <w:pPr>
              <w:jc w:val="center"/>
              <w:rPr>
                <w:b/>
                <w:noProof/>
                <w:sz w:val="20"/>
              </w:rPr>
            </w:pPr>
            <w:r>
              <w:rPr>
                <w:b/>
                <w:noProof/>
                <w:sz w:val="20"/>
              </w:rPr>
              <w:t>2022</w:t>
            </w:r>
          </w:p>
        </w:tc>
        <w:tc>
          <w:tcPr>
            <w:tcW w:w="868" w:type="dxa"/>
            <w:vAlign w:val="center"/>
          </w:tcPr>
          <w:p w:rsidR="00435CFF" w:rsidRDefault="00BC16BC">
            <w:pPr>
              <w:jc w:val="center"/>
              <w:rPr>
                <w:b/>
                <w:noProof/>
                <w:sz w:val="20"/>
              </w:rPr>
            </w:pPr>
            <w:r>
              <w:rPr>
                <w:b/>
                <w:noProof/>
                <w:sz w:val="20"/>
              </w:rPr>
              <w:t>2023</w:t>
            </w:r>
          </w:p>
        </w:tc>
        <w:tc>
          <w:tcPr>
            <w:tcW w:w="868" w:type="dxa"/>
            <w:vAlign w:val="center"/>
          </w:tcPr>
          <w:p w:rsidR="00435CFF" w:rsidRDefault="00BC16BC">
            <w:pPr>
              <w:jc w:val="center"/>
              <w:rPr>
                <w:b/>
                <w:noProof/>
                <w:sz w:val="20"/>
              </w:rPr>
            </w:pPr>
            <w:r>
              <w:rPr>
                <w:b/>
                <w:noProof/>
                <w:sz w:val="20"/>
              </w:rPr>
              <w:t>2024</w:t>
            </w:r>
          </w:p>
        </w:tc>
        <w:tc>
          <w:tcPr>
            <w:tcW w:w="868" w:type="dxa"/>
            <w:vAlign w:val="center"/>
          </w:tcPr>
          <w:p w:rsidR="00435CFF" w:rsidRDefault="00BC16BC">
            <w:pPr>
              <w:jc w:val="center"/>
              <w:rPr>
                <w:b/>
                <w:noProof/>
                <w:sz w:val="18"/>
              </w:rPr>
            </w:pPr>
            <w:r>
              <w:rPr>
                <w:b/>
                <w:noProof/>
                <w:sz w:val="18"/>
              </w:rPr>
              <w:t>2025</w:t>
            </w:r>
          </w:p>
        </w:tc>
        <w:tc>
          <w:tcPr>
            <w:tcW w:w="868" w:type="dxa"/>
            <w:vAlign w:val="center"/>
          </w:tcPr>
          <w:p w:rsidR="00435CFF" w:rsidRDefault="00BC16BC">
            <w:pPr>
              <w:jc w:val="center"/>
              <w:rPr>
                <w:b/>
                <w:noProof/>
                <w:sz w:val="18"/>
              </w:rPr>
            </w:pPr>
            <w:r>
              <w:rPr>
                <w:b/>
                <w:noProof/>
                <w:sz w:val="18"/>
              </w:rPr>
              <w:t>2026</w:t>
            </w:r>
          </w:p>
        </w:tc>
        <w:tc>
          <w:tcPr>
            <w:tcW w:w="868" w:type="dxa"/>
            <w:vAlign w:val="center"/>
          </w:tcPr>
          <w:p w:rsidR="00435CFF" w:rsidRDefault="00BC16BC">
            <w:pPr>
              <w:jc w:val="center"/>
              <w:rPr>
                <w:b/>
                <w:noProof/>
                <w:sz w:val="18"/>
              </w:rPr>
            </w:pPr>
            <w:r>
              <w:rPr>
                <w:b/>
                <w:noProof/>
                <w:sz w:val="18"/>
              </w:rPr>
              <w:t>2027</w:t>
            </w:r>
          </w:p>
        </w:tc>
        <w:tc>
          <w:tcPr>
            <w:tcW w:w="1291" w:type="dxa"/>
            <w:vAlign w:val="center"/>
          </w:tcPr>
          <w:p w:rsidR="00435CFF" w:rsidRDefault="00BC16BC">
            <w:pPr>
              <w:jc w:val="center"/>
              <w:rPr>
                <w:b/>
                <w:noProof/>
                <w:sz w:val="20"/>
              </w:rPr>
            </w:pPr>
            <w:r>
              <w:rPr>
                <w:b/>
                <w:noProof/>
                <w:sz w:val="20"/>
              </w:rPr>
              <w:t>TOTAL</w:t>
            </w:r>
          </w:p>
        </w:tc>
      </w:tr>
      <w:tr w:rsidR="00435CFF">
        <w:trPr>
          <w:trHeight w:val="313"/>
          <w:jc w:val="center"/>
        </w:trPr>
        <w:tc>
          <w:tcPr>
            <w:tcW w:w="6245" w:type="dxa"/>
            <w:gridSpan w:val="2"/>
            <w:vAlign w:val="center"/>
          </w:tcPr>
          <w:p w:rsidR="00435CFF" w:rsidRDefault="00BC16BC">
            <w:pPr>
              <w:spacing w:before="20" w:after="20"/>
              <w:rPr>
                <w:noProof/>
              </w:rPr>
            </w:pPr>
            <w:r>
              <w:rPr>
                <w:noProof/>
                <w:sz w:val="22"/>
              </w:rPr>
              <w:t xml:space="preserve">Ressources humaines </w:t>
            </w:r>
          </w:p>
        </w:tc>
        <w:tc>
          <w:tcPr>
            <w:tcW w:w="868" w:type="dxa"/>
            <w:vAlign w:val="center"/>
          </w:tcPr>
          <w:p w:rsidR="00435CFF" w:rsidRDefault="00435CFF">
            <w:pPr>
              <w:spacing w:before="20" w:after="20"/>
              <w:jc w:val="right"/>
              <w:rPr>
                <w:noProof/>
                <w:sz w:val="20"/>
              </w:rPr>
            </w:pPr>
          </w:p>
        </w:tc>
        <w:tc>
          <w:tcPr>
            <w:tcW w:w="868" w:type="dxa"/>
            <w:vAlign w:val="center"/>
          </w:tcPr>
          <w:p w:rsidR="00435CFF" w:rsidRDefault="00435CFF">
            <w:pPr>
              <w:spacing w:before="20" w:after="20"/>
              <w:jc w:val="right"/>
              <w:rPr>
                <w:noProof/>
                <w:sz w:val="20"/>
              </w:rPr>
            </w:pPr>
          </w:p>
        </w:tc>
        <w:tc>
          <w:tcPr>
            <w:tcW w:w="868" w:type="dxa"/>
            <w:vAlign w:val="center"/>
          </w:tcPr>
          <w:p w:rsidR="00435CFF" w:rsidRDefault="00435CFF">
            <w:pPr>
              <w:spacing w:before="20" w:after="20"/>
              <w:jc w:val="right"/>
              <w:rPr>
                <w:noProof/>
                <w:sz w:val="20"/>
              </w:rPr>
            </w:pPr>
          </w:p>
        </w:tc>
        <w:tc>
          <w:tcPr>
            <w:tcW w:w="868" w:type="dxa"/>
            <w:vAlign w:val="center"/>
          </w:tcPr>
          <w:p w:rsidR="00435CFF" w:rsidRDefault="00435CFF">
            <w:pPr>
              <w:spacing w:before="20" w:after="20"/>
              <w:jc w:val="right"/>
              <w:rPr>
                <w:noProof/>
                <w:sz w:val="20"/>
              </w:rPr>
            </w:pPr>
          </w:p>
        </w:tc>
        <w:tc>
          <w:tcPr>
            <w:tcW w:w="868" w:type="dxa"/>
            <w:vAlign w:val="center"/>
          </w:tcPr>
          <w:p w:rsidR="00435CFF" w:rsidRDefault="00435CFF">
            <w:pPr>
              <w:spacing w:before="20" w:after="20"/>
              <w:jc w:val="right"/>
              <w:rPr>
                <w:noProof/>
                <w:sz w:val="20"/>
              </w:rPr>
            </w:pPr>
          </w:p>
        </w:tc>
        <w:tc>
          <w:tcPr>
            <w:tcW w:w="868" w:type="dxa"/>
            <w:vAlign w:val="center"/>
          </w:tcPr>
          <w:p w:rsidR="00435CFF" w:rsidRDefault="00435CFF">
            <w:pPr>
              <w:spacing w:before="20" w:after="20"/>
              <w:jc w:val="right"/>
              <w:rPr>
                <w:noProof/>
                <w:sz w:val="20"/>
              </w:rPr>
            </w:pPr>
          </w:p>
        </w:tc>
        <w:tc>
          <w:tcPr>
            <w:tcW w:w="868" w:type="dxa"/>
            <w:vAlign w:val="center"/>
          </w:tcPr>
          <w:p w:rsidR="00435CFF" w:rsidRDefault="00435CFF">
            <w:pPr>
              <w:spacing w:before="20" w:after="20"/>
              <w:jc w:val="right"/>
              <w:rPr>
                <w:b/>
                <w:noProof/>
                <w:sz w:val="20"/>
              </w:rPr>
            </w:pPr>
          </w:p>
        </w:tc>
        <w:tc>
          <w:tcPr>
            <w:tcW w:w="1291" w:type="dxa"/>
            <w:vAlign w:val="center"/>
          </w:tcPr>
          <w:p w:rsidR="00435CFF" w:rsidRDefault="00435CFF">
            <w:pPr>
              <w:spacing w:before="20" w:after="20"/>
              <w:jc w:val="right"/>
              <w:rPr>
                <w:b/>
                <w:noProof/>
                <w:sz w:val="20"/>
              </w:rPr>
            </w:pPr>
          </w:p>
        </w:tc>
      </w:tr>
      <w:tr w:rsidR="00435CFF">
        <w:trPr>
          <w:trHeight w:val="351"/>
          <w:jc w:val="center"/>
        </w:trPr>
        <w:tc>
          <w:tcPr>
            <w:tcW w:w="6245" w:type="dxa"/>
            <w:gridSpan w:val="2"/>
            <w:vAlign w:val="center"/>
          </w:tcPr>
          <w:p w:rsidR="00435CFF" w:rsidRDefault="00BC16BC">
            <w:pPr>
              <w:spacing w:before="20" w:after="20"/>
              <w:rPr>
                <w:noProof/>
              </w:rPr>
            </w:pPr>
            <w:r>
              <w:rPr>
                <w:noProof/>
                <w:sz w:val="22"/>
              </w:rPr>
              <w:t xml:space="preserve">Autres dépenses administratives </w:t>
            </w:r>
          </w:p>
        </w:tc>
        <w:tc>
          <w:tcPr>
            <w:tcW w:w="868" w:type="dxa"/>
            <w:vAlign w:val="center"/>
          </w:tcPr>
          <w:p w:rsidR="00435CFF" w:rsidRDefault="00435CFF">
            <w:pPr>
              <w:spacing w:before="20" w:after="20"/>
              <w:jc w:val="right"/>
              <w:rPr>
                <w:b/>
                <w:noProof/>
                <w:sz w:val="20"/>
              </w:rPr>
            </w:pPr>
          </w:p>
        </w:tc>
        <w:tc>
          <w:tcPr>
            <w:tcW w:w="868" w:type="dxa"/>
            <w:vAlign w:val="center"/>
          </w:tcPr>
          <w:p w:rsidR="00435CFF" w:rsidRDefault="00435CFF">
            <w:pPr>
              <w:spacing w:before="20" w:after="20"/>
              <w:jc w:val="right"/>
              <w:rPr>
                <w:b/>
                <w:noProof/>
                <w:sz w:val="20"/>
              </w:rPr>
            </w:pPr>
          </w:p>
        </w:tc>
        <w:tc>
          <w:tcPr>
            <w:tcW w:w="868" w:type="dxa"/>
            <w:vAlign w:val="center"/>
          </w:tcPr>
          <w:p w:rsidR="00435CFF" w:rsidRDefault="00435CFF">
            <w:pPr>
              <w:spacing w:before="20" w:after="20"/>
              <w:jc w:val="right"/>
              <w:rPr>
                <w:b/>
                <w:noProof/>
                <w:sz w:val="20"/>
              </w:rPr>
            </w:pPr>
          </w:p>
        </w:tc>
        <w:tc>
          <w:tcPr>
            <w:tcW w:w="868" w:type="dxa"/>
            <w:vAlign w:val="center"/>
          </w:tcPr>
          <w:p w:rsidR="00435CFF" w:rsidRDefault="00435CFF">
            <w:pPr>
              <w:spacing w:before="20" w:after="20"/>
              <w:jc w:val="right"/>
              <w:rPr>
                <w:b/>
                <w:noProof/>
                <w:sz w:val="20"/>
              </w:rPr>
            </w:pPr>
          </w:p>
        </w:tc>
        <w:tc>
          <w:tcPr>
            <w:tcW w:w="868" w:type="dxa"/>
            <w:vAlign w:val="center"/>
          </w:tcPr>
          <w:p w:rsidR="00435CFF" w:rsidRDefault="00435CFF">
            <w:pPr>
              <w:spacing w:before="20" w:after="20"/>
              <w:jc w:val="right"/>
              <w:rPr>
                <w:b/>
                <w:noProof/>
                <w:sz w:val="20"/>
              </w:rPr>
            </w:pPr>
          </w:p>
        </w:tc>
        <w:tc>
          <w:tcPr>
            <w:tcW w:w="868" w:type="dxa"/>
            <w:vAlign w:val="center"/>
          </w:tcPr>
          <w:p w:rsidR="00435CFF" w:rsidRDefault="00435CFF">
            <w:pPr>
              <w:spacing w:before="20" w:after="20"/>
              <w:jc w:val="right"/>
              <w:rPr>
                <w:b/>
                <w:noProof/>
                <w:sz w:val="20"/>
              </w:rPr>
            </w:pPr>
          </w:p>
        </w:tc>
        <w:tc>
          <w:tcPr>
            <w:tcW w:w="868" w:type="dxa"/>
            <w:vAlign w:val="center"/>
          </w:tcPr>
          <w:p w:rsidR="00435CFF" w:rsidRDefault="00435CFF">
            <w:pPr>
              <w:spacing w:before="20" w:after="20"/>
              <w:jc w:val="right"/>
              <w:rPr>
                <w:b/>
                <w:noProof/>
                <w:sz w:val="20"/>
              </w:rPr>
            </w:pPr>
          </w:p>
        </w:tc>
        <w:tc>
          <w:tcPr>
            <w:tcW w:w="1291" w:type="dxa"/>
            <w:vAlign w:val="center"/>
          </w:tcPr>
          <w:p w:rsidR="00435CFF" w:rsidRDefault="00435CFF">
            <w:pPr>
              <w:spacing w:before="20" w:after="20"/>
              <w:jc w:val="right"/>
              <w:rPr>
                <w:b/>
                <w:noProof/>
                <w:sz w:val="20"/>
              </w:rPr>
            </w:pPr>
          </w:p>
        </w:tc>
      </w:tr>
      <w:tr w:rsidR="00435CFF">
        <w:trPr>
          <w:trHeight w:val="351"/>
          <w:jc w:val="center"/>
        </w:trPr>
        <w:tc>
          <w:tcPr>
            <w:tcW w:w="4199" w:type="dxa"/>
            <w:vAlign w:val="center"/>
          </w:tcPr>
          <w:p w:rsidR="00435CFF" w:rsidRDefault="00BC16BC">
            <w:pPr>
              <w:spacing w:before="20" w:after="20"/>
              <w:jc w:val="left"/>
              <w:rPr>
                <w:b/>
                <w:noProof/>
                <w:sz w:val="22"/>
              </w:rPr>
            </w:pPr>
            <w:r>
              <w:rPr>
                <w:b/>
                <w:noProof/>
                <w:sz w:val="22"/>
              </w:rPr>
              <w:t>TOTAL des crédits pour la RUBRIQUE 7 du cadre financier pluriannuel</w:t>
            </w:r>
          </w:p>
        </w:tc>
        <w:tc>
          <w:tcPr>
            <w:tcW w:w="2046" w:type="dxa"/>
            <w:vAlign w:val="center"/>
          </w:tcPr>
          <w:p w:rsidR="00435CFF" w:rsidRDefault="00BC16BC">
            <w:pPr>
              <w:spacing w:before="20" w:after="20"/>
              <w:rPr>
                <w:noProof/>
                <w:sz w:val="22"/>
              </w:rPr>
            </w:pPr>
            <w:r>
              <w:rPr>
                <w:noProof/>
                <w:sz w:val="18"/>
              </w:rPr>
              <w:t>(Total des engagements = Total des paiements)</w:t>
            </w:r>
          </w:p>
        </w:tc>
        <w:tc>
          <w:tcPr>
            <w:tcW w:w="868" w:type="dxa"/>
            <w:vAlign w:val="center"/>
          </w:tcPr>
          <w:p w:rsidR="00435CFF" w:rsidRDefault="00BC16BC">
            <w:pPr>
              <w:spacing w:before="20" w:after="20"/>
              <w:jc w:val="right"/>
              <w:rPr>
                <w:b/>
                <w:noProof/>
                <w:sz w:val="20"/>
              </w:rPr>
            </w:pPr>
            <w:r>
              <w:rPr>
                <w:b/>
                <w:noProof/>
                <w:sz w:val="20"/>
              </w:rPr>
              <w:t>-</w:t>
            </w:r>
          </w:p>
        </w:tc>
        <w:tc>
          <w:tcPr>
            <w:tcW w:w="868" w:type="dxa"/>
            <w:vAlign w:val="center"/>
          </w:tcPr>
          <w:p w:rsidR="00435CFF" w:rsidRDefault="00BC16BC">
            <w:pPr>
              <w:spacing w:before="20" w:after="20"/>
              <w:jc w:val="right"/>
              <w:rPr>
                <w:b/>
                <w:noProof/>
                <w:sz w:val="20"/>
              </w:rPr>
            </w:pPr>
            <w:r>
              <w:rPr>
                <w:b/>
                <w:noProof/>
                <w:sz w:val="20"/>
              </w:rPr>
              <w:t>-</w:t>
            </w:r>
          </w:p>
        </w:tc>
        <w:tc>
          <w:tcPr>
            <w:tcW w:w="868" w:type="dxa"/>
            <w:vAlign w:val="center"/>
          </w:tcPr>
          <w:p w:rsidR="00435CFF" w:rsidRDefault="00BC16BC">
            <w:pPr>
              <w:spacing w:before="20" w:after="20"/>
              <w:jc w:val="right"/>
              <w:rPr>
                <w:b/>
                <w:noProof/>
                <w:sz w:val="20"/>
              </w:rPr>
            </w:pPr>
            <w:r>
              <w:rPr>
                <w:b/>
                <w:noProof/>
                <w:sz w:val="20"/>
              </w:rPr>
              <w:t>-</w:t>
            </w:r>
          </w:p>
        </w:tc>
        <w:tc>
          <w:tcPr>
            <w:tcW w:w="868" w:type="dxa"/>
            <w:vAlign w:val="center"/>
          </w:tcPr>
          <w:p w:rsidR="00435CFF" w:rsidRDefault="00BC16BC">
            <w:pPr>
              <w:spacing w:before="20" w:after="20"/>
              <w:jc w:val="right"/>
              <w:rPr>
                <w:b/>
                <w:noProof/>
                <w:sz w:val="20"/>
              </w:rPr>
            </w:pPr>
            <w:r>
              <w:rPr>
                <w:b/>
                <w:noProof/>
                <w:sz w:val="20"/>
              </w:rPr>
              <w:t>-</w:t>
            </w:r>
          </w:p>
        </w:tc>
        <w:tc>
          <w:tcPr>
            <w:tcW w:w="868" w:type="dxa"/>
            <w:vAlign w:val="center"/>
          </w:tcPr>
          <w:p w:rsidR="00435CFF" w:rsidRDefault="00BC16BC">
            <w:pPr>
              <w:spacing w:before="20" w:after="20"/>
              <w:jc w:val="right"/>
              <w:rPr>
                <w:b/>
                <w:noProof/>
                <w:sz w:val="20"/>
              </w:rPr>
            </w:pPr>
            <w:r>
              <w:rPr>
                <w:b/>
                <w:noProof/>
                <w:sz w:val="20"/>
              </w:rPr>
              <w:t>-</w:t>
            </w:r>
          </w:p>
        </w:tc>
        <w:tc>
          <w:tcPr>
            <w:tcW w:w="868" w:type="dxa"/>
            <w:vAlign w:val="center"/>
          </w:tcPr>
          <w:p w:rsidR="00435CFF" w:rsidRDefault="00BC16BC">
            <w:pPr>
              <w:spacing w:before="20" w:after="20"/>
              <w:jc w:val="right"/>
              <w:rPr>
                <w:b/>
                <w:noProof/>
                <w:sz w:val="20"/>
              </w:rPr>
            </w:pPr>
            <w:r>
              <w:rPr>
                <w:b/>
                <w:noProof/>
                <w:sz w:val="20"/>
              </w:rPr>
              <w:t>-</w:t>
            </w:r>
          </w:p>
        </w:tc>
        <w:tc>
          <w:tcPr>
            <w:tcW w:w="868" w:type="dxa"/>
            <w:vAlign w:val="center"/>
          </w:tcPr>
          <w:p w:rsidR="00435CFF" w:rsidRDefault="00BC16BC">
            <w:pPr>
              <w:spacing w:before="20" w:after="20"/>
              <w:jc w:val="right"/>
              <w:rPr>
                <w:b/>
                <w:noProof/>
                <w:sz w:val="20"/>
              </w:rPr>
            </w:pPr>
            <w:r>
              <w:rPr>
                <w:b/>
                <w:noProof/>
                <w:sz w:val="20"/>
              </w:rPr>
              <w:t>-</w:t>
            </w:r>
          </w:p>
        </w:tc>
        <w:tc>
          <w:tcPr>
            <w:tcW w:w="1291" w:type="dxa"/>
            <w:vAlign w:val="center"/>
          </w:tcPr>
          <w:p w:rsidR="00435CFF" w:rsidRDefault="00BC16BC">
            <w:pPr>
              <w:spacing w:before="20" w:after="20"/>
              <w:jc w:val="right"/>
              <w:rPr>
                <w:b/>
                <w:noProof/>
                <w:sz w:val="20"/>
              </w:rPr>
            </w:pPr>
            <w:r>
              <w:rPr>
                <w:b/>
                <w:noProof/>
                <w:sz w:val="20"/>
              </w:rPr>
              <w:t>-</w:t>
            </w:r>
          </w:p>
        </w:tc>
      </w:tr>
    </w:tbl>
    <w:p w:rsidR="00435CFF" w:rsidRDefault="00435CFF">
      <w:pPr>
        <w:rPr>
          <w:noProof/>
        </w:rPr>
        <w:sectPr w:rsidR="00435CFF">
          <w:headerReference w:type="default" r:id="rId15"/>
          <w:footerReference w:type="default" r:id="rId16"/>
          <w:headerReference w:type="first" r:id="rId17"/>
          <w:footerReference w:type="first" r:id="rId18"/>
          <w:pgSz w:w="16840" w:h="11907" w:orient="landscape" w:code="9"/>
          <w:pgMar w:top="1134" w:right="1418" w:bottom="1134" w:left="1418" w:header="709" w:footer="709" w:gutter="0"/>
          <w:cols w:space="708"/>
          <w:docGrid w:linePitch="360"/>
        </w:sectPr>
      </w:pPr>
    </w:p>
    <w:p w:rsidR="00435CFF" w:rsidRDefault="00BC16BC">
      <w:pPr>
        <w:keepNext/>
        <w:outlineLvl w:val="2"/>
        <w:rPr>
          <w:rFonts w:eastAsiaTheme="majorEastAsia"/>
          <w:i/>
          <w:noProof/>
          <w:szCs w:val="24"/>
        </w:rPr>
      </w:pPr>
      <w:bookmarkStart w:id="56" w:name="_Toc514941993"/>
      <w:bookmarkStart w:id="57" w:name="_Toc40376079"/>
      <w:r>
        <w:rPr>
          <w:bCs/>
          <w:i/>
          <w:noProof/>
        </w:rPr>
        <w:t xml:space="preserve">Synthèse de l’incidence estimée sur les crédits de nature </w:t>
      </w:r>
      <w:r>
        <w:rPr>
          <w:bCs/>
          <w:i/>
          <w:noProof/>
        </w:rPr>
        <w:t>administrative</w:t>
      </w:r>
      <w:bookmarkEnd w:id="56"/>
      <w:bookmarkEnd w:id="57"/>
    </w:p>
    <w:p w:rsidR="00435CFF" w:rsidRDefault="00BC16BC">
      <w:pPr>
        <w:rPr>
          <w:rFonts w:eastAsia="Times New Roman"/>
          <w:noProof/>
        </w:rPr>
      </w:pPr>
      <w:r>
        <w:rPr>
          <w:noProof/>
        </w:rPr>
        <w:sym w:font="Wingdings" w:char="F0A8"/>
      </w:r>
      <w:r>
        <w:rPr>
          <w:noProof/>
        </w:rPr>
        <w:tab/>
        <w:t xml:space="preserve">La proposition/l’initiative n’engendre pas l’utilisation de crédits de nature administrative.  </w:t>
      </w:r>
    </w:p>
    <w:p w:rsidR="00435CFF" w:rsidRDefault="00BC16BC">
      <w:pPr>
        <w:rPr>
          <w:rFonts w:eastAsia="Times New Roman"/>
          <w:noProof/>
        </w:rPr>
      </w:pPr>
      <w:r>
        <w:rPr>
          <w:noProof/>
        </w:rPr>
        <w:t>X</w:t>
      </w:r>
      <w:r>
        <w:rPr>
          <w:noProof/>
        </w:rPr>
        <w:tab/>
        <w:t>La proposition/l’initiative engendre l’utilisation de crédits de nature administrative, comme expliqué ci-après:</w:t>
      </w:r>
    </w:p>
    <w:p w:rsidR="00435CFF" w:rsidRDefault="00BC16BC">
      <w:pPr>
        <w:rPr>
          <w:noProof/>
          <w:sz w:val="20"/>
        </w:rPr>
      </w:pPr>
      <w:r>
        <w:rPr>
          <w:noProof/>
          <w:sz w:val="20"/>
        </w:rPr>
        <w:t>En Mio EUR (à la 3</w:t>
      </w:r>
      <w:r>
        <w:rPr>
          <w:noProof/>
          <w:sz w:val="20"/>
          <w:vertAlign w:val="superscript"/>
        </w:rPr>
        <w:t>e</w:t>
      </w:r>
      <w:r>
        <w:rPr>
          <w:noProof/>
          <w:sz w:val="20"/>
        </w:rPr>
        <w:t> décimale</w:t>
      </w:r>
      <w:r>
        <w:rPr>
          <w:noProof/>
          <w:sz w:val="20"/>
        </w:rPr>
        <w:t>)</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35CFF">
        <w:trPr>
          <w:trHeight w:val="585"/>
        </w:trPr>
        <w:tc>
          <w:tcPr>
            <w:tcW w:w="1980" w:type="dxa"/>
            <w:vAlign w:val="center"/>
          </w:tcPr>
          <w:p w:rsidR="00435CFF" w:rsidRDefault="00BC16BC">
            <w:pPr>
              <w:spacing w:before="60" w:after="60" w:line="200" w:lineRule="exact"/>
              <w:jc w:val="center"/>
              <w:rPr>
                <w:b/>
                <w:noProof/>
                <w:sz w:val="16"/>
                <w:szCs w:val="16"/>
              </w:rPr>
            </w:pPr>
            <w:r>
              <w:rPr>
                <w:b/>
                <w:noProof/>
                <w:sz w:val="16"/>
                <w:szCs w:val="16"/>
              </w:rPr>
              <w:t>Années</w:t>
            </w:r>
          </w:p>
        </w:tc>
        <w:tc>
          <w:tcPr>
            <w:tcW w:w="1080" w:type="dxa"/>
            <w:vAlign w:val="center"/>
          </w:tcPr>
          <w:p w:rsidR="00435CFF" w:rsidRDefault="00BC16BC">
            <w:pPr>
              <w:spacing w:before="60" w:after="60" w:line="200" w:lineRule="exact"/>
              <w:jc w:val="center"/>
              <w:rPr>
                <w:noProof/>
                <w:sz w:val="16"/>
                <w:szCs w:val="16"/>
              </w:rPr>
            </w:pPr>
            <w:r>
              <w:rPr>
                <w:b/>
                <w:noProof/>
                <w:sz w:val="20"/>
              </w:rPr>
              <w:t>2021</w:t>
            </w:r>
          </w:p>
        </w:tc>
        <w:tc>
          <w:tcPr>
            <w:tcW w:w="1080" w:type="dxa"/>
            <w:vAlign w:val="center"/>
          </w:tcPr>
          <w:p w:rsidR="00435CFF" w:rsidRDefault="00BC16BC">
            <w:pPr>
              <w:spacing w:before="60" w:after="60" w:line="200" w:lineRule="exact"/>
              <w:jc w:val="center"/>
              <w:rPr>
                <w:noProof/>
                <w:sz w:val="16"/>
                <w:szCs w:val="16"/>
              </w:rPr>
            </w:pPr>
            <w:r>
              <w:rPr>
                <w:b/>
                <w:noProof/>
                <w:sz w:val="20"/>
              </w:rPr>
              <w:t>2022</w:t>
            </w:r>
          </w:p>
        </w:tc>
        <w:tc>
          <w:tcPr>
            <w:tcW w:w="1080" w:type="dxa"/>
            <w:vAlign w:val="center"/>
          </w:tcPr>
          <w:p w:rsidR="00435CFF" w:rsidRDefault="00BC16BC">
            <w:pPr>
              <w:spacing w:before="60" w:after="60" w:line="200" w:lineRule="exact"/>
              <w:jc w:val="center"/>
              <w:rPr>
                <w:noProof/>
                <w:sz w:val="16"/>
                <w:szCs w:val="16"/>
              </w:rPr>
            </w:pPr>
            <w:r>
              <w:rPr>
                <w:b/>
                <w:noProof/>
                <w:sz w:val="20"/>
              </w:rPr>
              <w:t>2023</w:t>
            </w:r>
          </w:p>
        </w:tc>
        <w:tc>
          <w:tcPr>
            <w:tcW w:w="1080" w:type="dxa"/>
            <w:vAlign w:val="center"/>
          </w:tcPr>
          <w:p w:rsidR="00435CFF" w:rsidRDefault="00BC16BC">
            <w:pPr>
              <w:spacing w:before="60" w:after="60" w:line="200" w:lineRule="exact"/>
              <w:jc w:val="center"/>
              <w:rPr>
                <w:noProof/>
                <w:sz w:val="16"/>
                <w:szCs w:val="16"/>
              </w:rPr>
            </w:pPr>
            <w:r>
              <w:rPr>
                <w:b/>
                <w:noProof/>
                <w:sz w:val="20"/>
              </w:rPr>
              <w:t>2024</w:t>
            </w:r>
          </w:p>
        </w:tc>
        <w:tc>
          <w:tcPr>
            <w:tcW w:w="1080" w:type="dxa"/>
            <w:vAlign w:val="center"/>
          </w:tcPr>
          <w:p w:rsidR="00435CFF" w:rsidRDefault="00BC16BC">
            <w:pPr>
              <w:spacing w:before="60" w:after="60" w:line="200" w:lineRule="exact"/>
              <w:jc w:val="center"/>
              <w:rPr>
                <w:b/>
                <w:noProof/>
                <w:sz w:val="20"/>
              </w:rPr>
            </w:pPr>
            <w:r>
              <w:rPr>
                <w:b/>
                <w:noProof/>
                <w:sz w:val="20"/>
              </w:rPr>
              <w:t>2025</w:t>
            </w:r>
          </w:p>
        </w:tc>
        <w:tc>
          <w:tcPr>
            <w:tcW w:w="1080" w:type="dxa"/>
            <w:vAlign w:val="center"/>
          </w:tcPr>
          <w:p w:rsidR="00435CFF" w:rsidRDefault="00BC16BC">
            <w:pPr>
              <w:spacing w:before="60" w:after="60" w:line="200" w:lineRule="exact"/>
              <w:jc w:val="center"/>
              <w:rPr>
                <w:b/>
                <w:noProof/>
                <w:sz w:val="20"/>
              </w:rPr>
            </w:pPr>
            <w:r>
              <w:rPr>
                <w:b/>
                <w:noProof/>
                <w:sz w:val="20"/>
              </w:rPr>
              <w:t>2026</w:t>
            </w:r>
          </w:p>
        </w:tc>
        <w:tc>
          <w:tcPr>
            <w:tcW w:w="1080" w:type="dxa"/>
            <w:vAlign w:val="center"/>
          </w:tcPr>
          <w:p w:rsidR="00435CFF" w:rsidRDefault="00BC16BC">
            <w:pPr>
              <w:spacing w:before="60" w:after="60" w:line="200" w:lineRule="exact"/>
              <w:jc w:val="center"/>
              <w:rPr>
                <w:b/>
                <w:noProof/>
                <w:sz w:val="20"/>
              </w:rPr>
            </w:pPr>
            <w:r>
              <w:rPr>
                <w:b/>
                <w:noProof/>
                <w:sz w:val="20"/>
              </w:rPr>
              <w:t>2027</w:t>
            </w:r>
          </w:p>
        </w:tc>
        <w:tc>
          <w:tcPr>
            <w:tcW w:w="1080" w:type="dxa"/>
            <w:vAlign w:val="center"/>
          </w:tcPr>
          <w:p w:rsidR="00435CFF" w:rsidRDefault="00BC16BC">
            <w:pPr>
              <w:spacing w:before="60" w:after="60" w:line="200" w:lineRule="exact"/>
              <w:jc w:val="center"/>
              <w:rPr>
                <w:b/>
                <w:noProof/>
                <w:sz w:val="16"/>
                <w:szCs w:val="16"/>
              </w:rPr>
            </w:pPr>
            <w:r>
              <w:rPr>
                <w:b/>
                <w:noProof/>
                <w:sz w:val="20"/>
              </w:rPr>
              <w:t>TOTAL</w:t>
            </w:r>
          </w:p>
        </w:tc>
      </w:tr>
    </w:tbl>
    <w:p w:rsidR="00435CFF" w:rsidRDefault="00435CF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35CFF">
        <w:trPr>
          <w:trHeight w:val="585"/>
        </w:trPr>
        <w:tc>
          <w:tcPr>
            <w:tcW w:w="1980" w:type="dxa"/>
            <w:shd w:val="clear" w:color="auto" w:fill="CCCCCC"/>
            <w:vAlign w:val="center"/>
          </w:tcPr>
          <w:p w:rsidR="00435CFF" w:rsidRDefault="00BC16BC">
            <w:pPr>
              <w:spacing w:before="60" w:after="60" w:line="200" w:lineRule="exact"/>
              <w:jc w:val="center"/>
              <w:rPr>
                <w:b/>
                <w:noProof/>
                <w:sz w:val="16"/>
                <w:szCs w:val="16"/>
              </w:rPr>
            </w:pPr>
            <w:r>
              <w:rPr>
                <w:b/>
                <w:noProof/>
                <w:sz w:val="16"/>
              </w:rPr>
              <w:t>RUBRIQUE 7</w:t>
            </w:r>
            <w:r>
              <w:rPr>
                <w:noProof/>
              </w:rPr>
              <w:t xml:space="preserve"> </w:t>
            </w:r>
            <w:r>
              <w:rPr>
                <w:noProof/>
              </w:rPr>
              <w:br/>
            </w:r>
            <w:r>
              <w:rPr>
                <w:b/>
                <w:noProof/>
                <w:sz w:val="16"/>
              </w:rPr>
              <w:t>du cadre financier pluriannuel</w:t>
            </w: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b/>
                <w:noProof/>
                <w:sz w:val="16"/>
                <w:szCs w:val="16"/>
              </w:rPr>
            </w:pPr>
          </w:p>
        </w:tc>
        <w:tc>
          <w:tcPr>
            <w:tcW w:w="1080" w:type="dxa"/>
            <w:vAlign w:val="center"/>
          </w:tcPr>
          <w:p w:rsidR="00435CFF" w:rsidRDefault="00435CFF">
            <w:pPr>
              <w:spacing w:before="60" w:after="60" w:line="200" w:lineRule="exact"/>
              <w:jc w:val="right"/>
              <w:rPr>
                <w:b/>
                <w:noProof/>
                <w:sz w:val="16"/>
                <w:szCs w:val="16"/>
              </w:rPr>
            </w:pPr>
          </w:p>
        </w:tc>
      </w:tr>
      <w:tr w:rsidR="00435CFF">
        <w:trPr>
          <w:trHeight w:val="585"/>
        </w:trPr>
        <w:tc>
          <w:tcPr>
            <w:tcW w:w="1980" w:type="dxa"/>
            <w:vAlign w:val="center"/>
          </w:tcPr>
          <w:p w:rsidR="00435CFF" w:rsidRDefault="00BC16BC">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noProof/>
                <w:sz w:val="16"/>
                <w:szCs w:val="16"/>
              </w:rPr>
            </w:pPr>
          </w:p>
        </w:tc>
        <w:tc>
          <w:tcPr>
            <w:tcW w:w="1080" w:type="dxa"/>
            <w:vAlign w:val="center"/>
          </w:tcPr>
          <w:p w:rsidR="00435CFF" w:rsidRDefault="00435CFF">
            <w:pPr>
              <w:spacing w:before="60" w:after="60" w:line="200" w:lineRule="exact"/>
              <w:jc w:val="right"/>
              <w:rPr>
                <w:b/>
                <w:noProof/>
                <w:sz w:val="16"/>
                <w:szCs w:val="16"/>
              </w:rPr>
            </w:pPr>
          </w:p>
        </w:tc>
        <w:tc>
          <w:tcPr>
            <w:tcW w:w="1080" w:type="dxa"/>
            <w:vAlign w:val="center"/>
          </w:tcPr>
          <w:p w:rsidR="00435CFF" w:rsidRDefault="00435CFF">
            <w:pPr>
              <w:spacing w:before="60" w:after="60" w:line="200" w:lineRule="exact"/>
              <w:jc w:val="right"/>
              <w:rPr>
                <w:b/>
                <w:noProof/>
                <w:sz w:val="16"/>
                <w:szCs w:val="16"/>
              </w:rPr>
            </w:pPr>
          </w:p>
        </w:tc>
      </w:tr>
      <w:tr w:rsidR="00435CFF">
        <w:trPr>
          <w:trHeight w:val="585"/>
        </w:trPr>
        <w:tc>
          <w:tcPr>
            <w:tcW w:w="1980" w:type="dxa"/>
            <w:vAlign w:val="center"/>
          </w:tcPr>
          <w:p w:rsidR="00435CFF" w:rsidRDefault="00BC16BC">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435CFF" w:rsidRDefault="00435CFF">
            <w:pPr>
              <w:spacing w:before="60" w:after="60" w:line="200" w:lineRule="exact"/>
              <w:jc w:val="center"/>
              <w:rPr>
                <w:noProof/>
                <w:sz w:val="16"/>
                <w:szCs w:val="16"/>
              </w:rPr>
            </w:pPr>
          </w:p>
        </w:tc>
        <w:tc>
          <w:tcPr>
            <w:tcW w:w="1080" w:type="dxa"/>
            <w:vAlign w:val="center"/>
          </w:tcPr>
          <w:p w:rsidR="00435CFF" w:rsidRDefault="00435CFF">
            <w:pPr>
              <w:spacing w:before="60" w:after="60" w:line="200" w:lineRule="exact"/>
              <w:jc w:val="center"/>
              <w:rPr>
                <w:noProof/>
                <w:sz w:val="16"/>
                <w:szCs w:val="16"/>
              </w:rPr>
            </w:pPr>
          </w:p>
        </w:tc>
        <w:tc>
          <w:tcPr>
            <w:tcW w:w="1080" w:type="dxa"/>
            <w:vAlign w:val="center"/>
          </w:tcPr>
          <w:p w:rsidR="00435CFF" w:rsidRDefault="00435CFF">
            <w:pPr>
              <w:spacing w:before="60" w:after="60" w:line="200" w:lineRule="exact"/>
              <w:jc w:val="center"/>
              <w:rPr>
                <w:noProof/>
                <w:sz w:val="16"/>
                <w:szCs w:val="16"/>
              </w:rPr>
            </w:pPr>
          </w:p>
        </w:tc>
        <w:tc>
          <w:tcPr>
            <w:tcW w:w="1080" w:type="dxa"/>
            <w:vAlign w:val="center"/>
          </w:tcPr>
          <w:p w:rsidR="00435CFF" w:rsidRDefault="00435CFF">
            <w:pPr>
              <w:spacing w:before="60" w:after="60" w:line="200" w:lineRule="exact"/>
              <w:jc w:val="center"/>
              <w:rPr>
                <w:noProof/>
                <w:sz w:val="16"/>
                <w:szCs w:val="16"/>
              </w:rPr>
            </w:pPr>
          </w:p>
        </w:tc>
        <w:tc>
          <w:tcPr>
            <w:tcW w:w="1080" w:type="dxa"/>
            <w:vAlign w:val="center"/>
          </w:tcPr>
          <w:p w:rsidR="00435CFF" w:rsidRDefault="00435CFF">
            <w:pPr>
              <w:spacing w:before="60" w:after="60" w:line="200" w:lineRule="exact"/>
              <w:jc w:val="center"/>
              <w:rPr>
                <w:noProof/>
                <w:sz w:val="16"/>
                <w:szCs w:val="16"/>
              </w:rPr>
            </w:pPr>
          </w:p>
        </w:tc>
        <w:tc>
          <w:tcPr>
            <w:tcW w:w="1080" w:type="dxa"/>
            <w:vAlign w:val="center"/>
          </w:tcPr>
          <w:p w:rsidR="00435CFF" w:rsidRDefault="00435CFF">
            <w:pPr>
              <w:spacing w:before="60" w:after="60" w:line="200" w:lineRule="exact"/>
              <w:jc w:val="center"/>
              <w:rPr>
                <w:noProof/>
                <w:sz w:val="16"/>
                <w:szCs w:val="16"/>
              </w:rPr>
            </w:pPr>
          </w:p>
        </w:tc>
        <w:tc>
          <w:tcPr>
            <w:tcW w:w="1080" w:type="dxa"/>
            <w:vAlign w:val="center"/>
          </w:tcPr>
          <w:p w:rsidR="00435CFF" w:rsidRDefault="00435CFF">
            <w:pPr>
              <w:spacing w:before="60" w:after="60" w:line="200" w:lineRule="exact"/>
              <w:jc w:val="center"/>
              <w:rPr>
                <w:b/>
                <w:noProof/>
                <w:sz w:val="16"/>
                <w:szCs w:val="16"/>
              </w:rPr>
            </w:pPr>
          </w:p>
        </w:tc>
        <w:tc>
          <w:tcPr>
            <w:tcW w:w="1080" w:type="dxa"/>
            <w:vAlign w:val="center"/>
          </w:tcPr>
          <w:p w:rsidR="00435CFF" w:rsidRDefault="00435CFF">
            <w:pPr>
              <w:spacing w:before="60" w:after="60" w:line="200" w:lineRule="exact"/>
              <w:jc w:val="center"/>
              <w:rPr>
                <w:b/>
                <w:noProof/>
                <w:sz w:val="16"/>
                <w:szCs w:val="16"/>
              </w:rPr>
            </w:pPr>
          </w:p>
        </w:tc>
      </w:tr>
      <w:tr w:rsidR="00435CFF">
        <w:trPr>
          <w:trHeight w:val="585"/>
        </w:trPr>
        <w:tc>
          <w:tcPr>
            <w:tcW w:w="1980" w:type="dxa"/>
            <w:shd w:val="clear" w:color="auto" w:fill="CCCCCC"/>
            <w:vAlign w:val="center"/>
          </w:tcPr>
          <w:p w:rsidR="00435CFF" w:rsidRDefault="00BC16BC">
            <w:pPr>
              <w:spacing w:before="60" w:after="60" w:line="200" w:lineRule="exact"/>
              <w:jc w:val="center"/>
              <w:rPr>
                <w:b/>
                <w:noProof/>
                <w:sz w:val="16"/>
                <w:szCs w:val="16"/>
              </w:rPr>
            </w:pPr>
            <w:r>
              <w:rPr>
                <w:b/>
                <w:noProof/>
                <w:sz w:val="16"/>
              </w:rPr>
              <w:t>Sous-total RUBRIQUE 7</w:t>
            </w:r>
            <w:r>
              <w:rPr>
                <w:noProof/>
              </w:rPr>
              <w:t xml:space="preserve"> </w:t>
            </w:r>
            <w:r>
              <w:rPr>
                <w:noProof/>
              </w:rPr>
              <w:br/>
            </w:r>
            <w:r>
              <w:rPr>
                <w:b/>
                <w:noProof/>
                <w:sz w:val="16"/>
              </w:rPr>
              <w:t xml:space="preserve">du cadre financier pluriannuel </w:t>
            </w:r>
          </w:p>
        </w:tc>
        <w:tc>
          <w:tcPr>
            <w:tcW w:w="1080" w:type="dxa"/>
            <w:vAlign w:val="center"/>
          </w:tcPr>
          <w:p w:rsidR="00435CFF" w:rsidRDefault="00BC16BC">
            <w:pPr>
              <w:spacing w:before="60" w:after="60" w:line="200" w:lineRule="exact"/>
              <w:jc w:val="center"/>
              <w:rPr>
                <w:noProof/>
                <w:sz w:val="16"/>
                <w:szCs w:val="16"/>
              </w:rPr>
            </w:pPr>
            <w:r>
              <w:rPr>
                <w:noProof/>
                <w:sz w:val="16"/>
                <w:szCs w:val="16"/>
              </w:rPr>
              <w:t>-</w:t>
            </w:r>
          </w:p>
        </w:tc>
        <w:tc>
          <w:tcPr>
            <w:tcW w:w="1080" w:type="dxa"/>
            <w:vAlign w:val="center"/>
          </w:tcPr>
          <w:p w:rsidR="00435CFF" w:rsidRDefault="00BC16BC">
            <w:pPr>
              <w:spacing w:before="60" w:after="60" w:line="200" w:lineRule="exact"/>
              <w:jc w:val="center"/>
              <w:rPr>
                <w:noProof/>
                <w:sz w:val="16"/>
                <w:szCs w:val="16"/>
              </w:rPr>
            </w:pPr>
            <w:r>
              <w:rPr>
                <w:noProof/>
                <w:sz w:val="16"/>
                <w:szCs w:val="16"/>
              </w:rPr>
              <w:t>-</w:t>
            </w:r>
          </w:p>
        </w:tc>
        <w:tc>
          <w:tcPr>
            <w:tcW w:w="1080" w:type="dxa"/>
            <w:vAlign w:val="center"/>
          </w:tcPr>
          <w:p w:rsidR="00435CFF" w:rsidRDefault="00BC16BC">
            <w:pPr>
              <w:spacing w:before="60" w:after="60" w:line="200" w:lineRule="exact"/>
              <w:jc w:val="center"/>
              <w:rPr>
                <w:noProof/>
                <w:sz w:val="16"/>
                <w:szCs w:val="16"/>
              </w:rPr>
            </w:pPr>
            <w:r>
              <w:rPr>
                <w:noProof/>
                <w:sz w:val="16"/>
                <w:szCs w:val="16"/>
              </w:rPr>
              <w:t>-</w:t>
            </w:r>
          </w:p>
        </w:tc>
        <w:tc>
          <w:tcPr>
            <w:tcW w:w="1080" w:type="dxa"/>
            <w:vAlign w:val="center"/>
          </w:tcPr>
          <w:p w:rsidR="00435CFF" w:rsidRDefault="00BC16BC">
            <w:pPr>
              <w:spacing w:before="60" w:after="60" w:line="200" w:lineRule="exact"/>
              <w:jc w:val="center"/>
              <w:rPr>
                <w:noProof/>
                <w:sz w:val="16"/>
                <w:szCs w:val="16"/>
              </w:rPr>
            </w:pPr>
            <w:r>
              <w:rPr>
                <w:noProof/>
                <w:sz w:val="16"/>
                <w:szCs w:val="16"/>
              </w:rPr>
              <w:t>-</w:t>
            </w:r>
          </w:p>
        </w:tc>
        <w:tc>
          <w:tcPr>
            <w:tcW w:w="1080" w:type="dxa"/>
            <w:vAlign w:val="center"/>
          </w:tcPr>
          <w:p w:rsidR="00435CFF" w:rsidRDefault="00BC16BC">
            <w:pPr>
              <w:spacing w:before="60" w:after="60" w:line="200" w:lineRule="exact"/>
              <w:jc w:val="center"/>
              <w:rPr>
                <w:noProof/>
                <w:sz w:val="16"/>
                <w:szCs w:val="16"/>
              </w:rPr>
            </w:pPr>
            <w:r>
              <w:rPr>
                <w:noProof/>
                <w:sz w:val="16"/>
                <w:szCs w:val="16"/>
              </w:rPr>
              <w:t>-</w:t>
            </w:r>
          </w:p>
        </w:tc>
        <w:tc>
          <w:tcPr>
            <w:tcW w:w="1080" w:type="dxa"/>
            <w:vAlign w:val="center"/>
          </w:tcPr>
          <w:p w:rsidR="00435CFF" w:rsidRDefault="00BC16BC">
            <w:pPr>
              <w:spacing w:before="60" w:after="60" w:line="200" w:lineRule="exact"/>
              <w:jc w:val="center"/>
              <w:rPr>
                <w:noProof/>
                <w:sz w:val="16"/>
                <w:szCs w:val="16"/>
              </w:rPr>
            </w:pPr>
            <w:r>
              <w:rPr>
                <w:noProof/>
                <w:sz w:val="16"/>
                <w:szCs w:val="16"/>
              </w:rPr>
              <w:t>-</w:t>
            </w:r>
          </w:p>
        </w:tc>
        <w:tc>
          <w:tcPr>
            <w:tcW w:w="1080" w:type="dxa"/>
            <w:vAlign w:val="center"/>
          </w:tcPr>
          <w:p w:rsidR="00435CFF" w:rsidRDefault="00BC16BC">
            <w:pPr>
              <w:spacing w:before="60" w:after="60" w:line="200" w:lineRule="exact"/>
              <w:jc w:val="center"/>
              <w:rPr>
                <w:b/>
                <w:noProof/>
                <w:sz w:val="16"/>
                <w:szCs w:val="16"/>
              </w:rPr>
            </w:pPr>
            <w:r>
              <w:rPr>
                <w:b/>
                <w:noProof/>
                <w:sz w:val="16"/>
                <w:szCs w:val="16"/>
              </w:rPr>
              <w:t>-</w:t>
            </w:r>
          </w:p>
        </w:tc>
        <w:tc>
          <w:tcPr>
            <w:tcW w:w="1080" w:type="dxa"/>
            <w:vAlign w:val="center"/>
          </w:tcPr>
          <w:p w:rsidR="00435CFF" w:rsidRDefault="00BC16BC">
            <w:pPr>
              <w:spacing w:before="60" w:after="60" w:line="200" w:lineRule="exact"/>
              <w:jc w:val="center"/>
              <w:rPr>
                <w:b/>
                <w:noProof/>
                <w:sz w:val="16"/>
                <w:szCs w:val="16"/>
              </w:rPr>
            </w:pPr>
            <w:r>
              <w:rPr>
                <w:b/>
                <w:noProof/>
                <w:sz w:val="16"/>
                <w:szCs w:val="16"/>
              </w:rPr>
              <w:t>-</w:t>
            </w:r>
          </w:p>
        </w:tc>
      </w:tr>
    </w:tbl>
    <w:p w:rsidR="00435CFF" w:rsidRDefault="00435CFF">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435CFF" w:rsidRPr="00BC16BC">
        <w:trPr>
          <w:trHeight w:val="585"/>
        </w:trPr>
        <w:tc>
          <w:tcPr>
            <w:tcW w:w="1980" w:type="dxa"/>
            <w:shd w:val="clear" w:color="auto" w:fill="CCCCCC"/>
            <w:vAlign w:val="center"/>
          </w:tcPr>
          <w:p w:rsidR="00435CFF" w:rsidRDefault="00BC16BC">
            <w:pPr>
              <w:spacing w:before="60" w:after="60" w:line="200" w:lineRule="exact"/>
              <w:jc w:val="center"/>
              <w:rPr>
                <w:noProof/>
                <w:sz w:val="16"/>
                <w:szCs w:val="16"/>
                <w:lang w:val="en-US"/>
              </w:rPr>
            </w:pPr>
            <w:r>
              <w:rPr>
                <w:b/>
                <w:noProof/>
                <w:sz w:val="16"/>
                <w:szCs w:val="16"/>
                <w:lang w:val="en-US"/>
              </w:rPr>
              <w:t xml:space="preserve">Hors </w:t>
            </w:r>
            <w:r>
              <w:rPr>
                <w:b/>
                <w:noProof/>
                <w:sz w:val="16"/>
                <w:szCs w:val="16"/>
                <w:lang w:val="en-US"/>
              </w:rPr>
              <w:t>RUBRIQUE 7</w:t>
            </w:r>
            <w:r>
              <w:rPr>
                <w:rStyle w:val="FootnoteReference"/>
                <w:noProof/>
              </w:rPr>
              <w:footnoteReference w:id="16"/>
            </w:r>
            <w:r>
              <w:rPr>
                <w:noProof/>
                <w:lang w:val="en-US"/>
              </w:rPr>
              <w:t xml:space="preserve"> </w:t>
            </w:r>
            <w:r>
              <w:rPr>
                <w:noProof/>
                <w:lang w:val="en-US"/>
              </w:rPr>
              <w:br/>
            </w:r>
            <w:r>
              <w:rPr>
                <w:b/>
                <w:noProof/>
                <w:sz w:val="16"/>
                <w:szCs w:val="16"/>
                <w:lang w:val="en-US"/>
              </w:rPr>
              <w:t xml:space="preserve">of the multiannual financial framework </w:t>
            </w:r>
          </w:p>
          <w:p w:rsidR="00435CFF" w:rsidRDefault="00435CFF">
            <w:pPr>
              <w:spacing w:before="0" w:after="0" w:line="200" w:lineRule="exact"/>
              <w:jc w:val="center"/>
              <w:rPr>
                <w:b/>
                <w:noProof/>
                <w:sz w:val="16"/>
                <w:szCs w:val="16"/>
                <w:lang w:val="en-US"/>
              </w:rPr>
            </w:pPr>
          </w:p>
        </w:tc>
        <w:tc>
          <w:tcPr>
            <w:tcW w:w="1080" w:type="dxa"/>
            <w:vAlign w:val="center"/>
          </w:tcPr>
          <w:p w:rsidR="00435CFF" w:rsidRDefault="00435CFF">
            <w:pPr>
              <w:spacing w:before="60" w:after="60" w:line="200" w:lineRule="exact"/>
              <w:jc w:val="right"/>
              <w:rPr>
                <w:noProof/>
                <w:sz w:val="16"/>
                <w:szCs w:val="16"/>
                <w:lang w:val="en-US"/>
              </w:rPr>
            </w:pPr>
          </w:p>
        </w:tc>
        <w:tc>
          <w:tcPr>
            <w:tcW w:w="1080" w:type="dxa"/>
            <w:vAlign w:val="center"/>
          </w:tcPr>
          <w:p w:rsidR="00435CFF" w:rsidRDefault="00435CFF">
            <w:pPr>
              <w:spacing w:before="60" w:after="60" w:line="200" w:lineRule="exact"/>
              <w:jc w:val="right"/>
              <w:rPr>
                <w:noProof/>
                <w:sz w:val="16"/>
                <w:szCs w:val="16"/>
                <w:lang w:val="en-US"/>
              </w:rPr>
            </w:pPr>
          </w:p>
        </w:tc>
        <w:tc>
          <w:tcPr>
            <w:tcW w:w="1080" w:type="dxa"/>
            <w:vAlign w:val="center"/>
          </w:tcPr>
          <w:p w:rsidR="00435CFF" w:rsidRDefault="00435CFF">
            <w:pPr>
              <w:spacing w:before="60" w:after="60" w:line="200" w:lineRule="exact"/>
              <w:jc w:val="right"/>
              <w:rPr>
                <w:noProof/>
                <w:sz w:val="16"/>
                <w:szCs w:val="16"/>
                <w:lang w:val="en-US"/>
              </w:rPr>
            </w:pPr>
          </w:p>
        </w:tc>
        <w:tc>
          <w:tcPr>
            <w:tcW w:w="1080" w:type="dxa"/>
            <w:vAlign w:val="center"/>
          </w:tcPr>
          <w:p w:rsidR="00435CFF" w:rsidRDefault="00435CFF">
            <w:pPr>
              <w:spacing w:before="60" w:after="60" w:line="200" w:lineRule="exact"/>
              <w:jc w:val="right"/>
              <w:rPr>
                <w:noProof/>
                <w:sz w:val="16"/>
                <w:szCs w:val="16"/>
                <w:lang w:val="en-US"/>
              </w:rPr>
            </w:pPr>
          </w:p>
        </w:tc>
        <w:tc>
          <w:tcPr>
            <w:tcW w:w="1080" w:type="dxa"/>
            <w:vAlign w:val="center"/>
          </w:tcPr>
          <w:p w:rsidR="00435CFF" w:rsidRDefault="00435CFF">
            <w:pPr>
              <w:spacing w:before="60" w:after="60" w:line="200" w:lineRule="exact"/>
              <w:jc w:val="right"/>
              <w:rPr>
                <w:noProof/>
                <w:sz w:val="16"/>
                <w:szCs w:val="16"/>
                <w:lang w:val="en-US"/>
              </w:rPr>
            </w:pPr>
          </w:p>
        </w:tc>
        <w:tc>
          <w:tcPr>
            <w:tcW w:w="1080" w:type="dxa"/>
            <w:vAlign w:val="center"/>
          </w:tcPr>
          <w:p w:rsidR="00435CFF" w:rsidRDefault="00435CFF">
            <w:pPr>
              <w:spacing w:before="60" w:after="60" w:line="200" w:lineRule="exact"/>
              <w:jc w:val="right"/>
              <w:rPr>
                <w:noProof/>
                <w:sz w:val="16"/>
                <w:szCs w:val="16"/>
                <w:lang w:val="en-US"/>
              </w:rPr>
            </w:pPr>
          </w:p>
        </w:tc>
        <w:tc>
          <w:tcPr>
            <w:tcW w:w="1080" w:type="dxa"/>
            <w:vAlign w:val="center"/>
          </w:tcPr>
          <w:p w:rsidR="00435CFF" w:rsidRDefault="00435CFF">
            <w:pPr>
              <w:spacing w:before="60" w:after="60" w:line="200" w:lineRule="exact"/>
              <w:jc w:val="right"/>
              <w:rPr>
                <w:b/>
                <w:noProof/>
                <w:sz w:val="16"/>
                <w:szCs w:val="16"/>
                <w:lang w:val="en-US"/>
              </w:rPr>
            </w:pPr>
          </w:p>
        </w:tc>
        <w:tc>
          <w:tcPr>
            <w:tcW w:w="1080" w:type="dxa"/>
            <w:vAlign w:val="center"/>
          </w:tcPr>
          <w:p w:rsidR="00435CFF" w:rsidRDefault="00435CFF">
            <w:pPr>
              <w:spacing w:before="60" w:after="60" w:line="200" w:lineRule="exact"/>
              <w:jc w:val="right"/>
              <w:rPr>
                <w:b/>
                <w:noProof/>
                <w:sz w:val="16"/>
                <w:szCs w:val="16"/>
                <w:lang w:val="en-US"/>
              </w:rPr>
            </w:pPr>
          </w:p>
        </w:tc>
      </w:tr>
      <w:tr w:rsidR="00435CFF">
        <w:trPr>
          <w:trHeight w:val="585"/>
        </w:trPr>
        <w:tc>
          <w:tcPr>
            <w:tcW w:w="1980" w:type="dxa"/>
            <w:vAlign w:val="center"/>
          </w:tcPr>
          <w:p w:rsidR="00435CFF" w:rsidRDefault="00BC16BC">
            <w:pPr>
              <w:spacing w:before="60" w:after="60" w:line="200" w:lineRule="exact"/>
              <w:ind w:left="72"/>
              <w:jc w:val="left"/>
              <w:rPr>
                <w:noProof/>
                <w:sz w:val="16"/>
                <w:szCs w:val="16"/>
              </w:rPr>
            </w:pPr>
            <w:r>
              <w:rPr>
                <w:noProof/>
                <w:sz w:val="16"/>
                <w:szCs w:val="16"/>
              </w:rPr>
              <w:t xml:space="preserve">Ressources humaines - recettes affectées externes (recherche) </w:t>
            </w:r>
          </w:p>
        </w:tc>
        <w:tc>
          <w:tcPr>
            <w:tcW w:w="1080" w:type="dxa"/>
            <w:vAlign w:val="center"/>
          </w:tcPr>
          <w:p w:rsidR="00435CFF" w:rsidRDefault="00BC16BC">
            <w:pPr>
              <w:spacing w:before="60" w:after="60" w:line="200" w:lineRule="exact"/>
              <w:jc w:val="right"/>
              <w:rPr>
                <w:noProof/>
                <w:sz w:val="16"/>
                <w:szCs w:val="16"/>
              </w:rPr>
            </w:pPr>
            <w:r>
              <w:rPr>
                <w:noProof/>
                <w:sz w:val="16"/>
                <w:szCs w:val="16"/>
              </w:rPr>
              <w:t>6,000</w:t>
            </w:r>
          </w:p>
        </w:tc>
        <w:tc>
          <w:tcPr>
            <w:tcW w:w="1080" w:type="dxa"/>
            <w:vAlign w:val="center"/>
          </w:tcPr>
          <w:p w:rsidR="00435CFF" w:rsidRDefault="00BC16BC">
            <w:pPr>
              <w:spacing w:before="60" w:after="60" w:line="200" w:lineRule="exact"/>
              <w:jc w:val="right"/>
              <w:rPr>
                <w:noProof/>
                <w:sz w:val="16"/>
                <w:szCs w:val="16"/>
              </w:rPr>
            </w:pPr>
            <w:r>
              <w:rPr>
                <w:noProof/>
                <w:sz w:val="16"/>
                <w:szCs w:val="16"/>
              </w:rPr>
              <w:t>6,000</w:t>
            </w:r>
          </w:p>
        </w:tc>
        <w:tc>
          <w:tcPr>
            <w:tcW w:w="1080" w:type="dxa"/>
            <w:vAlign w:val="center"/>
          </w:tcPr>
          <w:p w:rsidR="00435CFF" w:rsidRDefault="00BC16BC">
            <w:pPr>
              <w:spacing w:before="60" w:after="60" w:line="200" w:lineRule="exact"/>
              <w:jc w:val="right"/>
              <w:rPr>
                <w:noProof/>
                <w:sz w:val="16"/>
                <w:szCs w:val="16"/>
              </w:rPr>
            </w:pPr>
            <w:r>
              <w:rPr>
                <w:noProof/>
                <w:sz w:val="16"/>
                <w:szCs w:val="16"/>
              </w:rPr>
              <w:t>6,000</w:t>
            </w:r>
          </w:p>
        </w:tc>
        <w:tc>
          <w:tcPr>
            <w:tcW w:w="1080" w:type="dxa"/>
            <w:vAlign w:val="center"/>
          </w:tcPr>
          <w:p w:rsidR="00435CFF" w:rsidRDefault="00BC16BC">
            <w:pPr>
              <w:spacing w:before="60" w:after="60" w:line="200" w:lineRule="exact"/>
              <w:jc w:val="right"/>
              <w:rPr>
                <w:noProof/>
                <w:sz w:val="16"/>
                <w:szCs w:val="16"/>
              </w:rPr>
            </w:pPr>
            <w:r>
              <w:rPr>
                <w:noProof/>
                <w:sz w:val="16"/>
                <w:szCs w:val="16"/>
              </w:rPr>
              <w:t>4,800</w:t>
            </w:r>
          </w:p>
        </w:tc>
        <w:tc>
          <w:tcPr>
            <w:tcW w:w="1080" w:type="dxa"/>
            <w:vAlign w:val="center"/>
          </w:tcPr>
          <w:p w:rsidR="00435CFF" w:rsidRDefault="00BC16BC">
            <w:pPr>
              <w:spacing w:before="60" w:after="60" w:line="200" w:lineRule="exact"/>
              <w:jc w:val="right"/>
              <w:rPr>
                <w:noProof/>
                <w:sz w:val="16"/>
                <w:szCs w:val="16"/>
              </w:rPr>
            </w:pPr>
            <w:r>
              <w:rPr>
                <w:noProof/>
                <w:sz w:val="16"/>
                <w:szCs w:val="16"/>
              </w:rPr>
              <w:t>2,400</w:t>
            </w:r>
          </w:p>
        </w:tc>
        <w:tc>
          <w:tcPr>
            <w:tcW w:w="1080" w:type="dxa"/>
            <w:vAlign w:val="center"/>
          </w:tcPr>
          <w:p w:rsidR="00435CFF" w:rsidRDefault="00BC16BC">
            <w:pPr>
              <w:spacing w:before="60" w:after="60" w:line="200" w:lineRule="exact"/>
              <w:jc w:val="right"/>
              <w:rPr>
                <w:noProof/>
                <w:sz w:val="16"/>
                <w:szCs w:val="16"/>
              </w:rPr>
            </w:pPr>
            <w:r>
              <w:rPr>
                <w:noProof/>
                <w:sz w:val="16"/>
                <w:szCs w:val="16"/>
              </w:rPr>
              <w:t>1,600</w:t>
            </w:r>
          </w:p>
        </w:tc>
        <w:tc>
          <w:tcPr>
            <w:tcW w:w="1080" w:type="dxa"/>
            <w:vAlign w:val="center"/>
          </w:tcPr>
          <w:p w:rsidR="00435CFF" w:rsidRDefault="00BC16BC">
            <w:pPr>
              <w:spacing w:before="60" w:after="60" w:line="200" w:lineRule="exact"/>
              <w:jc w:val="right"/>
              <w:rPr>
                <w:b/>
                <w:noProof/>
                <w:sz w:val="16"/>
                <w:szCs w:val="16"/>
              </w:rPr>
            </w:pPr>
            <w:r>
              <w:rPr>
                <w:noProof/>
                <w:sz w:val="16"/>
                <w:szCs w:val="16"/>
              </w:rPr>
              <w:t>1,200</w:t>
            </w:r>
          </w:p>
        </w:tc>
        <w:tc>
          <w:tcPr>
            <w:tcW w:w="1080" w:type="dxa"/>
            <w:vAlign w:val="center"/>
          </w:tcPr>
          <w:p w:rsidR="00435CFF" w:rsidRDefault="00BC16BC">
            <w:pPr>
              <w:spacing w:before="60" w:after="60" w:line="200" w:lineRule="exact"/>
              <w:jc w:val="right"/>
              <w:rPr>
                <w:b/>
                <w:noProof/>
                <w:sz w:val="16"/>
                <w:szCs w:val="16"/>
              </w:rPr>
            </w:pPr>
            <w:r>
              <w:rPr>
                <w:noProof/>
                <w:sz w:val="16"/>
                <w:szCs w:val="16"/>
              </w:rPr>
              <w:t>28,000</w:t>
            </w:r>
          </w:p>
        </w:tc>
      </w:tr>
      <w:tr w:rsidR="00435CFF">
        <w:trPr>
          <w:trHeight w:val="585"/>
        </w:trPr>
        <w:tc>
          <w:tcPr>
            <w:tcW w:w="1980" w:type="dxa"/>
            <w:vAlign w:val="center"/>
          </w:tcPr>
          <w:p w:rsidR="00435CFF" w:rsidRDefault="00BC16BC">
            <w:pPr>
              <w:spacing w:before="60" w:after="60" w:line="200" w:lineRule="exact"/>
              <w:ind w:left="72"/>
              <w:jc w:val="left"/>
              <w:rPr>
                <w:noProof/>
                <w:sz w:val="16"/>
                <w:szCs w:val="16"/>
              </w:rPr>
            </w:pPr>
            <w:r>
              <w:rPr>
                <w:noProof/>
              </w:rPr>
              <w:t>Autres dépenses</w:t>
            </w:r>
            <w:r>
              <w:rPr>
                <w:noProof/>
              </w:rPr>
              <w:br/>
              <w:t xml:space="preserve">de nature administrative - recettes affectées externes </w:t>
            </w:r>
            <w:r>
              <w:rPr>
                <w:noProof/>
              </w:rPr>
              <w:t>(recherche)</w:t>
            </w:r>
            <w:r>
              <w:rPr>
                <w:noProof/>
                <w:sz w:val="16"/>
                <w:szCs w:val="16"/>
              </w:rPr>
              <w:t xml:space="preserve"> </w:t>
            </w:r>
          </w:p>
        </w:tc>
        <w:tc>
          <w:tcPr>
            <w:tcW w:w="1080" w:type="dxa"/>
          </w:tcPr>
          <w:p w:rsidR="00435CFF" w:rsidRDefault="00435CFF">
            <w:pPr>
              <w:spacing w:before="60" w:after="60" w:line="200" w:lineRule="exact"/>
              <w:jc w:val="right"/>
              <w:rPr>
                <w:noProof/>
                <w:sz w:val="16"/>
                <w:szCs w:val="16"/>
              </w:rPr>
            </w:pPr>
          </w:p>
          <w:p w:rsidR="00435CFF" w:rsidRDefault="00BC16BC">
            <w:pPr>
              <w:spacing w:before="60" w:after="60" w:line="200" w:lineRule="exact"/>
              <w:jc w:val="right"/>
              <w:rPr>
                <w:noProof/>
                <w:sz w:val="16"/>
                <w:szCs w:val="16"/>
              </w:rPr>
            </w:pPr>
            <w:r>
              <w:rPr>
                <w:noProof/>
                <w:sz w:val="16"/>
                <w:szCs w:val="16"/>
              </w:rPr>
              <w:t>120,980</w:t>
            </w:r>
          </w:p>
        </w:tc>
        <w:tc>
          <w:tcPr>
            <w:tcW w:w="1080" w:type="dxa"/>
          </w:tcPr>
          <w:p w:rsidR="00435CFF" w:rsidRDefault="00435CFF">
            <w:pPr>
              <w:spacing w:before="60" w:after="60" w:line="200" w:lineRule="exact"/>
              <w:jc w:val="right"/>
              <w:rPr>
                <w:noProof/>
                <w:sz w:val="16"/>
                <w:szCs w:val="16"/>
              </w:rPr>
            </w:pPr>
          </w:p>
          <w:p w:rsidR="00435CFF" w:rsidRDefault="00BC16BC">
            <w:pPr>
              <w:spacing w:before="60" w:after="60" w:line="200" w:lineRule="exact"/>
              <w:jc w:val="right"/>
              <w:rPr>
                <w:noProof/>
                <w:sz w:val="16"/>
                <w:szCs w:val="16"/>
              </w:rPr>
            </w:pPr>
            <w:r>
              <w:rPr>
                <w:noProof/>
                <w:sz w:val="16"/>
                <w:szCs w:val="16"/>
              </w:rPr>
              <w:t>191,680</w:t>
            </w:r>
          </w:p>
        </w:tc>
        <w:tc>
          <w:tcPr>
            <w:tcW w:w="1080" w:type="dxa"/>
          </w:tcPr>
          <w:p w:rsidR="00435CFF" w:rsidRDefault="00435CFF">
            <w:pPr>
              <w:spacing w:before="60" w:after="60" w:line="200" w:lineRule="exact"/>
              <w:jc w:val="right"/>
              <w:rPr>
                <w:noProof/>
                <w:sz w:val="16"/>
                <w:szCs w:val="16"/>
              </w:rPr>
            </w:pPr>
          </w:p>
          <w:p w:rsidR="00435CFF" w:rsidRDefault="00BC16BC">
            <w:pPr>
              <w:spacing w:before="60" w:after="60" w:line="200" w:lineRule="exact"/>
              <w:jc w:val="right"/>
              <w:rPr>
                <w:noProof/>
                <w:sz w:val="16"/>
                <w:szCs w:val="16"/>
              </w:rPr>
            </w:pPr>
            <w:r>
              <w:rPr>
                <w:noProof/>
                <w:sz w:val="16"/>
                <w:szCs w:val="16"/>
              </w:rPr>
              <w:t>126,110</w:t>
            </w:r>
          </w:p>
        </w:tc>
        <w:tc>
          <w:tcPr>
            <w:tcW w:w="1080" w:type="dxa"/>
          </w:tcPr>
          <w:p w:rsidR="00435CFF" w:rsidRDefault="00435CFF">
            <w:pPr>
              <w:spacing w:before="60" w:after="60" w:line="200" w:lineRule="exact"/>
              <w:jc w:val="right"/>
              <w:rPr>
                <w:noProof/>
                <w:sz w:val="16"/>
                <w:szCs w:val="16"/>
              </w:rPr>
            </w:pPr>
          </w:p>
          <w:p w:rsidR="00435CFF" w:rsidRDefault="00BC16BC">
            <w:pPr>
              <w:spacing w:before="60" w:after="60" w:line="200" w:lineRule="exact"/>
              <w:jc w:val="right"/>
              <w:rPr>
                <w:noProof/>
                <w:sz w:val="16"/>
                <w:szCs w:val="16"/>
              </w:rPr>
            </w:pPr>
            <w:r>
              <w:rPr>
                <w:noProof/>
                <w:sz w:val="16"/>
                <w:szCs w:val="16"/>
              </w:rPr>
              <w:t>101,590</w:t>
            </w:r>
          </w:p>
        </w:tc>
        <w:tc>
          <w:tcPr>
            <w:tcW w:w="1080" w:type="dxa"/>
          </w:tcPr>
          <w:p w:rsidR="00435CFF" w:rsidRDefault="00435CFF">
            <w:pPr>
              <w:spacing w:before="60" w:after="60" w:line="200" w:lineRule="exact"/>
              <w:jc w:val="right"/>
              <w:rPr>
                <w:noProof/>
                <w:sz w:val="16"/>
                <w:szCs w:val="16"/>
              </w:rPr>
            </w:pPr>
          </w:p>
          <w:p w:rsidR="00435CFF" w:rsidRDefault="00BC16BC">
            <w:pPr>
              <w:spacing w:before="60" w:after="60" w:line="200" w:lineRule="exact"/>
              <w:jc w:val="right"/>
              <w:rPr>
                <w:noProof/>
                <w:sz w:val="16"/>
                <w:szCs w:val="16"/>
              </w:rPr>
            </w:pPr>
            <w:r>
              <w:rPr>
                <w:noProof/>
                <w:sz w:val="16"/>
                <w:szCs w:val="16"/>
              </w:rPr>
              <w:t>48,600</w:t>
            </w:r>
          </w:p>
        </w:tc>
        <w:tc>
          <w:tcPr>
            <w:tcW w:w="1080" w:type="dxa"/>
          </w:tcPr>
          <w:p w:rsidR="00435CFF" w:rsidRDefault="00435CFF">
            <w:pPr>
              <w:spacing w:before="60" w:after="60" w:line="200" w:lineRule="exact"/>
              <w:jc w:val="right"/>
              <w:rPr>
                <w:noProof/>
                <w:sz w:val="16"/>
                <w:szCs w:val="16"/>
              </w:rPr>
            </w:pPr>
          </w:p>
          <w:p w:rsidR="00435CFF" w:rsidRDefault="00BC16BC">
            <w:pPr>
              <w:spacing w:before="60" w:after="60" w:line="200" w:lineRule="exact"/>
              <w:jc w:val="right"/>
              <w:rPr>
                <w:noProof/>
                <w:sz w:val="16"/>
                <w:szCs w:val="16"/>
              </w:rPr>
            </w:pPr>
            <w:r>
              <w:rPr>
                <w:noProof/>
                <w:sz w:val="16"/>
                <w:szCs w:val="16"/>
              </w:rPr>
              <w:t>35,400</w:t>
            </w:r>
          </w:p>
        </w:tc>
        <w:tc>
          <w:tcPr>
            <w:tcW w:w="1080" w:type="dxa"/>
          </w:tcPr>
          <w:p w:rsidR="00435CFF" w:rsidRDefault="00435CFF">
            <w:pPr>
              <w:spacing w:before="60" w:after="60" w:line="200" w:lineRule="exact"/>
              <w:jc w:val="right"/>
              <w:rPr>
                <w:noProof/>
                <w:sz w:val="16"/>
                <w:szCs w:val="16"/>
              </w:rPr>
            </w:pPr>
          </w:p>
          <w:p w:rsidR="00435CFF" w:rsidRDefault="00BC16BC">
            <w:pPr>
              <w:spacing w:before="60" w:after="60" w:line="200" w:lineRule="exact"/>
              <w:jc w:val="right"/>
              <w:rPr>
                <w:noProof/>
                <w:sz w:val="16"/>
                <w:szCs w:val="16"/>
              </w:rPr>
            </w:pPr>
            <w:r>
              <w:rPr>
                <w:noProof/>
                <w:sz w:val="16"/>
                <w:szCs w:val="16"/>
              </w:rPr>
              <w:t>36,800</w:t>
            </w:r>
          </w:p>
        </w:tc>
        <w:tc>
          <w:tcPr>
            <w:tcW w:w="1080" w:type="dxa"/>
          </w:tcPr>
          <w:p w:rsidR="00435CFF" w:rsidRDefault="00435CFF">
            <w:pPr>
              <w:spacing w:before="60" w:after="60" w:line="200" w:lineRule="exact"/>
              <w:jc w:val="right"/>
              <w:rPr>
                <w:noProof/>
                <w:sz w:val="16"/>
                <w:szCs w:val="16"/>
              </w:rPr>
            </w:pPr>
          </w:p>
          <w:p w:rsidR="00435CFF" w:rsidRDefault="00BC16BC">
            <w:pPr>
              <w:spacing w:before="60" w:after="60" w:line="200" w:lineRule="exact"/>
              <w:jc w:val="right"/>
              <w:rPr>
                <w:noProof/>
                <w:sz w:val="16"/>
                <w:szCs w:val="16"/>
              </w:rPr>
            </w:pPr>
            <w:r>
              <w:rPr>
                <w:noProof/>
                <w:sz w:val="16"/>
                <w:szCs w:val="16"/>
              </w:rPr>
              <w:t>661,160</w:t>
            </w:r>
          </w:p>
        </w:tc>
      </w:tr>
      <w:tr w:rsidR="00435CFF">
        <w:trPr>
          <w:trHeight w:val="585"/>
        </w:trPr>
        <w:tc>
          <w:tcPr>
            <w:tcW w:w="1980" w:type="dxa"/>
            <w:vAlign w:val="center"/>
          </w:tcPr>
          <w:p w:rsidR="00435CFF" w:rsidRDefault="00BC16BC">
            <w:pPr>
              <w:spacing w:before="60" w:after="60" w:line="200" w:lineRule="exact"/>
              <w:ind w:left="72"/>
              <w:jc w:val="left"/>
              <w:rPr>
                <w:noProof/>
                <w:sz w:val="16"/>
              </w:rPr>
            </w:pPr>
            <w:r>
              <w:rPr>
                <w:noProof/>
                <w:sz w:val="16"/>
              </w:rPr>
              <w:t>Sous-total des recettes affectées externes (recherche)</w:t>
            </w:r>
          </w:p>
        </w:tc>
        <w:tc>
          <w:tcPr>
            <w:tcW w:w="1080" w:type="dxa"/>
            <w:tcBorders>
              <w:top w:val="single" w:sz="4" w:space="0" w:color="auto"/>
              <w:left w:val="single" w:sz="4" w:space="0" w:color="auto"/>
              <w:bottom w:val="single" w:sz="4" w:space="0" w:color="auto"/>
              <w:right w:val="single" w:sz="4" w:space="0" w:color="auto"/>
            </w:tcBorders>
            <w:vAlign w:val="center"/>
          </w:tcPr>
          <w:p w:rsidR="00435CFF" w:rsidRDefault="00BC16BC">
            <w:pPr>
              <w:spacing w:before="60" w:after="60" w:line="200" w:lineRule="exact"/>
              <w:jc w:val="right"/>
              <w:rPr>
                <w:noProof/>
                <w:sz w:val="16"/>
                <w:szCs w:val="16"/>
              </w:rPr>
            </w:pPr>
            <w:r>
              <w:rPr>
                <w:b/>
                <w:noProof/>
                <w:sz w:val="18"/>
                <w:szCs w:val="18"/>
              </w:rPr>
              <w:t>126,980</w:t>
            </w:r>
          </w:p>
        </w:tc>
        <w:tc>
          <w:tcPr>
            <w:tcW w:w="1080" w:type="dxa"/>
            <w:tcBorders>
              <w:top w:val="single" w:sz="4" w:space="0" w:color="auto"/>
              <w:left w:val="single" w:sz="4" w:space="0" w:color="auto"/>
              <w:bottom w:val="single" w:sz="4" w:space="0" w:color="auto"/>
              <w:right w:val="single" w:sz="4" w:space="0" w:color="auto"/>
            </w:tcBorders>
            <w:vAlign w:val="center"/>
          </w:tcPr>
          <w:p w:rsidR="00435CFF" w:rsidRDefault="00BC16BC">
            <w:pPr>
              <w:spacing w:before="60" w:after="60" w:line="200" w:lineRule="exact"/>
              <w:jc w:val="right"/>
              <w:rPr>
                <w:noProof/>
                <w:sz w:val="16"/>
                <w:szCs w:val="16"/>
              </w:rPr>
            </w:pPr>
            <w:r>
              <w:rPr>
                <w:b/>
                <w:noProof/>
                <w:sz w:val="18"/>
                <w:szCs w:val="18"/>
              </w:rPr>
              <w:t>197,680</w:t>
            </w:r>
          </w:p>
        </w:tc>
        <w:tc>
          <w:tcPr>
            <w:tcW w:w="1080" w:type="dxa"/>
            <w:tcBorders>
              <w:top w:val="single" w:sz="4" w:space="0" w:color="auto"/>
              <w:left w:val="single" w:sz="4" w:space="0" w:color="auto"/>
              <w:bottom w:val="single" w:sz="4" w:space="0" w:color="auto"/>
              <w:right w:val="single" w:sz="4" w:space="0" w:color="auto"/>
            </w:tcBorders>
            <w:vAlign w:val="center"/>
          </w:tcPr>
          <w:p w:rsidR="00435CFF" w:rsidRDefault="00BC16BC">
            <w:pPr>
              <w:spacing w:before="60" w:after="60" w:line="200" w:lineRule="exact"/>
              <w:jc w:val="right"/>
              <w:rPr>
                <w:noProof/>
                <w:sz w:val="16"/>
                <w:szCs w:val="16"/>
              </w:rPr>
            </w:pPr>
            <w:r>
              <w:rPr>
                <w:b/>
                <w:noProof/>
                <w:sz w:val="18"/>
                <w:szCs w:val="18"/>
              </w:rPr>
              <w:t>132,110</w:t>
            </w:r>
          </w:p>
        </w:tc>
        <w:tc>
          <w:tcPr>
            <w:tcW w:w="1080" w:type="dxa"/>
            <w:tcBorders>
              <w:top w:val="single" w:sz="4" w:space="0" w:color="auto"/>
              <w:left w:val="single" w:sz="4" w:space="0" w:color="auto"/>
              <w:bottom w:val="single" w:sz="4" w:space="0" w:color="auto"/>
              <w:right w:val="single" w:sz="4" w:space="0" w:color="auto"/>
            </w:tcBorders>
            <w:vAlign w:val="center"/>
          </w:tcPr>
          <w:p w:rsidR="00435CFF" w:rsidRDefault="00BC16BC">
            <w:pPr>
              <w:spacing w:before="60" w:after="60" w:line="200" w:lineRule="exact"/>
              <w:jc w:val="right"/>
              <w:rPr>
                <w:noProof/>
                <w:sz w:val="16"/>
                <w:szCs w:val="16"/>
              </w:rPr>
            </w:pPr>
            <w:r>
              <w:rPr>
                <w:b/>
                <w:noProof/>
                <w:sz w:val="18"/>
                <w:szCs w:val="18"/>
              </w:rPr>
              <w:t>106,390</w:t>
            </w:r>
          </w:p>
        </w:tc>
        <w:tc>
          <w:tcPr>
            <w:tcW w:w="1080" w:type="dxa"/>
            <w:tcBorders>
              <w:top w:val="single" w:sz="4" w:space="0" w:color="auto"/>
              <w:left w:val="single" w:sz="4" w:space="0" w:color="auto"/>
              <w:bottom w:val="single" w:sz="4" w:space="0" w:color="auto"/>
              <w:right w:val="single" w:sz="4" w:space="0" w:color="auto"/>
            </w:tcBorders>
            <w:vAlign w:val="center"/>
          </w:tcPr>
          <w:p w:rsidR="00435CFF" w:rsidRDefault="00BC16BC">
            <w:pPr>
              <w:spacing w:before="60" w:after="60" w:line="200" w:lineRule="exact"/>
              <w:jc w:val="right"/>
              <w:rPr>
                <w:noProof/>
                <w:sz w:val="16"/>
                <w:szCs w:val="16"/>
              </w:rPr>
            </w:pPr>
            <w:r>
              <w:rPr>
                <w:b/>
                <w:noProof/>
                <w:sz w:val="18"/>
                <w:szCs w:val="18"/>
              </w:rPr>
              <w:t>51,000</w:t>
            </w:r>
          </w:p>
        </w:tc>
        <w:tc>
          <w:tcPr>
            <w:tcW w:w="1080" w:type="dxa"/>
            <w:tcBorders>
              <w:top w:val="single" w:sz="4" w:space="0" w:color="auto"/>
              <w:left w:val="single" w:sz="4" w:space="0" w:color="auto"/>
              <w:bottom w:val="single" w:sz="4" w:space="0" w:color="auto"/>
              <w:right w:val="single" w:sz="4" w:space="0" w:color="auto"/>
            </w:tcBorders>
            <w:vAlign w:val="center"/>
          </w:tcPr>
          <w:p w:rsidR="00435CFF" w:rsidRDefault="00BC16BC">
            <w:pPr>
              <w:spacing w:before="60" w:after="60" w:line="200" w:lineRule="exact"/>
              <w:jc w:val="right"/>
              <w:rPr>
                <w:noProof/>
                <w:sz w:val="16"/>
                <w:szCs w:val="16"/>
              </w:rPr>
            </w:pPr>
            <w:r>
              <w:rPr>
                <w:b/>
                <w:noProof/>
                <w:sz w:val="18"/>
                <w:szCs w:val="18"/>
              </w:rPr>
              <w:t>37,000</w:t>
            </w:r>
          </w:p>
        </w:tc>
        <w:tc>
          <w:tcPr>
            <w:tcW w:w="1080" w:type="dxa"/>
            <w:tcBorders>
              <w:top w:val="single" w:sz="4" w:space="0" w:color="auto"/>
              <w:left w:val="single" w:sz="4" w:space="0" w:color="auto"/>
              <w:bottom w:val="single" w:sz="4" w:space="0" w:color="auto"/>
              <w:right w:val="single" w:sz="4" w:space="0" w:color="auto"/>
            </w:tcBorders>
            <w:vAlign w:val="center"/>
          </w:tcPr>
          <w:p w:rsidR="00435CFF" w:rsidRDefault="00BC16BC">
            <w:pPr>
              <w:spacing w:before="60" w:after="60" w:line="200" w:lineRule="exact"/>
              <w:jc w:val="right"/>
              <w:rPr>
                <w:noProof/>
                <w:sz w:val="16"/>
                <w:szCs w:val="16"/>
              </w:rPr>
            </w:pPr>
            <w:r>
              <w:rPr>
                <w:b/>
                <w:noProof/>
                <w:sz w:val="18"/>
                <w:szCs w:val="18"/>
              </w:rPr>
              <w:t>38,000</w:t>
            </w:r>
          </w:p>
        </w:tc>
        <w:tc>
          <w:tcPr>
            <w:tcW w:w="1080" w:type="dxa"/>
            <w:vAlign w:val="center"/>
          </w:tcPr>
          <w:p w:rsidR="00435CFF" w:rsidRDefault="00BC16BC">
            <w:pPr>
              <w:spacing w:before="60" w:after="60" w:line="200" w:lineRule="exact"/>
              <w:jc w:val="right"/>
              <w:rPr>
                <w:noProof/>
                <w:sz w:val="16"/>
                <w:szCs w:val="16"/>
              </w:rPr>
            </w:pPr>
            <w:r>
              <w:rPr>
                <w:b/>
                <w:noProof/>
                <w:sz w:val="18"/>
                <w:szCs w:val="18"/>
              </w:rPr>
              <w:t>689,160</w:t>
            </w:r>
          </w:p>
        </w:tc>
      </w:tr>
      <w:tr w:rsidR="00435CFF">
        <w:trPr>
          <w:trHeight w:val="585"/>
        </w:trPr>
        <w:tc>
          <w:tcPr>
            <w:tcW w:w="1980" w:type="dxa"/>
            <w:vAlign w:val="center"/>
          </w:tcPr>
          <w:p w:rsidR="00435CFF" w:rsidRDefault="00BC16BC">
            <w:pPr>
              <w:spacing w:before="60" w:after="60" w:line="200" w:lineRule="exact"/>
              <w:ind w:left="72"/>
              <w:jc w:val="left"/>
              <w:rPr>
                <w:noProof/>
                <w:sz w:val="16"/>
                <w:szCs w:val="16"/>
              </w:rPr>
            </w:pPr>
            <w:r>
              <w:rPr>
                <w:noProof/>
                <w:sz w:val="16"/>
                <w:szCs w:val="16"/>
              </w:rPr>
              <w:t xml:space="preserve">Ressources humaines - recettes affectées externes (hors </w:t>
            </w:r>
            <w:r>
              <w:rPr>
                <w:noProof/>
                <w:sz w:val="16"/>
                <w:szCs w:val="16"/>
              </w:rPr>
              <w:t>recherche) - IVCDCI</w:t>
            </w:r>
          </w:p>
        </w:tc>
        <w:tc>
          <w:tcPr>
            <w:tcW w:w="1080" w:type="dxa"/>
          </w:tcPr>
          <w:p w:rsidR="00435CFF" w:rsidRDefault="00BC16BC">
            <w:pPr>
              <w:spacing w:before="60" w:after="60" w:line="200" w:lineRule="exact"/>
              <w:jc w:val="right"/>
              <w:rPr>
                <w:noProof/>
                <w:sz w:val="16"/>
                <w:szCs w:val="16"/>
              </w:rPr>
            </w:pPr>
            <w:r>
              <w:rPr>
                <w:noProof/>
                <w:sz w:val="16"/>
                <w:szCs w:val="16"/>
              </w:rPr>
              <w:t xml:space="preserve"> 16,440 </w:t>
            </w:r>
          </w:p>
        </w:tc>
        <w:tc>
          <w:tcPr>
            <w:tcW w:w="1080" w:type="dxa"/>
          </w:tcPr>
          <w:p w:rsidR="00435CFF" w:rsidRDefault="00BC16BC">
            <w:pPr>
              <w:spacing w:before="60" w:after="60" w:line="200" w:lineRule="exact"/>
              <w:jc w:val="right"/>
              <w:rPr>
                <w:noProof/>
                <w:sz w:val="16"/>
                <w:szCs w:val="16"/>
              </w:rPr>
            </w:pPr>
            <w:r>
              <w:rPr>
                <w:noProof/>
                <w:sz w:val="16"/>
                <w:szCs w:val="16"/>
              </w:rPr>
              <w:t xml:space="preserve"> 16,440 </w:t>
            </w:r>
          </w:p>
        </w:tc>
        <w:tc>
          <w:tcPr>
            <w:tcW w:w="1080" w:type="dxa"/>
          </w:tcPr>
          <w:p w:rsidR="00435CFF" w:rsidRDefault="00BC16BC">
            <w:pPr>
              <w:spacing w:before="60" w:after="60" w:line="200" w:lineRule="exact"/>
              <w:jc w:val="right"/>
              <w:rPr>
                <w:noProof/>
                <w:sz w:val="16"/>
                <w:szCs w:val="16"/>
              </w:rPr>
            </w:pPr>
            <w:r>
              <w:rPr>
                <w:noProof/>
                <w:sz w:val="16"/>
                <w:szCs w:val="16"/>
              </w:rPr>
              <w:t xml:space="preserve"> 16,440 </w:t>
            </w:r>
          </w:p>
        </w:tc>
        <w:tc>
          <w:tcPr>
            <w:tcW w:w="1080" w:type="dxa"/>
          </w:tcPr>
          <w:p w:rsidR="00435CFF" w:rsidRDefault="00BC16BC">
            <w:pPr>
              <w:spacing w:before="60" w:after="60" w:line="200" w:lineRule="exact"/>
              <w:jc w:val="right"/>
              <w:rPr>
                <w:noProof/>
                <w:sz w:val="16"/>
                <w:szCs w:val="16"/>
              </w:rPr>
            </w:pPr>
            <w:r>
              <w:rPr>
                <w:noProof/>
                <w:sz w:val="16"/>
                <w:szCs w:val="16"/>
              </w:rPr>
              <w:t xml:space="preserve"> 16,440 </w:t>
            </w:r>
          </w:p>
        </w:tc>
        <w:tc>
          <w:tcPr>
            <w:tcW w:w="1080" w:type="dxa"/>
          </w:tcPr>
          <w:p w:rsidR="00435CFF" w:rsidRDefault="00BC16BC">
            <w:pPr>
              <w:spacing w:before="60" w:after="60" w:line="200" w:lineRule="exact"/>
              <w:jc w:val="right"/>
              <w:rPr>
                <w:noProof/>
                <w:sz w:val="16"/>
                <w:szCs w:val="16"/>
              </w:rPr>
            </w:pPr>
            <w:r>
              <w:rPr>
                <w:noProof/>
                <w:sz w:val="16"/>
                <w:szCs w:val="16"/>
              </w:rPr>
              <w:t xml:space="preserve"> 16,440 </w:t>
            </w:r>
          </w:p>
        </w:tc>
        <w:tc>
          <w:tcPr>
            <w:tcW w:w="1080" w:type="dxa"/>
          </w:tcPr>
          <w:p w:rsidR="00435CFF" w:rsidRDefault="00BC16BC">
            <w:pPr>
              <w:spacing w:before="60" w:after="60" w:line="200" w:lineRule="exact"/>
              <w:jc w:val="right"/>
              <w:rPr>
                <w:noProof/>
                <w:sz w:val="16"/>
                <w:szCs w:val="16"/>
              </w:rPr>
            </w:pPr>
            <w:r>
              <w:rPr>
                <w:noProof/>
                <w:sz w:val="16"/>
                <w:szCs w:val="16"/>
              </w:rPr>
              <w:t xml:space="preserve"> 11,434 </w:t>
            </w:r>
          </w:p>
        </w:tc>
        <w:tc>
          <w:tcPr>
            <w:tcW w:w="1080" w:type="dxa"/>
          </w:tcPr>
          <w:p w:rsidR="00435CFF" w:rsidRDefault="00BC16BC">
            <w:pPr>
              <w:spacing w:before="60" w:after="60" w:line="200" w:lineRule="exact"/>
              <w:jc w:val="right"/>
              <w:rPr>
                <w:noProof/>
                <w:sz w:val="16"/>
                <w:szCs w:val="16"/>
              </w:rPr>
            </w:pPr>
            <w:r>
              <w:rPr>
                <w:noProof/>
                <w:sz w:val="16"/>
                <w:szCs w:val="16"/>
              </w:rPr>
              <w:t xml:space="preserve"> 11,434 </w:t>
            </w:r>
          </w:p>
        </w:tc>
        <w:tc>
          <w:tcPr>
            <w:tcW w:w="1080" w:type="dxa"/>
          </w:tcPr>
          <w:p w:rsidR="00435CFF" w:rsidRDefault="00BC16BC">
            <w:pPr>
              <w:spacing w:before="60" w:after="60" w:line="200" w:lineRule="exact"/>
              <w:jc w:val="right"/>
              <w:rPr>
                <w:noProof/>
                <w:sz w:val="16"/>
                <w:szCs w:val="16"/>
              </w:rPr>
            </w:pPr>
            <w:r>
              <w:rPr>
                <w:noProof/>
                <w:sz w:val="16"/>
                <w:szCs w:val="16"/>
              </w:rPr>
              <w:t xml:space="preserve">  105,068 </w:t>
            </w:r>
          </w:p>
        </w:tc>
      </w:tr>
      <w:tr w:rsidR="00435CFF">
        <w:trPr>
          <w:trHeight w:val="585"/>
        </w:trPr>
        <w:tc>
          <w:tcPr>
            <w:tcW w:w="1980" w:type="dxa"/>
            <w:vAlign w:val="center"/>
          </w:tcPr>
          <w:p w:rsidR="00435CFF" w:rsidRDefault="00BC16BC">
            <w:pPr>
              <w:spacing w:before="60" w:after="60" w:line="200" w:lineRule="exact"/>
              <w:ind w:left="72"/>
              <w:jc w:val="left"/>
              <w:rPr>
                <w:noProof/>
                <w:sz w:val="16"/>
                <w:szCs w:val="16"/>
              </w:rPr>
            </w:pPr>
            <w:r>
              <w:rPr>
                <w:noProof/>
              </w:rPr>
              <w:t>Autres dépenses</w:t>
            </w:r>
            <w:r>
              <w:rPr>
                <w:noProof/>
              </w:rPr>
              <w:br/>
              <w:t>de nature administrative - recettes affectées externes (hors recherche) - IVCDCI</w:t>
            </w:r>
          </w:p>
        </w:tc>
        <w:tc>
          <w:tcPr>
            <w:tcW w:w="1080" w:type="dxa"/>
          </w:tcPr>
          <w:p w:rsidR="00435CFF" w:rsidRDefault="00BC16BC">
            <w:pPr>
              <w:spacing w:before="60" w:after="60" w:line="200" w:lineRule="exact"/>
              <w:jc w:val="right"/>
              <w:rPr>
                <w:noProof/>
                <w:sz w:val="16"/>
                <w:szCs w:val="16"/>
              </w:rPr>
            </w:pPr>
            <w:r>
              <w:rPr>
                <w:noProof/>
                <w:sz w:val="16"/>
                <w:szCs w:val="16"/>
              </w:rPr>
              <w:t xml:space="preserve"> 8,177 </w:t>
            </w:r>
          </w:p>
        </w:tc>
        <w:tc>
          <w:tcPr>
            <w:tcW w:w="1080" w:type="dxa"/>
          </w:tcPr>
          <w:p w:rsidR="00435CFF" w:rsidRDefault="00BC16BC">
            <w:pPr>
              <w:spacing w:before="60" w:after="60" w:line="200" w:lineRule="exact"/>
              <w:jc w:val="right"/>
              <w:rPr>
                <w:noProof/>
                <w:sz w:val="16"/>
                <w:szCs w:val="16"/>
              </w:rPr>
            </w:pPr>
            <w:r>
              <w:rPr>
                <w:noProof/>
                <w:sz w:val="16"/>
                <w:szCs w:val="16"/>
              </w:rPr>
              <w:t xml:space="preserve"> 8,177 </w:t>
            </w:r>
          </w:p>
        </w:tc>
        <w:tc>
          <w:tcPr>
            <w:tcW w:w="1080" w:type="dxa"/>
          </w:tcPr>
          <w:p w:rsidR="00435CFF" w:rsidRDefault="00BC16BC">
            <w:pPr>
              <w:spacing w:before="60" w:after="60" w:line="200" w:lineRule="exact"/>
              <w:jc w:val="right"/>
              <w:rPr>
                <w:noProof/>
                <w:sz w:val="16"/>
                <w:szCs w:val="16"/>
              </w:rPr>
            </w:pPr>
            <w:r>
              <w:rPr>
                <w:noProof/>
                <w:sz w:val="16"/>
                <w:szCs w:val="16"/>
              </w:rPr>
              <w:t xml:space="preserve"> 8,177 </w:t>
            </w:r>
          </w:p>
        </w:tc>
        <w:tc>
          <w:tcPr>
            <w:tcW w:w="1080" w:type="dxa"/>
          </w:tcPr>
          <w:p w:rsidR="00435CFF" w:rsidRDefault="00BC16BC">
            <w:pPr>
              <w:spacing w:before="60" w:after="60" w:line="200" w:lineRule="exact"/>
              <w:jc w:val="right"/>
              <w:rPr>
                <w:noProof/>
                <w:sz w:val="16"/>
                <w:szCs w:val="16"/>
              </w:rPr>
            </w:pPr>
            <w:r>
              <w:rPr>
                <w:noProof/>
                <w:sz w:val="16"/>
                <w:szCs w:val="16"/>
              </w:rPr>
              <w:t xml:space="preserve"> 8,177 </w:t>
            </w:r>
          </w:p>
        </w:tc>
        <w:tc>
          <w:tcPr>
            <w:tcW w:w="1080" w:type="dxa"/>
          </w:tcPr>
          <w:p w:rsidR="00435CFF" w:rsidRDefault="00BC16BC">
            <w:pPr>
              <w:spacing w:before="60" w:after="60" w:line="200" w:lineRule="exact"/>
              <w:jc w:val="right"/>
              <w:rPr>
                <w:noProof/>
                <w:sz w:val="16"/>
                <w:szCs w:val="16"/>
              </w:rPr>
            </w:pPr>
            <w:r>
              <w:rPr>
                <w:noProof/>
                <w:sz w:val="16"/>
                <w:szCs w:val="16"/>
              </w:rPr>
              <w:t xml:space="preserve"> 8,177 </w:t>
            </w:r>
          </w:p>
        </w:tc>
        <w:tc>
          <w:tcPr>
            <w:tcW w:w="1080" w:type="dxa"/>
          </w:tcPr>
          <w:p w:rsidR="00435CFF" w:rsidRDefault="00BC16BC">
            <w:pPr>
              <w:spacing w:before="60" w:after="60" w:line="200" w:lineRule="exact"/>
              <w:jc w:val="right"/>
              <w:rPr>
                <w:noProof/>
                <w:sz w:val="16"/>
                <w:szCs w:val="16"/>
              </w:rPr>
            </w:pPr>
            <w:r>
              <w:rPr>
                <w:noProof/>
                <w:sz w:val="16"/>
                <w:szCs w:val="16"/>
              </w:rPr>
              <w:t xml:space="preserve"> 8,177 </w:t>
            </w:r>
          </w:p>
        </w:tc>
        <w:tc>
          <w:tcPr>
            <w:tcW w:w="1080" w:type="dxa"/>
          </w:tcPr>
          <w:p w:rsidR="00435CFF" w:rsidRDefault="00BC16BC">
            <w:pPr>
              <w:spacing w:before="60" w:after="60" w:line="200" w:lineRule="exact"/>
              <w:jc w:val="right"/>
              <w:rPr>
                <w:noProof/>
                <w:sz w:val="16"/>
                <w:szCs w:val="16"/>
              </w:rPr>
            </w:pPr>
            <w:r>
              <w:rPr>
                <w:noProof/>
                <w:sz w:val="16"/>
                <w:szCs w:val="16"/>
              </w:rPr>
              <w:t xml:space="preserve"> 8,177 </w:t>
            </w:r>
          </w:p>
        </w:tc>
        <w:tc>
          <w:tcPr>
            <w:tcW w:w="1080" w:type="dxa"/>
          </w:tcPr>
          <w:p w:rsidR="00435CFF" w:rsidRDefault="00BC16BC">
            <w:pPr>
              <w:spacing w:before="60" w:after="60" w:line="200" w:lineRule="exact"/>
              <w:jc w:val="right"/>
              <w:rPr>
                <w:noProof/>
                <w:sz w:val="16"/>
                <w:szCs w:val="16"/>
              </w:rPr>
            </w:pPr>
            <w:r>
              <w:rPr>
                <w:noProof/>
                <w:sz w:val="16"/>
                <w:szCs w:val="16"/>
              </w:rPr>
              <w:t xml:space="preserve"> 57,240 </w:t>
            </w:r>
          </w:p>
        </w:tc>
      </w:tr>
      <w:tr w:rsidR="00435CFF">
        <w:trPr>
          <w:trHeight w:val="585"/>
        </w:trPr>
        <w:tc>
          <w:tcPr>
            <w:tcW w:w="1980" w:type="dxa"/>
            <w:vAlign w:val="center"/>
          </w:tcPr>
          <w:p w:rsidR="00435CFF" w:rsidRDefault="00BC16BC">
            <w:pPr>
              <w:spacing w:before="60" w:after="60" w:line="200" w:lineRule="exact"/>
              <w:ind w:left="72"/>
              <w:jc w:val="left"/>
              <w:rPr>
                <w:noProof/>
                <w:sz w:val="16"/>
                <w:szCs w:val="16"/>
              </w:rPr>
            </w:pPr>
            <w:r>
              <w:rPr>
                <w:noProof/>
                <w:sz w:val="16"/>
                <w:szCs w:val="16"/>
              </w:rPr>
              <w:t>Ressources humaines - recettes affectées externes (hors recherche) - Feader</w:t>
            </w:r>
          </w:p>
        </w:tc>
        <w:tc>
          <w:tcPr>
            <w:tcW w:w="1080" w:type="dxa"/>
            <w:vAlign w:val="center"/>
          </w:tcPr>
          <w:p w:rsidR="00435CFF" w:rsidRDefault="00BC16BC">
            <w:pPr>
              <w:spacing w:before="60" w:after="60" w:line="200" w:lineRule="exact"/>
              <w:jc w:val="right"/>
              <w:rPr>
                <w:noProof/>
                <w:sz w:val="16"/>
                <w:szCs w:val="16"/>
              </w:rPr>
            </w:pPr>
            <w:r>
              <w:rPr>
                <w:noProof/>
                <w:sz w:val="16"/>
                <w:szCs w:val="16"/>
              </w:rPr>
              <w:t>0,000</w:t>
            </w:r>
          </w:p>
        </w:tc>
        <w:tc>
          <w:tcPr>
            <w:tcW w:w="1080" w:type="dxa"/>
            <w:vAlign w:val="center"/>
          </w:tcPr>
          <w:p w:rsidR="00435CFF" w:rsidRDefault="00BC16BC">
            <w:pPr>
              <w:spacing w:before="60" w:after="60" w:line="200" w:lineRule="exact"/>
              <w:jc w:val="right"/>
              <w:rPr>
                <w:noProof/>
                <w:sz w:val="16"/>
                <w:szCs w:val="16"/>
              </w:rPr>
            </w:pPr>
            <w:r>
              <w:rPr>
                <w:noProof/>
                <w:sz w:val="16"/>
                <w:szCs w:val="16"/>
              </w:rPr>
              <w:t>0,720</w:t>
            </w:r>
          </w:p>
        </w:tc>
        <w:tc>
          <w:tcPr>
            <w:tcW w:w="1080" w:type="dxa"/>
            <w:vAlign w:val="center"/>
          </w:tcPr>
          <w:p w:rsidR="00435CFF" w:rsidRDefault="00BC16BC">
            <w:pPr>
              <w:spacing w:before="60" w:after="60" w:line="200" w:lineRule="exact"/>
              <w:jc w:val="right"/>
              <w:rPr>
                <w:noProof/>
                <w:sz w:val="16"/>
                <w:szCs w:val="16"/>
              </w:rPr>
            </w:pPr>
            <w:r>
              <w:rPr>
                <w:noProof/>
                <w:sz w:val="16"/>
                <w:szCs w:val="16"/>
              </w:rPr>
              <w:t>0,720</w:t>
            </w:r>
          </w:p>
        </w:tc>
        <w:tc>
          <w:tcPr>
            <w:tcW w:w="1080" w:type="dxa"/>
            <w:vAlign w:val="center"/>
          </w:tcPr>
          <w:p w:rsidR="00435CFF" w:rsidRDefault="00BC16BC">
            <w:pPr>
              <w:spacing w:before="60" w:after="60" w:line="200" w:lineRule="exact"/>
              <w:jc w:val="right"/>
              <w:rPr>
                <w:noProof/>
                <w:sz w:val="16"/>
                <w:szCs w:val="16"/>
              </w:rPr>
            </w:pPr>
            <w:r>
              <w:rPr>
                <w:noProof/>
                <w:sz w:val="16"/>
                <w:szCs w:val="16"/>
              </w:rPr>
              <w:t>0,720</w:t>
            </w:r>
          </w:p>
        </w:tc>
        <w:tc>
          <w:tcPr>
            <w:tcW w:w="1080" w:type="dxa"/>
            <w:vAlign w:val="center"/>
          </w:tcPr>
          <w:p w:rsidR="00435CFF" w:rsidRDefault="00BC16BC">
            <w:pPr>
              <w:spacing w:before="60" w:after="60" w:line="200" w:lineRule="exact"/>
              <w:jc w:val="right"/>
              <w:rPr>
                <w:noProof/>
                <w:sz w:val="16"/>
                <w:szCs w:val="16"/>
              </w:rPr>
            </w:pPr>
            <w:r>
              <w:rPr>
                <w:noProof/>
                <w:sz w:val="16"/>
                <w:szCs w:val="16"/>
              </w:rPr>
              <w:t>0,720</w:t>
            </w:r>
          </w:p>
        </w:tc>
        <w:tc>
          <w:tcPr>
            <w:tcW w:w="1080" w:type="dxa"/>
            <w:vAlign w:val="center"/>
          </w:tcPr>
          <w:p w:rsidR="00435CFF" w:rsidRDefault="00BC16BC">
            <w:pPr>
              <w:spacing w:before="60" w:after="60" w:line="200" w:lineRule="exact"/>
              <w:jc w:val="right"/>
              <w:rPr>
                <w:noProof/>
                <w:sz w:val="16"/>
                <w:szCs w:val="16"/>
              </w:rPr>
            </w:pPr>
            <w:r>
              <w:rPr>
                <w:noProof/>
                <w:sz w:val="16"/>
                <w:szCs w:val="16"/>
              </w:rPr>
              <w:t>0,720</w:t>
            </w:r>
          </w:p>
        </w:tc>
        <w:tc>
          <w:tcPr>
            <w:tcW w:w="1080" w:type="dxa"/>
            <w:vAlign w:val="center"/>
          </w:tcPr>
          <w:p w:rsidR="00435CFF" w:rsidRDefault="00BC16BC">
            <w:pPr>
              <w:spacing w:before="60" w:after="60" w:line="200" w:lineRule="exact"/>
              <w:jc w:val="right"/>
              <w:rPr>
                <w:noProof/>
                <w:sz w:val="16"/>
                <w:szCs w:val="16"/>
              </w:rPr>
            </w:pPr>
            <w:r>
              <w:rPr>
                <w:noProof/>
                <w:sz w:val="16"/>
                <w:szCs w:val="16"/>
              </w:rPr>
              <w:t>0,000</w:t>
            </w:r>
          </w:p>
        </w:tc>
        <w:tc>
          <w:tcPr>
            <w:tcW w:w="1080" w:type="dxa"/>
            <w:vAlign w:val="center"/>
          </w:tcPr>
          <w:p w:rsidR="00435CFF" w:rsidRDefault="00BC16BC">
            <w:pPr>
              <w:spacing w:before="60" w:after="60" w:line="200" w:lineRule="exact"/>
              <w:jc w:val="right"/>
              <w:rPr>
                <w:noProof/>
                <w:sz w:val="16"/>
                <w:szCs w:val="16"/>
              </w:rPr>
            </w:pPr>
            <w:r>
              <w:rPr>
                <w:noProof/>
                <w:sz w:val="16"/>
                <w:szCs w:val="16"/>
              </w:rPr>
              <w:t>3,600</w:t>
            </w:r>
          </w:p>
        </w:tc>
      </w:tr>
      <w:tr w:rsidR="00435CFF">
        <w:trPr>
          <w:trHeight w:val="585"/>
        </w:trPr>
        <w:tc>
          <w:tcPr>
            <w:tcW w:w="1980" w:type="dxa"/>
            <w:vAlign w:val="center"/>
          </w:tcPr>
          <w:p w:rsidR="00435CFF" w:rsidRDefault="00BC16BC">
            <w:pPr>
              <w:spacing w:before="60" w:after="60" w:line="200" w:lineRule="exact"/>
              <w:ind w:left="72"/>
              <w:jc w:val="left"/>
              <w:rPr>
                <w:noProof/>
                <w:sz w:val="16"/>
                <w:szCs w:val="16"/>
              </w:rPr>
            </w:pPr>
            <w:r>
              <w:rPr>
                <w:noProof/>
              </w:rPr>
              <w:t>Autres dépenses</w:t>
            </w:r>
            <w:r>
              <w:rPr>
                <w:noProof/>
              </w:rPr>
              <w:br/>
              <w:t>de nature administrative - recettes affectées externes (hors recherche) - Feader</w:t>
            </w:r>
          </w:p>
        </w:tc>
        <w:tc>
          <w:tcPr>
            <w:tcW w:w="1080" w:type="dxa"/>
            <w:vAlign w:val="center"/>
          </w:tcPr>
          <w:p w:rsidR="00435CFF" w:rsidRDefault="00BC16BC">
            <w:pPr>
              <w:spacing w:before="60" w:after="60" w:line="200" w:lineRule="exact"/>
              <w:jc w:val="right"/>
              <w:rPr>
                <w:noProof/>
                <w:sz w:val="16"/>
                <w:szCs w:val="16"/>
              </w:rPr>
            </w:pPr>
            <w:r>
              <w:rPr>
                <w:noProof/>
                <w:sz w:val="16"/>
                <w:szCs w:val="16"/>
              </w:rPr>
              <w:t>0,000</w:t>
            </w:r>
          </w:p>
        </w:tc>
        <w:tc>
          <w:tcPr>
            <w:tcW w:w="1080" w:type="dxa"/>
            <w:vAlign w:val="center"/>
          </w:tcPr>
          <w:p w:rsidR="00435CFF" w:rsidRDefault="00BC16BC">
            <w:pPr>
              <w:spacing w:before="60" w:after="60" w:line="200" w:lineRule="exact"/>
              <w:jc w:val="right"/>
              <w:rPr>
                <w:noProof/>
                <w:sz w:val="16"/>
                <w:szCs w:val="16"/>
              </w:rPr>
            </w:pPr>
            <w:r>
              <w:rPr>
                <w:noProof/>
                <w:sz w:val="16"/>
                <w:szCs w:val="16"/>
              </w:rPr>
              <w:t>0,280</w:t>
            </w:r>
          </w:p>
        </w:tc>
        <w:tc>
          <w:tcPr>
            <w:tcW w:w="1080" w:type="dxa"/>
            <w:vAlign w:val="center"/>
          </w:tcPr>
          <w:p w:rsidR="00435CFF" w:rsidRDefault="00BC16BC">
            <w:pPr>
              <w:spacing w:before="60" w:after="60" w:line="200" w:lineRule="exact"/>
              <w:jc w:val="right"/>
              <w:rPr>
                <w:noProof/>
                <w:sz w:val="16"/>
                <w:szCs w:val="16"/>
              </w:rPr>
            </w:pPr>
            <w:r>
              <w:rPr>
                <w:noProof/>
                <w:sz w:val="16"/>
                <w:szCs w:val="16"/>
              </w:rPr>
              <w:t>0,280</w:t>
            </w:r>
          </w:p>
        </w:tc>
        <w:tc>
          <w:tcPr>
            <w:tcW w:w="1080" w:type="dxa"/>
            <w:vAlign w:val="center"/>
          </w:tcPr>
          <w:p w:rsidR="00435CFF" w:rsidRDefault="00BC16BC">
            <w:pPr>
              <w:spacing w:before="60" w:after="60" w:line="200" w:lineRule="exact"/>
              <w:jc w:val="right"/>
              <w:rPr>
                <w:noProof/>
                <w:sz w:val="16"/>
                <w:szCs w:val="16"/>
              </w:rPr>
            </w:pPr>
            <w:r>
              <w:rPr>
                <w:noProof/>
                <w:sz w:val="16"/>
                <w:szCs w:val="16"/>
              </w:rPr>
              <w:t>0,280</w:t>
            </w:r>
          </w:p>
        </w:tc>
        <w:tc>
          <w:tcPr>
            <w:tcW w:w="1080" w:type="dxa"/>
            <w:vAlign w:val="center"/>
          </w:tcPr>
          <w:p w:rsidR="00435CFF" w:rsidRDefault="00BC16BC">
            <w:pPr>
              <w:spacing w:before="60" w:after="60" w:line="200" w:lineRule="exact"/>
              <w:jc w:val="right"/>
              <w:rPr>
                <w:noProof/>
                <w:sz w:val="16"/>
                <w:szCs w:val="16"/>
              </w:rPr>
            </w:pPr>
            <w:r>
              <w:rPr>
                <w:noProof/>
                <w:sz w:val="16"/>
                <w:szCs w:val="16"/>
              </w:rPr>
              <w:t>0,280</w:t>
            </w:r>
          </w:p>
        </w:tc>
        <w:tc>
          <w:tcPr>
            <w:tcW w:w="1080" w:type="dxa"/>
            <w:vAlign w:val="center"/>
          </w:tcPr>
          <w:p w:rsidR="00435CFF" w:rsidRDefault="00BC16BC">
            <w:pPr>
              <w:spacing w:before="60" w:after="60" w:line="200" w:lineRule="exact"/>
              <w:jc w:val="right"/>
              <w:rPr>
                <w:noProof/>
                <w:sz w:val="16"/>
                <w:szCs w:val="16"/>
              </w:rPr>
            </w:pPr>
            <w:r>
              <w:rPr>
                <w:noProof/>
                <w:sz w:val="16"/>
                <w:szCs w:val="16"/>
              </w:rPr>
              <w:t>0,280</w:t>
            </w:r>
          </w:p>
        </w:tc>
        <w:tc>
          <w:tcPr>
            <w:tcW w:w="1080" w:type="dxa"/>
            <w:vAlign w:val="center"/>
          </w:tcPr>
          <w:p w:rsidR="00435CFF" w:rsidRDefault="00BC16BC">
            <w:pPr>
              <w:spacing w:before="60" w:after="60" w:line="200" w:lineRule="exact"/>
              <w:jc w:val="right"/>
              <w:rPr>
                <w:noProof/>
                <w:sz w:val="16"/>
                <w:szCs w:val="16"/>
              </w:rPr>
            </w:pPr>
            <w:r>
              <w:rPr>
                <w:noProof/>
                <w:sz w:val="16"/>
                <w:szCs w:val="16"/>
              </w:rPr>
              <w:t>1,000</w:t>
            </w:r>
          </w:p>
        </w:tc>
        <w:tc>
          <w:tcPr>
            <w:tcW w:w="1080" w:type="dxa"/>
            <w:vAlign w:val="center"/>
          </w:tcPr>
          <w:p w:rsidR="00435CFF" w:rsidRDefault="00BC16BC">
            <w:pPr>
              <w:spacing w:before="60" w:after="60" w:line="200" w:lineRule="exact"/>
              <w:jc w:val="right"/>
              <w:rPr>
                <w:noProof/>
                <w:sz w:val="16"/>
                <w:szCs w:val="16"/>
              </w:rPr>
            </w:pPr>
            <w:r>
              <w:rPr>
                <w:noProof/>
                <w:sz w:val="16"/>
                <w:szCs w:val="16"/>
              </w:rPr>
              <w:t>2,400</w:t>
            </w:r>
          </w:p>
        </w:tc>
      </w:tr>
      <w:tr w:rsidR="00435CFF">
        <w:trPr>
          <w:trHeight w:val="585"/>
        </w:trPr>
        <w:tc>
          <w:tcPr>
            <w:tcW w:w="1980" w:type="dxa"/>
            <w:vAlign w:val="center"/>
          </w:tcPr>
          <w:p w:rsidR="00435CFF" w:rsidRDefault="00BC16BC">
            <w:pPr>
              <w:spacing w:before="60" w:after="60" w:line="200" w:lineRule="exact"/>
              <w:ind w:left="72"/>
              <w:jc w:val="left"/>
              <w:rPr>
                <w:noProof/>
                <w:sz w:val="16"/>
              </w:rPr>
            </w:pPr>
            <w:r>
              <w:rPr>
                <w:noProof/>
                <w:sz w:val="16"/>
              </w:rPr>
              <w:t>Sous-total des recettes affectées externes (hors recherche)</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24,617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25,617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25,617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25,617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25,617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20,611</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20,611</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168,307</w:t>
            </w:r>
          </w:p>
        </w:tc>
      </w:tr>
      <w:tr w:rsidR="00435CFF">
        <w:trPr>
          <w:trHeight w:val="585"/>
        </w:trPr>
        <w:tc>
          <w:tcPr>
            <w:tcW w:w="1980" w:type="dxa"/>
            <w:shd w:val="clear" w:color="auto" w:fill="CCCCCC"/>
            <w:vAlign w:val="center"/>
          </w:tcPr>
          <w:p w:rsidR="00435CFF" w:rsidRDefault="00BC16BC">
            <w:pPr>
              <w:spacing w:before="60" w:after="60" w:line="200" w:lineRule="exact"/>
              <w:jc w:val="center"/>
              <w:rPr>
                <w:b/>
                <w:noProof/>
                <w:sz w:val="16"/>
                <w:szCs w:val="16"/>
              </w:rPr>
            </w:pPr>
            <w:r>
              <w:rPr>
                <w:b/>
                <w:noProof/>
                <w:sz w:val="16"/>
              </w:rPr>
              <w:t>Sous-total</w:t>
            </w:r>
            <w:r>
              <w:rPr>
                <w:noProof/>
              </w:rPr>
              <w:br/>
            </w:r>
            <w:r>
              <w:rPr>
                <w:b/>
                <w:noProof/>
                <w:sz w:val="16"/>
              </w:rPr>
              <w:t>hors RUBRIQUE 7</w:t>
            </w:r>
            <w:r>
              <w:rPr>
                <w:noProof/>
              </w:rPr>
              <w:t xml:space="preserve"> </w:t>
            </w:r>
            <w:r>
              <w:rPr>
                <w:noProof/>
              </w:rPr>
              <w:br/>
            </w:r>
            <w:r>
              <w:rPr>
                <w:b/>
                <w:noProof/>
                <w:sz w:val="16"/>
              </w:rPr>
              <w:t xml:space="preserve">du cadre financier pluriannuel </w:t>
            </w:r>
          </w:p>
        </w:tc>
        <w:tc>
          <w:tcPr>
            <w:tcW w:w="1080" w:type="dxa"/>
            <w:vAlign w:val="bottom"/>
          </w:tcPr>
          <w:p w:rsidR="00435CFF" w:rsidRDefault="00BC16BC">
            <w:pPr>
              <w:spacing w:before="60" w:after="60" w:line="200" w:lineRule="exact"/>
              <w:jc w:val="right"/>
              <w:rPr>
                <w:noProof/>
                <w:sz w:val="16"/>
                <w:szCs w:val="16"/>
              </w:rPr>
            </w:pPr>
            <w:r>
              <w:rPr>
                <w:rFonts w:ascii="Calibri" w:hAnsi="Calibri"/>
                <w:noProof/>
                <w:color w:val="000000"/>
                <w:sz w:val="22"/>
              </w:rPr>
              <w:t>151,597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223,297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157,727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132,007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76,617</w:t>
            </w:r>
          </w:p>
        </w:tc>
        <w:tc>
          <w:tcPr>
            <w:tcW w:w="1080" w:type="dxa"/>
            <w:vAlign w:val="bottom"/>
          </w:tcPr>
          <w:p w:rsidR="00435CFF" w:rsidRDefault="00BC16BC">
            <w:pPr>
              <w:spacing w:before="60" w:after="60" w:line="200" w:lineRule="exact"/>
              <w:rPr>
                <w:noProof/>
                <w:sz w:val="16"/>
                <w:szCs w:val="16"/>
              </w:rPr>
            </w:pPr>
            <w:r>
              <w:rPr>
                <w:rFonts w:ascii="Calibri" w:hAnsi="Calibri"/>
                <w:noProof/>
                <w:color w:val="000000"/>
                <w:sz w:val="22"/>
              </w:rPr>
              <w:t>57,611</w:t>
            </w:r>
          </w:p>
        </w:tc>
        <w:tc>
          <w:tcPr>
            <w:tcW w:w="1080" w:type="dxa"/>
            <w:vAlign w:val="bottom"/>
          </w:tcPr>
          <w:p w:rsidR="00435CFF" w:rsidRDefault="00BC16BC">
            <w:pPr>
              <w:spacing w:before="60" w:after="60" w:line="200" w:lineRule="exact"/>
              <w:jc w:val="right"/>
              <w:rPr>
                <w:b/>
                <w:noProof/>
                <w:sz w:val="16"/>
                <w:szCs w:val="16"/>
              </w:rPr>
            </w:pPr>
            <w:r>
              <w:rPr>
                <w:rFonts w:ascii="Calibri" w:hAnsi="Calibri"/>
                <w:noProof/>
                <w:color w:val="000000"/>
                <w:sz w:val="22"/>
              </w:rPr>
              <w:t>58,611</w:t>
            </w:r>
          </w:p>
        </w:tc>
        <w:tc>
          <w:tcPr>
            <w:tcW w:w="1080" w:type="dxa"/>
            <w:vAlign w:val="bottom"/>
          </w:tcPr>
          <w:p w:rsidR="00435CFF" w:rsidRDefault="00BC16BC">
            <w:pPr>
              <w:spacing w:before="60" w:after="60" w:line="200" w:lineRule="exact"/>
              <w:rPr>
                <w:b/>
                <w:noProof/>
                <w:sz w:val="16"/>
                <w:szCs w:val="16"/>
              </w:rPr>
            </w:pPr>
            <w:r>
              <w:rPr>
                <w:rFonts w:ascii="Calibri" w:hAnsi="Calibri"/>
                <w:noProof/>
                <w:color w:val="000000"/>
                <w:sz w:val="22"/>
              </w:rPr>
              <w:t>857,467</w:t>
            </w:r>
          </w:p>
        </w:tc>
      </w:tr>
    </w:tbl>
    <w:p w:rsidR="00435CFF" w:rsidRDefault="00435CFF">
      <w:pPr>
        <w:spacing w:line="200" w:lineRule="exact"/>
        <w:rPr>
          <w:noProof/>
          <w:sz w:val="16"/>
          <w:szCs w:val="16"/>
        </w:rPr>
      </w:pPr>
    </w:p>
    <w:p w:rsidR="00435CFF" w:rsidRDefault="00BC16BC">
      <w:pPr>
        <w:rPr>
          <w:noProof/>
          <w:sz w:val="18"/>
          <w:szCs w:val="18"/>
        </w:rPr>
      </w:pPr>
      <w:r>
        <w:rPr>
          <w:noProof/>
          <w:sz w:val="18"/>
          <w:szCs w:val="18"/>
        </w:rPr>
        <w:t>Les besoins en crédits pour les ressources humaines et les autres dépenses de nature administrative seront couverts par les crédits de la DG déjà affectés à la gestion de l’action et/ou redéployés en interne au sein de la DG, complétés le cas éch</w:t>
      </w:r>
      <w:r>
        <w:rPr>
          <w:noProof/>
          <w:sz w:val="18"/>
          <w:szCs w:val="18"/>
        </w:rPr>
        <w:t>éant par toute dotation additionnelle qui pourrait être allouée à la DG gestionnaire dans le cadre de la procédure d’allocation annuelle et compte tenu des contraintes budgétaires existantes. Le personnel supplémentaire ne comprendra que du personnel exter</w:t>
      </w:r>
      <w:r>
        <w:rPr>
          <w:noProof/>
          <w:sz w:val="18"/>
          <w:szCs w:val="18"/>
        </w:rPr>
        <w:t>ne et sera financé exclusivement par des recettes affectées.</w:t>
      </w:r>
    </w:p>
    <w:p w:rsidR="00435CFF" w:rsidRDefault="00BC16BC">
      <w:pPr>
        <w:keepNext/>
        <w:outlineLvl w:val="3"/>
        <w:rPr>
          <w:rFonts w:eastAsiaTheme="majorEastAsia"/>
          <w:iCs/>
          <w:noProof/>
          <w:szCs w:val="24"/>
        </w:rPr>
      </w:pPr>
      <w:r>
        <w:rPr>
          <w:noProof/>
        </w:rPr>
        <w:t>Besoins estimés en ressources humaines</w:t>
      </w:r>
    </w:p>
    <w:p w:rsidR="00435CFF" w:rsidRDefault="00BC16BC">
      <w:pPr>
        <w:rPr>
          <w:rFonts w:eastAsia="Times New Roman"/>
          <w:noProof/>
        </w:rPr>
      </w:pPr>
      <w:r>
        <w:rPr>
          <w:noProof/>
        </w:rPr>
        <w:sym w:font="Wingdings" w:char="F0A8"/>
      </w:r>
      <w:r>
        <w:rPr>
          <w:noProof/>
        </w:rPr>
        <w:tab/>
        <w:t xml:space="preserve">La proposition/l'initiative n'engendre pas l'utilisation de ressources humaines. </w:t>
      </w:r>
    </w:p>
    <w:p w:rsidR="00435CFF" w:rsidRDefault="00BC16BC">
      <w:pPr>
        <w:rPr>
          <w:rFonts w:eastAsia="Times New Roman"/>
          <w:noProof/>
        </w:rPr>
      </w:pPr>
      <w:r>
        <w:rPr>
          <w:noProof/>
        </w:rPr>
        <w:sym w:font="Wingdings" w:char="F0FE"/>
      </w:r>
      <w:r>
        <w:rPr>
          <w:noProof/>
        </w:rPr>
        <w:tab/>
        <w:t>La proposition/l’initiative engendre l’utilisation de ressources humai</w:t>
      </w:r>
      <w:r>
        <w:rPr>
          <w:noProof/>
        </w:rPr>
        <w:t>nes, comme expliqué ci-après:</w:t>
      </w:r>
    </w:p>
    <w:p w:rsidR="00435CFF" w:rsidRDefault="00BC16BC">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435CFF">
        <w:trPr>
          <w:trHeight w:val="289"/>
        </w:trPr>
        <w:tc>
          <w:tcPr>
            <w:tcW w:w="1472" w:type="pct"/>
            <w:gridSpan w:val="2"/>
            <w:vAlign w:val="center"/>
          </w:tcPr>
          <w:p w:rsidR="00435CFF" w:rsidRDefault="00BC16BC">
            <w:pPr>
              <w:spacing w:before="40" w:after="40"/>
              <w:jc w:val="center"/>
              <w:rPr>
                <w:i/>
                <w:noProof/>
                <w:sz w:val="16"/>
                <w:szCs w:val="16"/>
              </w:rPr>
            </w:pPr>
            <w:r>
              <w:rPr>
                <w:b/>
                <w:noProof/>
                <w:sz w:val="16"/>
                <w:szCs w:val="16"/>
              </w:rPr>
              <w:t>Années</w:t>
            </w:r>
          </w:p>
        </w:tc>
        <w:tc>
          <w:tcPr>
            <w:tcW w:w="466" w:type="pct"/>
            <w:shd w:val="clear" w:color="auto" w:fill="auto"/>
            <w:vAlign w:val="center"/>
          </w:tcPr>
          <w:p w:rsidR="00435CFF" w:rsidRDefault="00BC16BC">
            <w:pPr>
              <w:spacing w:before="20" w:after="20"/>
              <w:jc w:val="center"/>
              <w:rPr>
                <w:b/>
                <w:noProof/>
                <w:sz w:val="16"/>
                <w:szCs w:val="16"/>
              </w:rPr>
            </w:pPr>
            <w:r>
              <w:rPr>
                <w:b/>
                <w:noProof/>
                <w:sz w:val="20"/>
              </w:rPr>
              <w:t>2021</w:t>
            </w:r>
          </w:p>
        </w:tc>
        <w:tc>
          <w:tcPr>
            <w:tcW w:w="534" w:type="pct"/>
            <w:shd w:val="clear" w:color="auto" w:fill="auto"/>
            <w:vAlign w:val="center"/>
          </w:tcPr>
          <w:p w:rsidR="00435CFF" w:rsidRDefault="00BC16BC">
            <w:pPr>
              <w:spacing w:before="20" w:after="20"/>
              <w:jc w:val="center"/>
              <w:rPr>
                <w:b/>
                <w:noProof/>
                <w:sz w:val="20"/>
              </w:rPr>
            </w:pPr>
            <w:r>
              <w:rPr>
                <w:b/>
                <w:noProof/>
                <w:sz w:val="20"/>
              </w:rPr>
              <w:t>2022</w:t>
            </w:r>
          </w:p>
        </w:tc>
        <w:tc>
          <w:tcPr>
            <w:tcW w:w="466" w:type="pct"/>
            <w:shd w:val="clear" w:color="auto" w:fill="auto"/>
            <w:vAlign w:val="center"/>
          </w:tcPr>
          <w:p w:rsidR="00435CFF" w:rsidRDefault="00BC16BC">
            <w:pPr>
              <w:spacing w:before="20" w:after="20"/>
              <w:jc w:val="center"/>
              <w:rPr>
                <w:b/>
                <w:noProof/>
                <w:sz w:val="20"/>
              </w:rPr>
            </w:pPr>
            <w:r>
              <w:rPr>
                <w:b/>
                <w:noProof/>
                <w:sz w:val="20"/>
              </w:rPr>
              <w:t>2023</w:t>
            </w:r>
          </w:p>
        </w:tc>
        <w:tc>
          <w:tcPr>
            <w:tcW w:w="534" w:type="pct"/>
            <w:shd w:val="clear" w:color="auto" w:fill="auto"/>
            <w:vAlign w:val="center"/>
          </w:tcPr>
          <w:p w:rsidR="00435CFF" w:rsidRDefault="00BC16BC">
            <w:pPr>
              <w:spacing w:before="20" w:after="20"/>
              <w:jc w:val="center"/>
              <w:rPr>
                <w:b/>
                <w:noProof/>
                <w:sz w:val="20"/>
              </w:rPr>
            </w:pPr>
            <w:r>
              <w:rPr>
                <w:b/>
                <w:noProof/>
                <w:sz w:val="20"/>
              </w:rPr>
              <w:t>2024</w:t>
            </w:r>
          </w:p>
        </w:tc>
        <w:tc>
          <w:tcPr>
            <w:tcW w:w="533" w:type="pct"/>
            <w:shd w:val="clear" w:color="auto" w:fill="auto"/>
            <w:vAlign w:val="center"/>
          </w:tcPr>
          <w:p w:rsidR="00435CFF" w:rsidRDefault="00BC16BC">
            <w:pPr>
              <w:jc w:val="center"/>
              <w:rPr>
                <w:b/>
                <w:noProof/>
                <w:sz w:val="20"/>
              </w:rPr>
            </w:pPr>
            <w:r>
              <w:rPr>
                <w:b/>
                <w:noProof/>
                <w:sz w:val="20"/>
              </w:rPr>
              <w:t>2025</w:t>
            </w:r>
          </w:p>
        </w:tc>
        <w:tc>
          <w:tcPr>
            <w:tcW w:w="468" w:type="pct"/>
            <w:shd w:val="clear" w:color="auto" w:fill="auto"/>
            <w:vAlign w:val="center"/>
          </w:tcPr>
          <w:p w:rsidR="00435CFF" w:rsidRDefault="00BC16BC">
            <w:pPr>
              <w:jc w:val="center"/>
              <w:rPr>
                <w:b/>
                <w:noProof/>
                <w:sz w:val="20"/>
              </w:rPr>
            </w:pPr>
            <w:r>
              <w:rPr>
                <w:b/>
                <w:noProof/>
                <w:sz w:val="20"/>
              </w:rPr>
              <w:t>2026</w:t>
            </w:r>
          </w:p>
        </w:tc>
        <w:tc>
          <w:tcPr>
            <w:tcW w:w="527" w:type="pct"/>
            <w:shd w:val="clear" w:color="auto" w:fill="auto"/>
            <w:vAlign w:val="center"/>
          </w:tcPr>
          <w:p w:rsidR="00435CFF" w:rsidRDefault="00BC16BC">
            <w:pPr>
              <w:jc w:val="center"/>
              <w:rPr>
                <w:b/>
                <w:noProof/>
                <w:sz w:val="20"/>
              </w:rPr>
            </w:pPr>
            <w:r>
              <w:rPr>
                <w:b/>
                <w:noProof/>
                <w:sz w:val="20"/>
              </w:rPr>
              <w:t>2027</w:t>
            </w:r>
          </w:p>
        </w:tc>
      </w:tr>
      <w:tr w:rsidR="00435CFF">
        <w:trPr>
          <w:trHeight w:val="289"/>
        </w:trPr>
        <w:tc>
          <w:tcPr>
            <w:tcW w:w="5000" w:type="pct"/>
            <w:gridSpan w:val="9"/>
          </w:tcPr>
          <w:p w:rsidR="00435CFF" w:rsidRDefault="00BC16BC">
            <w:pPr>
              <w:jc w:val="left"/>
              <w:rPr>
                <w:noProof/>
                <w:sz w:val="16"/>
                <w:szCs w:val="16"/>
              </w:rPr>
            </w:pPr>
            <w:r>
              <w:rPr>
                <w:b/>
                <w:noProof/>
                <w:sz w:val="16"/>
              </w:rPr>
              <w:sym w:font="Wingdings" w:char="F09F"/>
            </w:r>
            <w:r>
              <w:rPr>
                <w:b/>
                <w:noProof/>
                <w:sz w:val="16"/>
              </w:rPr>
              <w:t xml:space="preserve"> Emplois du tableau des effectifs (fonctionnaires et d'agents temporaires)</w:t>
            </w:r>
          </w:p>
        </w:tc>
      </w:tr>
      <w:tr w:rsidR="00435CFF">
        <w:trPr>
          <w:trHeight w:val="289"/>
        </w:trPr>
        <w:tc>
          <w:tcPr>
            <w:tcW w:w="1472" w:type="pct"/>
            <w:gridSpan w:val="2"/>
          </w:tcPr>
          <w:p w:rsidR="00435CFF" w:rsidRDefault="00BC16BC">
            <w:pPr>
              <w:spacing w:beforeLines="20" w:before="48" w:afterLines="20" w:after="48"/>
              <w:ind w:left="134"/>
              <w:jc w:val="left"/>
              <w:rPr>
                <w:b/>
                <w:noProof/>
                <w:sz w:val="16"/>
                <w:szCs w:val="16"/>
              </w:rPr>
            </w:pPr>
            <w:r>
              <w:rPr>
                <w:noProof/>
                <w:sz w:val="16"/>
                <w:szCs w:val="16"/>
              </w:rPr>
              <w:t>Siège et bureaux de représentation de la Commission</w:t>
            </w: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533" w:type="pct"/>
            <w:shd w:val="clear" w:color="auto" w:fill="auto"/>
            <w:vAlign w:val="center"/>
          </w:tcPr>
          <w:p w:rsidR="00435CFF" w:rsidRDefault="00435CFF">
            <w:pPr>
              <w:spacing w:beforeLines="20" w:before="48" w:afterLines="20" w:after="48"/>
              <w:jc w:val="center"/>
              <w:rPr>
                <w:noProof/>
                <w:sz w:val="16"/>
                <w:szCs w:val="16"/>
              </w:rPr>
            </w:pPr>
          </w:p>
        </w:tc>
        <w:tc>
          <w:tcPr>
            <w:tcW w:w="468" w:type="pct"/>
            <w:shd w:val="clear" w:color="auto" w:fill="auto"/>
            <w:vAlign w:val="center"/>
          </w:tcPr>
          <w:p w:rsidR="00435CFF" w:rsidRDefault="00435CFF">
            <w:pPr>
              <w:spacing w:beforeLines="20" w:before="48" w:afterLines="20" w:after="48"/>
              <w:jc w:val="center"/>
              <w:rPr>
                <w:noProof/>
                <w:sz w:val="16"/>
                <w:szCs w:val="16"/>
              </w:rPr>
            </w:pPr>
          </w:p>
        </w:tc>
        <w:tc>
          <w:tcPr>
            <w:tcW w:w="527" w:type="pct"/>
            <w:shd w:val="clear" w:color="auto" w:fill="auto"/>
            <w:vAlign w:val="center"/>
          </w:tcPr>
          <w:p w:rsidR="00435CFF" w:rsidRDefault="00435CFF">
            <w:pPr>
              <w:spacing w:beforeLines="20" w:before="48" w:afterLines="20" w:after="48"/>
              <w:jc w:val="center"/>
              <w:rPr>
                <w:noProof/>
                <w:sz w:val="16"/>
                <w:szCs w:val="16"/>
              </w:rPr>
            </w:pPr>
          </w:p>
        </w:tc>
      </w:tr>
      <w:tr w:rsidR="00435CFF">
        <w:trPr>
          <w:trHeight w:val="289"/>
        </w:trPr>
        <w:tc>
          <w:tcPr>
            <w:tcW w:w="1472" w:type="pct"/>
            <w:gridSpan w:val="2"/>
          </w:tcPr>
          <w:p w:rsidR="00435CFF" w:rsidRDefault="00BC16BC">
            <w:pPr>
              <w:spacing w:beforeLines="20" w:before="48" w:afterLines="20" w:after="48"/>
              <w:ind w:left="134"/>
              <w:jc w:val="left"/>
              <w:rPr>
                <w:noProof/>
                <w:sz w:val="16"/>
                <w:szCs w:val="16"/>
              </w:rPr>
            </w:pPr>
            <w:r>
              <w:rPr>
                <w:noProof/>
                <w:sz w:val="16"/>
                <w:szCs w:val="16"/>
              </w:rPr>
              <w:t>Délégations</w:t>
            </w: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533" w:type="pct"/>
            <w:shd w:val="clear" w:color="auto" w:fill="auto"/>
            <w:vAlign w:val="center"/>
          </w:tcPr>
          <w:p w:rsidR="00435CFF" w:rsidRDefault="00435CFF">
            <w:pPr>
              <w:spacing w:beforeLines="20" w:before="48" w:afterLines="20" w:after="48"/>
              <w:jc w:val="center"/>
              <w:rPr>
                <w:noProof/>
                <w:sz w:val="16"/>
                <w:szCs w:val="16"/>
              </w:rPr>
            </w:pPr>
          </w:p>
        </w:tc>
        <w:tc>
          <w:tcPr>
            <w:tcW w:w="468" w:type="pct"/>
            <w:shd w:val="clear" w:color="auto" w:fill="auto"/>
            <w:vAlign w:val="center"/>
          </w:tcPr>
          <w:p w:rsidR="00435CFF" w:rsidRDefault="00435CFF">
            <w:pPr>
              <w:spacing w:beforeLines="20" w:before="48" w:afterLines="20" w:after="48"/>
              <w:jc w:val="center"/>
              <w:rPr>
                <w:noProof/>
                <w:sz w:val="16"/>
                <w:szCs w:val="16"/>
              </w:rPr>
            </w:pPr>
          </w:p>
        </w:tc>
        <w:tc>
          <w:tcPr>
            <w:tcW w:w="527" w:type="pct"/>
            <w:shd w:val="clear" w:color="auto" w:fill="auto"/>
            <w:vAlign w:val="center"/>
          </w:tcPr>
          <w:p w:rsidR="00435CFF" w:rsidRDefault="00435CFF">
            <w:pPr>
              <w:spacing w:beforeLines="20" w:before="48" w:afterLines="20" w:after="48"/>
              <w:jc w:val="center"/>
              <w:rPr>
                <w:noProof/>
                <w:sz w:val="16"/>
                <w:szCs w:val="16"/>
              </w:rPr>
            </w:pPr>
          </w:p>
        </w:tc>
      </w:tr>
      <w:tr w:rsidR="00435CFF">
        <w:trPr>
          <w:trHeight w:val="289"/>
        </w:trPr>
        <w:tc>
          <w:tcPr>
            <w:tcW w:w="1472" w:type="pct"/>
            <w:gridSpan w:val="2"/>
          </w:tcPr>
          <w:p w:rsidR="00435CFF" w:rsidRDefault="00BC16BC">
            <w:pPr>
              <w:spacing w:beforeLines="20" w:before="48" w:afterLines="20" w:after="48"/>
              <w:ind w:left="134"/>
              <w:jc w:val="left"/>
              <w:rPr>
                <w:noProof/>
                <w:sz w:val="16"/>
                <w:szCs w:val="16"/>
              </w:rPr>
            </w:pPr>
            <w:r>
              <w:rPr>
                <w:noProof/>
                <w:sz w:val="16"/>
                <w:szCs w:val="16"/>
              </w:rPr>
              <w:t>Recherche</w:t>
            </w: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533" w:type="pct"/>
            <w:shd w:val="clear" w:color="auto" w:fill="auto"/>
            <w:vAlign w:val="center"/>
          </w:tcPr>
          <w:p w:rsidR="00435CFF" w:rsidRDefault="00435CFF">
            <w:pPr>
              <w:spacing w:beforeLines="20" w:before="48" w:afterLines="20" w:after="48"/>
              <w:jc w:val="center"/>
              <w:rPr>
                <w:noProof/>
                <w:sz w:val="16"/>
                <w:szCs w:val="16"/>
              </w:rPr>
            </w:pPr>
          </w:p>
        </w:tc>
        <w:tc>
          <w:tcPr>
            <w:tcW w:w="468" w:type="pct"/>
            <w:shd w:val="clear" w:color="auto" w:fill="auto"/>
            <w:vAlign w:val="center"/>
          </w:tcPr>
          <w:p w:rsidR="00435CFF" w:rsidRDefault="00435CFF">
            <w:pPr>
              <w:spacing w:beforeLines="20" w:before="48" w:afterLines="20" w:after="48"/>
              <w:jc w:val="center"/>
              <w:rPr>
                <w:noProof/>
                <w:sz w:val="16"/>
                <w:szCs w:val="16"/>
              </w:rPr>
            </w:pPr>
          </w:p>
        </w:tc>
        <w:tc>
          <w:tcPr>
            <w:tcW w:w="527" w:type="pct"/>
            <w:shd w:val="clear" w:color="auto" w:fill="auto"/>
            <w:vAlign w:val="center"/>
          </w:tcPr>
          <w:p w:rsidR="00435CFF" w:rsidRDefault="00435CFF">
            <w:pPr>
              <w:spacing w:beforeLines="20" w:before="48" w:afterLines="20" w:after="48"/>
              <w:jc w:val="center"/>
              <w:rPr>
                <w:noProof/>
                <w:sz w:val="16"/>
                <w:szCs w:val="16"/>
              </w:rPr>
            </w:pPr>
          </w:p>
        </w:tc>
      </w:tr>
      <w:tr w:rsidR="00435CFF">
        <w:trPr>
          <w:trHeight w:val="293"/>
        </w:trPr>
        <w:tc>
          <w:tcPr>
            <w:tcW w:w="5000" w:type="pct"/>
            <w:gridSpan w:val="9"/>
          </w:tcPr>
          <w:p w:rsidR="00435CFF" w:rsidRDefault="00BC16BC">
            <w:pPr>
              <w:spacing w:before="60" w:after="60"/>
              <w:jc w:val="left"/>
              <w:rPr>
                <w:b/>
                <w:noProof/>
                <w:sz w:val="16"/>
                <w:szCs w:val="16"/>
              </w:rPr>
            </w:pPr>
            <w:r>
              <w:rPr>
                <w:b/>
                <w:noProof/>
                <w:sz w:val="16"/>
              </w:rPr>
              <w:sym w:font="Wingdings" w:char="F09F"/>
            </w:r>
            <w:r>
              <w:rPr>
                <w:b/>
                <w:noProof/>
                <w:sz w:val="16"/>
                <w:szCs w:val="16"/>
              </w:rPr>
              <w:t xml:space="preserve"> Personnel externe (en équivalents temps plein: ETP) - AC, AL, END, INT et JPD</w:t>
            </w:r>
            <w:r>
              <w:rPr>
                <w:noProof/>
                <w:sz w:val="16"/>
                <w:szCs w:val="16"/>
              </w:rPr>
              <w:t xml:space="preserve"> </w:t>
            </w:r>
            <w:r>
              <w:rPr>
                <w:rStyle w:val="FootnoteReference"/>
                <w:noProof/>
              </w:rPr>
              <w:footnoteReference w:id="17"/>
            </w:r>
          </w:p>
          <w:p w:rsidR="00435CFF" w:rsidRDefault="00BC16BC">
            <w:pPr>
              <w:spacing w:before="0" w:after="0"/>
              <w:jc w:val="left"/>
              <w:rPr>
                <w:noProof/>
                <w:sz w:val="16"/>
                <w:szCs w:val="16"/>
              </w:rPr>
            </w:pPr>
            <w:r>
              <w:rPr>
                <w:noProof/>
                <w:sz w:val="16"/>
                <w:szCs w:val="16"/>
              </w:rPr>
              <w:t>Rubrique 7</w:t>
            </w:r>
          </w:p>
        </w:tc>
      </w:tr>
      <w:tr w:rsidR="00435CFF">
        <w:trPr>
          <w:trHeight w:val="485"/>
        </w:trPr>
        <w:tc>
          <w:tcPr>
            <w:tcW w:w="735" w:type="pct"/>
            <w:vMerge w:val="restart"/>
            <w:vAlign w:val="center"/>
          </w:tcPr>
          <w:p w:rsidR="00435CFF" w:rsidRDefault="00BC16BC">
            <w:pPr>
              <w:spacing w:beforeLines="20" w:before="48" w:afterLines="20" w:after="48"/>
              <w:ind w:left="136"/>
              <w:jc w:val="left"/>
              <w:rPr>
                <w:b/>
                <w:noProof/>
                <w:sz w:val="16"/>
                <w:szCs w:val="16"/>
              </w:rPr>
            </w:pPr>
            <w:r>
              <w:rPr>
                <w:noProof/>
                <w:sz w:val="16"/>
                <w:szCs w:val="16"/>
              </w:rPr>
              <w:t>Financé au titre de la RUBRIQUE 7 du cadre financier pluriannuel</w:t>
            </w:r>
            <w:r>
              <w:rPr>
                <w:b/>
                <w:noProof/>
                <w:sz w:val="16"/>
                <w:szCs w:val="16"/>
              </w:rPr>
              <w:t xml:space="preserve"> </w:t>
            </w:r>
          </w:p>
        </w:tc>
        <w:tc>
          <w:tcPr>
            <w:tcW w:w="737" w:type="pct"/>
            <w:vAlign w:val="center"/>
          </w:tcPr>
          <w:p w:rsidR="00435CFF" w:rsidRDefault="00BC16BC">
            <w:pPr>
              <w:spacing w:beforeLines="20" w:before="48" w:afterLines="20" w:after="48"/>
              <w:ind w:left="136"/>
              <w:jc w:val="left"/>
              <w:rPr>
                <w:b/>
                <w:noProof/>
                <w:sz w:val="16"/>
                <w:szCs w:val="16"/>
              </w:rPr>
            </w:pPr>
            <w:r>
              <w:rPr>
                <w:noProof/>
                <w:sz w:val="16"/>
                <w:szCs w:val="16"/>
              </w:rPr>
              <w:t>- au siège</w:t>
            </w: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533" w:type="pct"/>
            <w:shd w:val="clear" w:color="auto" w:fill="auto"/>
            <w:vAlign w:val="center"/>
          </w:tcPr>
          <w:p w:rsidR="00435CFF" w:rsidRDefault="00435CFF">
            <w:pPr>
              <w:spacing w:beforeLines="20" w:before="48" w:afterLines="20" w:after="48"/>
              <w:jc w:val="center"/>
              <w:rPr>
                <w:noProof/>
                <w:sz w:val="16"/>
                <w:szCs w:val="16"/>
              </w:rPr>
            </w:pPr>
          </w:p>
        </w:tc>
        <w:tc>
          <w:tcPr>
            <w:tcW w:w="468" w:type="pct"/>
            <w:shd w:val="clear" w:color="auto" w:fill="auto"/>
            <w:vAlign w:val="center"/>
          </w:tcPr>
          <w:p w:rsidR="00435CFF" w:rsidRDefault="00435CFF">
            <w:pPr>
              <w:spacing w:beforeLines="20" w:before="48" w:afterLines="20" w:after="48"/>
              <w:jc w:val="center"/>
              <w:rPr>
                <w:noProof/>
                <w:sz w:val="16"/>
                <w:szCs w:val="16"/>
              </w:rPr>
            </w:pPr>
          </w:p>
        </w:tc>
        <w:tc>
          <w:tcPr>
            <w:tcW w:w="527" w:type="pct"/>
            <w:shd w:val="clear" w:color="auto" w:fill="auto"/>
            <w:vAlign w:val="center"/>
          </w:tcPr>
          <w:p w:rsidR="00435CFF" w:rsidRDefault="00435CFF">
            <w:pPr>
              <w:spacing w:beforeLines="20" w:before="48" w:afterLines="20" w:after="48"/>
              <w:jc w:val="center"/>
              <w:rPr>
                <w:noProof/>
                <w:sz w:val="16"/>
                <w:szCs w:val="16"/>
              </w:rPr>
            </w:pPr>
          </w:p>
        </w:tc>
      </w:tr>
      <w:tr w:rsidR="00435CFF">
        <w:trPr>
          <w:trHeight w:val="289"/>
        </w:trPr>
        <w:tc>
          <w:tcPr>
            <w:tcW w:w="735" w:type="pct"/>
            <w:vMerge/>
            <w:vAlign w:val="center"/>
          </w:tcPr>
          <w:p w:rsidR="00435CFF" w:rsidRDefault="00435CFF">
            <w:pPr>
              <w:spacing w:beforeLines="20" w:before="48" w:afterLines="20" w:after="48"/>
              <w:ind w:left="136"/>
              <w:jc w:val="left"/>
              <w:rPr>
                <w:noProof/>
                <w:sz w:val="16"/>
                <w:szCs w:val="16"/>
              </w:rPr>
            </w:pPr>
          </w:p>
        </w:tc>
        <w:tc>
          <w:tcPr>
            <w:tcW w:w="737" w:type="pct"/>
            <w:vAlign w:val="center"/>
          </w:tcPr>
          <w:p w:rsidR="00435CFF" w:rsidRDefault="00BC16BC">
            <w:pPr>
              <w:spacing w:beforeLines="20" w:before="48" w:afterLines="20" w:after="48"/>
              <w:ind w:left="136"/>
              <w:jc w:val="left"/>
              <w:rPr>
                <w:noProof/>
                <w:sz w:val="16"/>
                <w:szCs w:val="16"/>
              </w:rPr>
            </w:pPr>
            <w:r>
              <w:rPr>
                <w:noProof/>
                <w:sz w:val="16"/>
                <w:szCs w:val="16"/>
              </w:rPr>
              <w:t xml:space="preserve">- en délégation </w:t>
            </w: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533" w:type="pct"/>
            <w:shd w:val="clear" w:color="auto" w:fill="auto"/>
            <w:vAlign w:val="center"/>
          </w:tcPr>
          <w:p w:rsidR="00435CFF" w:rsidRDefault="00435CFF">
            <w:pPr>
              <w:spacing w:beforeLines="20" w:before="48" w:afterLines="20" w:after="48"/>
              <w:jc w:val="center"/>
              <w:rPr>
                <w:noProof/>
                <w:sz w:val="16"/>
                <w:szCs w:val="16"/>
              </w:rPr>
            </w:pPr>
          </w:p>
        </w:tc>
        <w:tc>
          <w:tcPr>
            <w:tcW w:w="468" w:type="pct"/>
            <w:shd w:val="clear" w:color="auto" w:fill="auto"/>
            <w:vAlign w:val="center"/>
          </w:tcPr>
          <w:p w:rsidR="00435CFF" w:rsidRDefault="00435CFF">
            <w:pPr>
              <w:spacing w:beforeLines="20" w:before="48" w:afterLines="20" w:after="48"/>
              <w:jc w:val="center"/>
              <w:rPr>
                <w:noProof/>
                <w:sz w:val="16"/>
                <w:szCs w:val="16"/>
              </w:rPr>
            </w:pPr>
          </w:p>
        </w:tc>
        <w:tc>
          <w:tcPr>
            <w:tcW w:w="527" w:type="pct"/>
            <w:shd w:val="clear" w:color="auto" w:fill="auto"/>
            <w:vAlign w:val="center"/>
          </w:tcPr>
          <w:p w:rsidR="00435CFF" w:rsidRDefault="00435CFF">
            <w:pPr>
              <w:spacing w:beforeLines="20" w:before="48" w:afterLines="20" w:after="48"/>
              <w:jc w:val="center"/>
              <w:rPr>
                <w:noProof/>
                <w:sz w:val="16"/>
                <w:szCs w:val="16"/>
              </w:rPr>
            </w:pPr>
          </w:p>
        </w:tc>
      </w:tr>
      <w:tr w:rsidR="00435CFF">
        <w:trPr>
          <w:trHeight w:val="370"/>
        </w:trPr>
        <w:tc>
          <w:tcPr>
            <w:tcW w:w="735" w:type="pct"/>
            <w:vMerge w:val="restart"/>
            <w:vAlign w:val="center"/>
          </w:tcPr>
          <w:p w:rsidR="00435CFF" w:rsidRDefault="00BC16BC">
            <w:pPr>
              <w:spacing w:beforeLines="20" w:before="48" w:afterLines="20" w:after="48"/>
              <w:ind w:left="136"/>
              <w:jc w:val="left"/>
              <w:rPr>
                <w:b/>
                <w:noProof/>
                <w:sz w:val="16"/>
                <w:szCs w:val="16"/>
              </w:rPr>
            </w:pPr>
            <w:r>
              <w:rPr>
                <w:noProof/>
                <w:sz w:val="16"/>
                <w:szCs w:val="16"/>
              </w:rPr>
              <w:t xml:space="preserve">Financé </w:t>
            </w:r>
            <w:r>
              <w:rPr>
                <w:noProof/>
                <w:sz w:val="16"/>
                <w:szCs w:val="16"/>
              </w:rPr>
              <w:t>par l’enveloppe du programme</w:t>
            </w:r>
            <w:r>
              <w:rPr>
                <w:rStyle w:val="FootnoteReference"/>
                <w:noProof/>
              </w:rPr>
              <w:footnoteReference w:id="18"/>
            </w:r>
          </w:p>
        </w:tc>
        <w:tc>
          <w:tcPr>
            <w:tcW w:w="737" w:type="pct"/>
            <w:shd w:val="clear" w:color="auto" w:fill="auto"/>
            <w:vAlign w:val="center"/>
          </w:tcPr>
          <w:p w:rsidR="00435CFF" w:rsidRDefault="00BC16BC">
            <w:pPr>
              <w:spacing w:beforeLines="20" w:before="48" w:afterLines="20" w:after="48"/>
              <w:ind w:left="136"/>
              <w:jc w:val="left"/>
              <w:rPr>
                <w:b/>
                <w:noProof/>
                <w:sz w:val="16"/>
                <w:szCs w:val="16"/>
              </w:rPr>
            </w:pPr>
            <w:r>
              <w:rPr>
                <w:noProof/>
                <w:sz w:val="16"/>
                <w:szCs w:val="16"/>
              </w:rPr>
              <w:t>- au siège</w:t>
            </w: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533" w:type="pct"/>
            <w:shd w:val="clear" w:color="auto" w:fill="auto"/>
            <w:vAlign w:val="center"/>
          </w:tcPr>
          <w:p w:rsidR="00435CFF" w:rsidRDefault="00435CFF">
            <w:pPr>
              <w:spacing w:beforeLines="20" w:before="48" w:afterLines="20" w:after="48"/>
              <w:jc w:val="center"/>
              <w:rPr>
                <w:noProof/>
                <w:sz w:val="16"/>
                <w:szCs w:val="16"/>
              </w:rPr>
            </w:pPr>
          </w:p>
        </w:tc>
        <w:tc>
          <w:tcPr>
            <w:tcW w:w="468" w:type="pct"/>
            <w:shd w:val="clear" w:color="auto" w:fill="auto"/>
            <w:vAlign w:val="center"/>
          </w:tcPr>
          <w:p w:rsidR="00435CFF" w:rsidRDefault="00435CFF">
            <w:pPr>
              <w:spacing w:beforeLines="20" w:before="48" w:afterLines="20" w:after="48"/>
              <w:jc w:val="center"/>
              <w:rPr>
                <w:noProof/>
                <w:sz w:val="16"/>
                <w:szCs w:val="16"/>
              </w:rPr>
            </w:pPr>
          </w:p>
        </w:tc>
        <w:tc>
          <w:tcPr>
            <w:tcW w:w="527" w:type="pct"/>
            <w:shd w:val="clear" w:color="auto" w:fill="auto"/>
            <w:vAlign w:val="center"/>
          </w:tcPr>
          <w:p w:rsidR="00435CFF" w:rsidRDefault="00435CFF">
            <w:pPr>
              <w:spacing w:beforeLines="20" w:before="48" w:afterLines="20" w:after="48"/>
              <w:jc w:val="center"/>
              <w:rPr>
                <w:noProof/>
                <w:sz w:val="16"/>
                <w:szCs w:val="16"/>
              </w:rPr>
            </w:pPr>
          </w:p>
        </w:tc>
      </w:tr>
      <w:tr w:rsidR="00435CFF">
        <w:trPr>
          <w:trHeight w:val="289"/>
        </w:trPr>
        <w:tc>
          <w:tcPr>
            <w:tcW w:w="735" w:type="pct"/>
            <w:vMerge/>
          </w:tcPr>
          <w:p w:rsidR="00435CFF" w:rsidRDefault="00435CFF">
            <w:pPr>
              <w:spacing w:beforeLines="20" w:before="48" w:afterLines="20" w:after="48"/>
              <w:ind w:left="136"/>
              <w:jc w:val="left"/>
              <w:rPr>
                <w:b/>
                <w:noProof/>
                <w:sz w:val="16"/>
                <w:szCs w:val="16"/>
              </w:rPr>
            </w:pPr>
          </w:p>
        </w:tc>
        <w:tc>
          <w:tcPr>
            <w:tcW w:w="737" w:type="pct"/>
            <w:shd w:val="clear" w:color="auto" w:fill="auto"/>
            <w:vAlign w:val="center"/>
          </w:tcPr>
          <w:p w:rsidR="00435CFF" w:rsidRDefault="00BC16BC">
            <w:pPr>
              <w:spacing w:beforeLines="20" w:before="48" w:afterLines="20" w:after="48"/>
              <w:ind w:left="136"/>
              <w:jc w:val="left"/>
              <w:rPr>
                <w:b/>
                <w:noProof/>
                <w:sz w:val="16"/>
                <w:szCs w:val="16"/>
              </w:rPr>
            </w:pPr>
            <w:r>
              <w:rPr>
                <w:noProof/>
                <w:sz w:val="16"/>
                <w:szCs w:val="16"/>
              </w:rPr>
              <w:t xml:space="preserve">- en délégation </w:t>
            </w: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466" w:type="pct"/>
            <w:shd w:val="clear" w:color="auto" w:fill="auto"/>
            <w:vAlign w:val="center"/>
          </w:tcPr>
          <w:p w:rsidR="00435CFF" w:rsidRDefault="00435CFF">
            <w:pPr>
              <w:spacing w:beforeLines="20" w:before="48" w:afterLines="20" w:after="48"/>
              <w:jc w:val="center"/>
              <w:rPr>
                <w:noProof/>
                <w:sz w:val="16"/>
                <w:szCs w:val="16"/>
              </w:rPr>
            </w:pPr>
          </w:p>
        </w:tc>
        <w:tc>
          <w:tcPr>
            <w:tcW w:w="534" w:type="pct"/>
            <w:shd w:val="clear" w:color="auto" w:fill="auto"/>
            <w:vAlign w:val="center"/>
          </w:tcPr>
          <w:p w:rsidR="00435CFF" w:rsidRDefault="00435CFF">
            <w:pPr>
              <w:spacing w:beforeLines="20" w:before="48" w:afterLines="20" w:after="48"/>
              <w:jc w:val="center"/>
              <w:rPr>
                <w:noProof/>
                <w:sz w:val="16"/>
                <w:szCs w:val="16"/>
              </w:rPr>
            </w:pPr>
          </w:p>
        </w:tc>
        <w:tc>
          <w:tcPr>
            <w:tcW w:w="533" w:type="pct"/>
            <w:shd w:val="clear" w:color="auto" w:fill="auto"/>
            <w:vAlign w:val="center"/>
          </w:tcPr>
          <w:p w:rsidR="00435CFF" w:rsidRDefault="00435CFF">
            <w:pPr>
              <w:spacing w:beforeLines="20" w:before="48" w:afterLines="20" w:after="48"/>
              <w:jc w:val="center"/>
              <w:rPr>
                <w:noProof/>
                <w:sz w:val="16"/>
                <w:szCs w:val="16"/>
              </w:rPr>
            </w:pPr>
          </w:p>
        </w:tc>
        <w:tc>
          <w:tcPr>
            <w:tcW w:w="468" w:type="pct"/>
            <w:shd w:val="clear" w:color="auto" w:fill="auto"/>
            <w:vAlign w:val="center"/>
          </w:tcPr>
          <w:p w:rsidR="00435CFF" w:rsidRDefault="00435CFF">
            <w:pPr>
              <w:spacing w:beforeLines="20" w:before="48" w:afterLines="20" w:after="48"/>
              <w:jc w:val="center"/>
              <w:rPr>
                <w:noProof/>
                <w:sz w:val="16"/>
                <w:szCs w:val="16"/>
              </w:rPr>
            </w:pPr>
          </w:p>
        </w:tc>
        <w:tc>
          <w:tcPr>
            <w:tcW w:w="527" w:type="pct"/>
            <w:shd w:val="clear" w:color="auto" w:fill="auto"/>
            <w:vAlign w:val="center"/>
          </w:tcPr>
          <w:p w:rsidR="00435CFF" w:rsidRDefault="00435CFF">
            <w:pPr>
              <w:spacing w:beforeLines="20" w:before="48" w:afterLines="20" w:after="48"/>
              <w:jc w:val="center"/>
              <w:rPr>
                <w:noProof/>
                <w:sz w:val="16"/>
                <w:szCs w:val="16"/>
              </w:rPr>
            </w:pPr>
          </w:p>
        </w:tc>
      </w:tr>
      <w:tr w:rsidR="00435CFF">
        <w:trPr>
          <w:trHeight w:val="289"/>
        </w:trPr>
        <w:tc>
          <w:tcPr>
            <w:tcW w:w="1472" w:type="pct"/>
            <w:gridSpan w:val="2"/>
          </w:tcPr>
          <w:p w:rsidR="00435CFF" w:rsidRDefault="00BC16BC">
            <w:pPr>
              <w:spacing w:beforeLines="20" w:before="48" w:afterLines="20" w:after="48"/>
              <w:ind w:left="136"/>
              <w:jc w:val="left"/>
              <w:rPr>
                <w:noProof/>
                <w:sz w:val="16"/>
                <w:szCs w:val="16"/>
              </w:rPr>
            </w:pPr>
            <w:r>
              <w:rPr>
                <w:noProof/>
                <w:sz w:val="16"/>
                <w:szCs w:val="16"/>
              </w:rPr>
              <w:t>Autres: recettes affectées externes (recherche)</w:t>
            </w:r>
            <w:r>
              <w:rPr>
                <w:rStyle w:val="FootnoteReference"/>
                <w:noProof/>
                <w:sz w:val="16"/>
                <w:szCs w:val="16"/>
              </w:rPr>
              <w:footnoteReference w:id="19"/>
            </w:r>
            <w:r>
              <w:rPr>
                <w:noProof/>
                <w:sz w:val="16"/>
                <w:szCs w:val="16"/>
              </w:rPr>
              <w:t xml:space="preserve"> </w:t>
            </w:r>
          </w:p>
        </w:tc>
        <w:tc>
          <w:tcPr>
            <w:tcW w:w="466"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75</w:t>
            </w:r>
          </w:p>
        </w:tc>
        <w:tc>
          <w:tcPr>
            <w:tcW w:w="466"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75</w:t>
            </w:r>
          </w:p>
        </w:tc>
        <w:tc>
          <w:tcPr>
            <w:tcW w:w="534"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60</w:t>
            </w:r>
          </w:p>
        </w:tc>
        <w:tc>
          <w:tcPr>
            <w:tcW w:w="533"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30</w:t>
            </w:r>
          </w:p>
        </w:tc>
        <w:tc>
          <w:tcPr>
            <w:tcW w:w="468"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20</w:t>
            </w:r>
          </w:p>
        </w:tc>
        <w:tc>
          <w:tcPr>
            <w:tcW w:w="527"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15</w:t>
            </w:r>
          </w:p>
        </w:tc>
      </w:tr>
      <w:tr w:rsidR="00435CFF">
        <w:trPr>
          <w:trHeight w:val="289"/>
        </w:trPr>
        <w:tc>
          <w:tcPr>
            <w:tcW w:w="1472" w:type="pct"/>
            <w:gridSpan w:val="2"/>
            <w:tcBorders>
              <w:bottom w:val="double" w:sz="4" w:space="0" w:color="auto"/>
            </w:tcBorders>
          </w:tcPr>
          <w:p w:rsidR="00435CFF" w:rsidRDefault="00BC16BC">
            <w:pPr>
              <w:spacing w:beforeLines="20" w:before="48" w:afterLines="20" w:after="48"/>
              <w:ind w:left="134"/>
              <w:jc w:val="left"/>
              <w:rPr>
                <w:noProof/>
                <w:sz w:val="16"/>
                <w:szCs w:val="16"/>
              </w:rPr>
            </w:pPr>
            <w:r>
              <w:rPr>
                <w:noProof/>
                <w:sz w:val="16"/>
                <w:szCs w:val="16"/>
              </w:rPr>
              <w:t>Autres: recettes affectées externes (hors recherche) - IVCDCI</w:t>
            </w:r>
          </w:p>
        </w:tc>
        <w:tc>
          <w:tcPr>
            <w:tcW w:w="466"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150</w:t>
            </w:r>
          </w:p>
        </w:tc>
        <w:tc>
          <w:tcPr>
            <w:tcW w:w="466"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150</w:t>
            </w:r>
          </w:p>
        </w:tc>
        <w:tc>
          <w:tcPr>
            <w:tcW w:w="534"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150</w:t>
            </w:r>
          </w:p>
        </w:tc>
        <w:tc>
          <w:tcPr>
            <w:tcW w:w="533"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150</w:t>
            </w:r>
          </w:p>
        </w:tc>
        <w:tc>
          <w:tcPr>
            <w:tcW w:w="468"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105</w:t>
            </w:r>
          </w:p>
        </w:tc>
        <w:tc>
          <w:tcPr>
            <w:tcW w:w="527"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105</w:t>
            </w:r>
          </w:p>
        </w:tc>
      </w:tr>
      <w:tr w:rsidR="00435CFF">
        <w:trPr>
          <w:trHeight w:val="289"/>
        </w:trPr>
        <w:tc>
          <w:tcPr>
            <w:tcW w:w="1472" w:type="pct"/>
            <w:gridSpan w:val="2"/>
            <w:tcBorders>
              <w:bottom w:val="double" w:sz="4" w:space="0" w:color="auto"/>
            </w:tcBorders>
          </w:tcPr>
          <w:p w:rsidR="00435CFF" w:rsidRDefault="00BC16BC">
            <w:pPr>
              <w:spacing w:beforeLines="20" w:before="48" w:afterLines="20" w:after="48"/>
              <w:ind w:left="134"/>
              <w:jc w:val="left"/>
              <w:rPr>
                <w:noProof/>
                <w:sz w:val="16"/>
                <w:szCs w:val="16"/>
              </w:rPr>
            </w:pPr>
            <w:r>
              <w:rPr>
                <w:noProof/>
                <w:sz w:val="16"/>
                <w:szCs w:val="16"/>
              </w:rPr>
              <w:t xml:space="preserve">Autres: recettes </w:t>
            </w:r>
            <w:r>
              <w:rPr>
                <w:noProof/>
                <w:sz w:val="16"/>
                <w:szCs w:val="16"/>
              </w:rPr>
              <w:t>affectées externes (hors recherche) - Feader</w:t>
            </w:r>
          </w:p>
        </w:tc>
        <w:tc>
          <w:tcPr>
            <w:tcW w:w="466"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0</w:t>
            </w:r>
          </w:p>
        </w:tc>
        <w:tc>
          <w:tcPr>
            <w:tcW w:w="534"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9</w:t>
            </w:r>
          </w:p>
        </w:tc>
        <w:tc>
          <w:tcPr>
            <w:tcW w:w="466"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9</w:t>
            </w:r>
          </w:p>
        </w:tc>
        <w:tc>
          <w:tcPr>
            <w:tcW w:w="534"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9</w:t>
            </w:r>
          </w:p>
        </w:tc>
        <w:tc>
          <w:tcPr>
            <w:tcW w:w="533"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9</w:t>
            </w:r>
          </w:p>
        </w:tc>
        <w:tc>
          <w:tcPr>
            <w:tcW w:w="468" w:type="pct"/>
            <w:tcBorders>
              <w:bottom w:val="double" w:sz="4" w:space="0" w:color="auto"/>
            </w:tcBorders>
            <w:shd w:val="clear" w:color="auto" w:fill="auto"/>
            <w:vAlign w:val="center"/>
          </w:tcPr>
          <w:p w:rsidR="00435CFF" w:rsidRDefault="00BC16BC">
            <w:pPr>
              <w:spacing w:beforeLines="20" w:before="48" w:afterLines="20" w:after="48"/>
              <w:jc w:val="center"/>
              <w:rPr>
                <w:noProof/>
                <w:sz w:val="16"/>
                <w:szCs w:val="16"/>
              </w:rPr>
            </w:pPr>
            <w:r>
              <w:rPr>
                <w:noProof/>
                <w:sz w:val="16"/>
                <w:szCs w:val="16"/>
              </w:rPr>
              <w:t>9</w:t>
            </w:r>
          </w:p>
        </w:tc>
        <w:tc>
          <w:tcPr>
            <w:tcW w:w="527" w:type="pct"/>
            <w:tcBorders>
              <w:bottom w:val="double" w:sz="4" w:space="0" w:color="auto"/>
            </w:tcBorders>
            <w:shd w:val="clear" w:color="auto" w:fill="auto"/>
            <w:vAlign w:val="center"/>
          </w:tcPr>
          <w:p w:rsidR="00435CFF" w:rsidRDefault="00435CFF">
            <w:pPr>
              <w:spacing w:beforeLines="20" w:before="48" w:afterLines="20" w:after="48"/>
              <w:jc w:val="center"/>
              <w:rPr>
                <w:noProof/>
                <w:sz w:val="16"/>
                <w:szCs w:val="16"/>
              </w:rPr>
            </w:pPr>
          </w:p>
        </w:tc>
      </w:tr>
      <w:tr w:rsidR="00435CFF">
        <w:trPr>
          <w:trHeight w:val="289"/>
        </w:trPr>
        <w:tc>
          <w:tcPr>
            <w:tcW w:w="1472" w:type="pct"/>
            <w:gridSpan w:val="2"/>
            <w:tcBorders>
              <w:top w:val="double" w:sz="4" w:space="0" w:color="auto"/>
            </w:tcBorders>
          </w:tcPr>
          <w:p w:rsidR="00435CFF" w:rsidRDefault="00BC16BC">
            <w:pPr>
              <w:spacing w:beforeLines="20" w:before="48" w:afterLines="20" w:after="48"/>
              <w:ind w:left="136"/>
              <w:jc w:val="left"/>
              <w:rPr>
                <w:noProof/>
                <w:sz w:val="16"/>
                <w:szCs w:val="16"/>
              </w:rPr>
            </w:pPr>
            <w:r>
              <w:rPr>
                <w:b/>
                <w:noProof/>
                <w:sz w:val="16"/>
                <w:szCs w:val="16"/>
              </w:rPr>
              <w:t>TOTAL</w:t>
            </w:r>
          </w:p>
        </w:tc>
        <w:tc>
          <w:tcPr>
            <w:tcW w:w="466" w:type="pct"/>
            <w:tcBorders>
              <w:top w:val="double" w:sz="4" w:space="0" w:color="auto"/>
            </w:tcBorders>
            <w:shd w:val="clear" w:color="auto" w:fill="auto"/>
          </w:tcPr>
          <w:p w:rsidR="00435CFF" w:rsidRDefault="00BC16BC">
            <w:pPr>
              <w:spacing w:beforeLines="20" w:before="48" w:afterLines="20" w:after="48"/>
              <w:rPr>
                <w:b/>
                <w:noProof/>
                <w:sz w:val="16"/>
                <w:szCs w:val="16"/>
              </w:rPr>
            </w:pPr>
            <w:r>
              <w:rPr>
                <w:noProof/>
              </w:rPr>
              <w:t>225</w:t>
            </w:r>
          </w:p>
        </w:tc>
        <w:tc>
          <w:tcPr>
            <w:tcW w:w="534" w:type="pct"/>
            <w:tcBorders>
              <w:top w:val="double" w:sz="4" w:space="0" w:color="auto"/>
            </w:tcBorders>
            <w:shd w:val="clear" w:color="auto" w:fill="auto"/>
          </w:tcPr>
          <w:p w:rsidR="00435CFF" w:rsidRDefault="00BC16BC">
            <w:pPr>
              <w:spacing w:beforeLines="20" w:before="48" w:afterLines="20" w:after="48"/>
              <w:rPr>
                <w:b/>
                <w:noProof/>
                <w:sz w:val="16"/>
                <w:szCs w:val="16"/>
              </w:rPr>
            </w:pPr>
            <w:r>
              <w:rPr>
                <w:noProof/>
              </w:rPr>
              <w:t>234</w:t>
            </w:r>
          </w:p>
        </w:tc>
        <w:tc>
          <w:tcPr>
            <w:tcW w:w="466" w:type="pct"/>
            <w:tcBorders>
              <w:top w:val="double" w:sz="4" w:space="0" w:color="auto"/>
            </w:tcBorders>
            <w:shd w:val="clear" w:color="auto" w:fill="auto"/>
          </w:tcPr>
          <w:p w:rsidR="00435CFF" w:rsidRDefault="00BC16BC">
            <w:pPr>
              <w:spacing w:beforeLines="20" w:before="48" w:afterLines="20" w:after="48"/>
              <w:rPr>
                <w:b/>
                <w:noProof/>
                <w:sz w:val="16"/>
                <w:szCs w:val="16"/>
              </w:rPr>
            </w:pPr>
            <w:r>
              <w:rPr>
                <w:noProof/>
              </w:rPr>
              <w:t>234</w:t>
            </w:r>
          </w:p>
        </w:tc>
        <w:tc>
          <w:tcPr>
            <w:tcW w:w="534" w:type="pct"/>
            <w:tcBorders>
              <w:top w:val="double" w:sz="4" w:space="0" w:color="auto"/>
            </w:tcBorders>
            <w:shd w:val="clear" w:color="auto" w:fill="auto"/>
          </w:tcPr>
          <w:p w:rsidR="00435CFF" w:rsidRDefault="00BC16BC">
            <w:pPr>
              <w:spacing w:beforeLines="20" w:before="48" w:afterLines="20" w:after="48"/>
              <w:rPr>
                <w:b/>
                <w:noProof/>
                <w:sz w:val="16"/>
                <w:szCs w:val="16"/>
              </w:rPr>
            </w:pPr>
            <w:r>
              <w:rPr>
                <w:noProof/>
              </w:rPr>
              <w:t>219</w:t>
            </w:r>
          </w:p>
        </w:tc>
        <w:tc>
          <w:tcPr>
            <w:tcW w:w="533" w:type="pct"/>
            <w:tcBorders>
              <w:top w:val="double" w:sz="4" w:space="0" w:color="auto"/>
            </w:tcBorders>
            <w:shd w:val="clear" w:color="auto" w:fill="auto"/>
          </w:tcPr>
          <w:p w:rsidR="00435CFF" w:rsidRDefault="00BC16BC">
            <w:pPr>
              <w:spacing w:beforeLines="20" w:before="48" w:afterLines="20" w:after="48"/>
              <w:rPr>
                <w:b/>
                <w:noProof/>
                <w:sz w:val="16"/>
                <w:szCs w:val="16"/>
              </w:rPr>
            </w:pPr>
            <w:r>
              <w:rPr>
                <w:noProof/>
              </w:rPr>
              <w:t>189</w:t>
            </w:r>
          </w:p>
        </w:tc>
        <w:tc>
          <w:tcPr>
            <w:tcW w:w="468" w:type="pct"/>
            <w:tcBorders>
              <w:top w:val="double" w:sz="4" w:space="0" w:color="auto"/>
            </w:tcBorders>
            <w:shd w:val="clear" w:color="auto" w:fill="auto"/>
          </w:tcPr>
          <w:p w:rsidR="00435CFF" w:rsidRDefault="00BC16BC">
            <w:pPr>
              <w:spacing w:beforeLines="20" w:before="48" w:afterLines="20" w:after="48"/>
              <w:rPr>
                <w:b/>
                <w:noProof/>
                <w:sz w:val="16"/>
                <w:szCs w:val="16"/>
              </w:rPr>
            </w:pPr>
            <w:r>
              <w:rPr>
                <w:noProof/>
              </w:rPr>
              <w:t>134</w:t>
            </w:r>
          </w:p>
        </w:tc>
        <w:tc>
          <w:tcPr>
            <w:tcW w:w="527" w:type="pct"/>
            <w:tcBorders>
              <w:top w:val="double" w:sz="4" w:space="0" w:color="auto"/>
            </w:tcBorders>
            <w:shd w:val="clear" w:color="auto" w:fill="auto"/>
          </w:tcPr>
          <w:p w:rsidR="00435CFF" w:rsidRDefault="00BC16BC">
            <w:pPr>
              <w:spacing w:beforeLines="20" w:before="48" w:afterLines="20" w:after="48"/>
              <w:rPr>
                <w:b/>
                <w:noProof/>
                <w:sz w:val="16"/>
                <w:szCs w:val="16"/>
              </w:rPr>
            </w:pPr>
            <w:r>
              <w:rPr>
                <w:noProof/>
              </w:rPr>
              <w:t>120</w:t>
            </w:r>
          </w:p>
        </w:tc>
      </w:tr>
    </w:tbl>
    <w:p w:rsidR="00435CFF" w:rsidRDefault="00BC16BC">
      <w:pPr>
        <w:ind w:left="850"/>
        <w:rPr>
          <w:noProof/>
          <w:sz w:val="18"/>
          <w:szCs w:val="18"/>
        </w:rPr>
      </w:pPr>
      <w:r>
        <w:rPr>
          <w:noProof/>
          <w:sz w:val="18"/>
          <w:szCs w:val="18"/>
        </w:rPr>
        <w:t>Les besoins en ressources humaines seront couverts par les effectifs de la DG déjà affectés à la gestion de l’action et/ou redéployés en interne au sein de la DG,</w:t>
      </w:r>
      <w:r>
        <w:rPr>
          <w:noProof/>
          <w:sz w:val="18"/>
          <w:szCs w:val="18"/>
        </w:rPr>
        <w:t xml:space="preserve"> complétés le cas échéant par toute dotation additionnelle qui pourrait être allouée à la DG gestionnaire dans le cadre de la procédure d’allocation annuelle et compte tenu des contraintes budgétaires existantes.</w:t>
      </w:r>
      <w:r>
        <w:rPr>
          <w:noProof/>
        </w:rPr>
        <w:t xml:space="preserve"> </w:t>
      </w:r>
      <w:r>
        <w:rPr>
          <w:noProof/>
          <w:sz w:val="18"/>
          <w:szCs w:val="18"/>
        </w:rPr>
        <w:t>Le personnel supplémentaire ne comprendra q</w:t>
      </w:r>
      <w:r>
        <w:rPr>
          <w:noProof/>
          <w:sz w:val="18"/>
          <w:szCs w:val="18"/>
        </w:rPr>
        <w:t>ue du personnel externe et sera financé exclusivement par des recettes affectées.</w:t>
      </w:r>
    </w:p>
    <w:p w:rsidR="00435CFF" w:rsidRDefault="00BC16BC">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435CFF">
        <w:tc>
          <w:tcPr>
            <w:tcW w:w="3240" w:type="dxa"/>
          </w:tcPr>
          <w:p w:rsidR="00435CFF" w:rsidRDefault="00BC16BC">
            <w:pPr>
              <w:spacing w:before="60" w:after="60"/>
              <w:rPr>
                <w:noProof/>
                <w:sz w:val="20"/>
              </w:rPr>
            </w:pPr>
            <w:r>
              <w:rPr>
                <w:noProof/>
                <w:sz w:val="20"/>
              </w:rPr>
              <w:t>Personnel externe</w:t>
            </w:r>
          </w:p>
        </w:tc>
        <w:tc>
          <w:tcPr>
            <w:tcW w:w="7392" w:type="dxa"/>
          </w:tcPr>
          <w:p w:rsidR="00435CFF" w:rsidRDefault="00BC16BC">
            <w:pPr>
              <w:rPr>
                <w:noProof/>
                <w:sz w:val="20"/>
              </w:rPr>
            </w:pPr>
            <w:r>
              <w:rPr>
                <w:noProof/>
                <w:sz w:val="20"/>
              </w:rPr>
              <w:t xml:space="preserve">Le personnel externe assistera les fonctionnaires et les agents temporaires afin de contribuer à la mise en œuvre des mesures visées dans le règlement relatif à l’instrument européen pour la relance, qui devront être exécutées dans le cadre des programmes </w:t>
            </w:r>
            <w:r>
              <w:rPr>
                <w:noProof/>
                <w:sz w:val="20"/>
              </w:rPr>
              <w:t xml:space="preserve">concernés. </w:t>
            </w:r>
          </w:p>
        </w:tc>
      </w:tr>
    </w:tbl>
    <w:p w:rsidR="00435CFF" w:rsidRDefault="00435CFF">
      <w:pPr>
        <w:rPr>
          <w:noProof/>
        </w:rPr>
        <w:sectPr w:rsidR="00435CFF">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p>
    <w:p w:rsidR="00435CFF" w:rsidRDefault="00435CFF">
      <w:pPr>
        <w:rPr>
          <w:noProof/>
        </w:rPr>
      </w:pPr>
    </w:p>
    <w:p w:rsidR="00435CFF" w:rsidRDefault="00BC16BC">
      <w:pPr>
        <w:keepNext/>
        <w:outlineLvl w:val="1"/>
        <w:rPr>
          <w:rFonts w:eastAsiaTheme="majorEastAsia"/>
          <w:b/>
          <w:noProof/>
          <w:szCs w:val="24"/>
        </w:rPr>
      </w:pPr>
      <w:bookmarkStart w:id="58" w:name="_Toc514941995"/>
      <w:bookmarkStart w:id="59" w:name="_Toc40376080"/>
      <w:r>
        <w:rPr>
          <w:b/>
          <w:bCs/>
          <w:noProof/>
          <w:szCs w:val="26"/>
        </w:rPr>
        <w:t>Incidence estimée sur les recettes</w:t>
      </w:r>
      <w:bookmarkEnd w:id="58"/>
      <w:bookmarkEnd w:id="59"/>
      <w:r>
        <w:rPr>
          <w:b/>
          <w:bCs/>
          <w:noProof/>
          <w:szCs w:val="26"/>
        </w:rPr>
        <w:t xml:space="preserve"> </w:t>
      </w:r>
    </w:p>
    <w:p w:rsidR="00435CFF" w:rsidRDefault="00BC16BC">
      <w:pPr>
        <w:rPr>
          <w:rFonts w:eastAsia="Times New Roman"/>
          <w:noProof/>
        </w:rPr>
      </w:pPr>
      <w:r>
        <w:rPr>
          <w:noProof/>
        </w:rPr>
        <w:t>X</w:t>
      </w:r>
      <w:r>
        <w:rPr>
          <w:noProof/>
        </w:rPr>
        <w:tab/>
        <w:t>La proposition/l’initiative est sans incidence financière sur les recettes.</w:t>
      </w:r>
    </w:p>
    <w:p w:rsidR="00435CFF" w:rsidRDefault="00BC16BC">
      <w:pPr>
        <w:rPr>
          <w:rFonts w:eastAsia="Times New Roman"/>
          <w:noProof/>
        </w:rPr>
      </w:pPr>
      <w:r>
        <w:rPr>
          <w:noProof/>
        </w:rPr>
        <w:sym w:font="Wingdings" w:char="F0A8"/>
      </w:r>
      <w:r>
        <w:rPr>
          <w:noProof/>
        </w:rPr>
        <w:tab/>
        <w:t>La proposition/l’initiative a une incidence financière décrite ci-a</w:t>
      </w:r>
      <w:r>
        <w:rPr>
          <w:noProof/>
        </w:rPr>
        <w:t>près:</w:t>
      </w:r>
    </w:p>
    <w:p w:rsidR="00435CFF" w:rsidRDefault="00BC16BC">
      <w:pPr>
        <w:ind w:left="2126" w:hanging="709"/>
        <w:rPr>
          <w:rFonts w:eastAsia="Times New Roman"/>
          <w:noProof/>
        </w:rPr>
      </w:pPr>
      <w:r>
        <w:rPr>
          <w:noProof/>
        </w:rPr>
        <w:sym w:font="Wingdings" w:char="F0A8"/>
      </w:r>
      <w:r>
        <w:rPr>
          <w:noProof/>
        </w:rPr>
        <w:tab/>
        <w:t xml:space="preserve">sur les ressources propres </w:t>
      </w:r>
    </w:p>
    <w:p w:rsidR="00435CFF" w:rsidRDefault="00BC16BC">
      <w:pPr>
        <w:ind w:left="2126" w:hanging="709"/>
        <w:rPr>
          <w:rFonts w:eastAsia="Times New Roman"/>
          <w:noProof/>
        </w:rPr>
      </w:pPr>
      <w:r>
        <w:rPr>
          <w:noProof/>
        </w:rPr>
        <w:sym w:font="Wingdings" w:char="F0A8"/>
      </w:r>
      <w:r>
        <w:rPr>
          <w:noProof/>
        </w:rPr>
        <w:tab/>
        <w:t>sur les autres recettes</w:t>
      </w:r>
    </w:p>
    <w:p w:rsidR="00435CFF" w:rsidRDefault="00BC16BC">
      <w:pPr>
        <w:rPr>
          <w:noProof/>
        </w:rPr>
      </w:pPr>
      <w:r>
        <w:rPr>
          <w:noProof/>
        </w:rPr>
        <w:t>veuillez indiquer si les recettes sont affectées à des lignes de dépenses X</w:t>
      </w:r>
      <w:r>
        <w:rPr>
          <w:noProof/>
        </w:rPr>
        <w:tab/>
      </w:r>
    </w:p>
    <w:p w:rsidR="00435CFF" w:rsidRDefault="00BC16BC">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435CFF">
        <w:trPr>
          <w:trHeight w:val="388"/>
          <w:jc w:val="center"/>
        </w:trPr>
        <w:tc>
          <w:tcPr>
            <w:tcW w:w="2144" w:type="dxa"/>
            <w:vMerge w:val="restart"/>
            <w:vAlign w:val="center"/>
          </w:tcPr>
          <w:p w:rsidR="00435CFF" w:rsidRDefault="00BC16BC">
            <w:pPr>
              <w:spacing w:before="40" w:after="40"/>
              <w:rPr>
                <w:noProof/>
                <w:sz w:val="18"/>
              </w:rPr>
            </w:pPr>
            <w:r>
              <w:rPr>
                <w:noProof/>
                <w:sz w:val="18"/>
              </w:rPr>
              <w:t>Ligne budgétaire de recettes:</w:t>
            </w:r>
          </w:p>
        </w:tc>
        <w:tc>
          <w:tcPr>
            <w:tcW w:w="7200" w:type="dxa"/>
            <w:gridSpan w:val="7"/>
            <w:vAlign w:val="center"/>
          </w:tcPr>
          <w:p w:rsidR="00435CFF" w:rsidRDefault="00BC16BC">
            <w:pPr>
              <w:jc w:val="center"/>
              <w:rPr>
                <w:noProof/>
                <w:sz w:val="18"/>
              </w:rPr>
            </w:pPr>
            <w:r>
              <w:rPr>
                <w:noProof/>
              </w:rPr>
              <w:t>Incidence de la proposition/de l'initiative</w:t>
            </w:r>
            <w:r>
              <w:rPr>
                <w:rStyle w:val="FootnoteReference"/>
                <w:noProof/>
              </w:rPr>
              <w:footnoteReference w:id="20"/>
            </w:r>
          </w:p>
        </w:tc>
      </w:tr>
      <w:tr w:rsidR="00435CFF">
        <w:trPr>
          <w:trHeight w:val="388"/>
          <w:jc w:val="center"/>
        </w:trPr>
        <w:tc>
          <w:tcPr>
            <w:tcW w:w="2144" w:type="dxa"/>
            <w:vMerge/>
          </w:tcPr>
          <w:p w:rsidR="00435CFF" w:rsidRDefault="00435CFF">
            <w:pPr>
              <w:spacing w:before="40" w:after="40"/>
              <w:rPr>
                <w:noProof/>
                <w:sz w:val="18"/>
              </w:rPr>
            </w:pPr>
          </w:p>
        </w:tc>
        <w:tc>
          <w:tcPr>
            <w:tcW w:w="1080" w:type="dxa"/>
            <w:vAlign w:val="center"/>
          </w:tcPr>
          <w:p w:rsidR="00435CFF" w:rsidRDefault="00BC16BC">
            <w:pPr>
              <w:jc w:val="center"/>
              <w:rPr>
                <w:noProof/>
                <w:sz w:val="18"/>
              </w:rPr>
            </w:pPr>
            <w:r>
              <w:rPr>
                <w:b/>
                <w:noProof/>
                <w:sz w:val="20"/>
              </w:rPr>
              <w:t>2021</w:t>
            </w:r>
          </w:p>
        </w:tc>
        <w:tc>
          <w:tcPr>
            <w:tcW w:w="900" w:type="dxa"/>
            <w:vAlign w:val="center"/>
          </w:tcPr>
          <w:p w:rsidR="00435CFF" w:rsidRDefault="00BC16BC">
            <w:pPr>
              <w:jc w:val="center"/>
              <w:rPr>
                <w:b/>
                <w:noProof/>
                <w:sz w:val="20"/>
              </w:rPr>
            </w:pPr>
            <w:r>
              <w:rPr>
                <w:b/>
                <w:noProof/>
                <w:sz w:val="20"/>
              </w:rPr>
              <w:t>2022</w:t>
            </w:r>
          </w:p>
        </w:tc>
        <w:tc>
          <w:tcPr>
            <w:tcW w:w="900" w:type="dxa"/>
            <w:vAlign w:val="center"/>
          </w:tcPr>
          <w:p w:rsidR="00435CFF" w:rsidRDefault="00BC16BC">
            <w:pPr>
              <w:jc w:val="center"/>
              <w:rPr>
                <w:b/>
                <w:noProof/>
                <w:sz w:val="20"/>
              </w:rPr>
            </w:pPr>
            <w:r>
              <w:rPr>
                <w:b/>
                <w:noProof/>
                <w:sz w:val="20"/>
              </w:rPr>
              <w:t>2023</w:t>
            </w:r>
          </w:p>
        </w:tc>
        <w:tc>
          <w:tcPr>
            <w:tcW w:w="1080" w:type="dxa"/>
            <w:vAlign w:val="center"/>
          </w:tcPr>
          <w:p w:rsidR="00435CFF" w:rsidRDefault="00BC16BC">
            <w:pPr>
              <w:jc w:val="center"/>
              <w:rPr>
                <w:b/>
                <w:noProof/>
                <w:sz w:val="20"/>
              </w:rPr>
            </w:pPr>
            <w:r>
              <w:rPr>
                <w:b/>
                <w:noProof/>
                <w:sz w:val="20"/>
              </w:rPr>
              <w:t>2024</w:t>
            </w:r>
          </w:p>
        </w:tc>
        <w:tc>
          <w:tcPr>
            <w:tcW w:w="1080" w:type="dxa"/>
            <w:vAlign w:val="center"/>
          </w:tcPr>
          <w:p w:rsidR="00435CFF" w:rsidRDefault="00BC16BC">
            <w:pPr>
              <w:jc w:val="center"/>
              <w:rPr>
                <w:b/>
                <w:noProof/>
                <w:sz w:val="20"/>
              </w:rPr>
            </w:pPr>
            <w:r>
              <w:rPr>
                <w:b/>
                <w:noProof/>
                <w:sz w:val="20"/>
              </w:rPr>
              <w:t>2025</w:t>
            </w:r>
          </w:p>
        </w:tc>
        <w:tc>
          <w:tcPr>
            <w:tcW w:w="1080" w:type="dxa"/>
            <w:vAlign w:val="center"/>
          </w:tcPr>
          <w:p w:rsidR="00435CFF" w:rsidRDefault="00BC16BC">
            <w:pPr>
              <w:jc w:val="center"/>
              <w:rPr>
                <w:b/>
                <w:noProof/>
                <w:sz w:val="20"/>
              </w:rPr>
            </w:pPr>
            <w:r>
              <w:rPr>
                <w:b/>
                <w:noProof/>
                <w:sz w:val="20"/>
              </w:rPr>
              <w:t>2026</w:t>
            </w:r>
          </w:p>
        </w:tc>
        <w:tc>
          <w:tcPr>
            <w:tcW w:w="1080" w:type="dxa"/>
            <w:vAlign w:val="center"/>
          </w:tcPr>
          <w:p w:rsidR="00435CFF" w:rsidRDefault="00BC16BC">
            <w:pPr>
              <w:jc w:val="center"/>
              <w:rPr>
                <w:b/>
                <w:noProof/>
                <w:sz w:val="20"/>
              </w:rPr>
            </w:pPr>
            <w:r>
              <w:rPr>
                <w:b/>
                <w:noProof/>
                <w:sz w:val="20"/>
              </w:rPr>
              <w:t>2027</w:t>
            </w:r>
          </w:p>
        </w:tc>
      </w:tr>
      <w:tr w:rsidR="00435CFF">
        <w:trPr>
          <w:trHeight w:val="388"/>
          <w:jc w:val="center"/>
        </w:trPr>
        <w:tc>
          <w:tcPr>
            <w:tcW w:w="2144" w:type="dxa"/>
            <w:vAlign w:val="center"/>
          </w:tcPr>
          <w:p w:rsidR="00435CFF" w:rsidRDefault="00BC16BC">
            <w:pPr>
              <w:spacing w:before="40" w:after="40"/>
              <w:rPr>
                <w:noProof/>
                <w:sz w:val="18"/>
              </w:rPr>
            </w:pPr>
            <w:r>
              <w:rPr>
                <w:noProof/>
                <w:sz w:val="18"/>
              </w:rPr>
              <w:t>Article ....</w:t>
            </w:r>
          </w:p>
        </w:tc>
        <w:tc>
          <w:tcPr>
            <w:tcW w:w="1080" w:type="dxa"/>
          </w:tcPr>
          <w:p w:rsidR="00435CFF" w:rsidRDefault="00435CFF">
            <w:pPr>
              <w:spacing w:beforeLines="40" w:before="96" w:afterLines="40" w:after="96"/>
              <w:jc w:val="center"/>
              <w:rPr>
                <w:noProof/>
                <w:sz w:val="18"/>
              </w:rPr>
            </w:pPr>
          </w:p>
        </w:tc>
        <w:tc>
          <w:tcPr>
            <w:tcW w:w="900" w:type="dxa"/>
          </w:tcPr>
          <w:p w:rsidR="00435CFF" w:rsidRDefault="00435CFF">
            <w:pPr>
              <w:spacing w:beforeLines="40" w:before="96" w:afterLines="40" w:after="96"/>
              <w:jc w:val="center"/>
              <w:rPr>
                <w:noProof/>
                <w:sz w:val="18"/>
              </w:rPr>
            </w:pPr>
          </w:p>
        </w:tc>
        <w:tc>
          <w:tcPr>
            <w:tcW w:w="900" w:type="dxa"/>
          </w:tcPr>
          <w:p w:rsidR="00435CFF" w:rsidRDefault="00435CFF">
            <w:pPr>
              <w:spacing w:beforeLines="40" w:before="96" w:afterLines="40" w:after="96"/>
              <w:jc w:val="center"/>
              <w:rPr>
                <w:noProof/>
                <w:sz w:val="18"/>
              </w:rPr>
            </w:pPr>
          </w:p>
        </w:tc>
        <w:tc>
          <w:tcPr>
            <w:tcW w:w="1080" w:type="dxa"/>
          </w:tcPr>
          <w:p w:rsidR="00435CFF" w:rsidRDefault="00435CFF">
            <w:pPr>
              <w:spacing w:beforeLines="40" w:before="96" w:afterLines="40" w:after="96"/>
              <w:jc w:val="center"/>
              <w:rPr>
                <w:noProof/>
                <w:sz w:val="18"/>
              </w:rPr>
            </w:pPr>
          </w:p>
        </w:tc>
        <w:tc>
          <w:tcPr>
            <w:tcW w:w="1080" w:type="dxa"/>
          </w:tcPr>
          <w:p w:rsidR="00435CFF" w:rsidRDefault="00435CFF">
            <w:pPr>
              <w:spacing w:beforeLines="40" w:before="96" w:afterLines="40" w:after="96"/>
              <w:jc w:val="center"/>
              <w:rPr>
                <w:noProof/>
                <w:sz w:val="18"/>
              </w:rPr>
            </w:pPr>
          </w:p>
        </w:tc>
        <w:tc>
          <w:tcPr>
            <w:tcW w:w="1080" w:type="dxa"/>
          </w:tcPr>
          <w:p w:rsidR="00435CFF" w:rsidRDefault="00435CFF">
            <w:pPr>
              <w:spacing w:beforeLines="40" w:before="96" w:afterLines="40" w:after="96"/>
              <w:jc w:val="center"/>
              <w:rPr>
                <w:noProof/>
                <w:sz w:val="18"/>
              </w:rPr>
            </w:pPr>
          </w:p>
        </w:tc>
        <w:tc>
          <w:tcPr>
            <w:tcW w:w="1080" w:type="dxa"/>
          </w:tcPr>
          <w:p w:rsidR="00435CFF" w:rsidRDefault="00435CFF">
            <w:pPr>
              <w:spacing w:beforeLines="40" w:before="96" w:afterLines="40" w:after="96"/>
              <w:jc w:val="center"/>
              <w:rPr>
                <w:noProof/>
                <w:sz w:val="18"/>
              </w:rPr>
            </w:pPr>
          </w:p>
        </w:tc>
      </w:tr>
    </w:tbl>
    <w:p w:rsidR="00435CFF" w:rsidRDefault="00BC16BC">
      <w:pPr>
        <w:ind w:left="850"/>
        <w:rPr>
          <w:noProof/>
          <w:sz w:val="20"/>
          <w:szCs w:val="20"/>
        </w:rPr>
      </w:pPr>
      <w:r>
        <w:rPr>
          <w:noProof/>
          <w:sz w:val="20"/>
          <w:szCs w:val="20"/>
        </w:rPr>
        <w:t>Pour les recettes affectées, préciser la(les) ligne(s) budgétaire(s) de dépenses concernée(s).</w:t>
      </w:r>
    </w:p>
    <w:p w:rsidR="00435CFF" w:rsidRDefault="00BC16BC">
      <w:pPr>
        <w:ind w:left="850"/>
        <w:rPr>
          <w:noProof/>
        </w:rPr>
      </w:pPr>
      <w:r>
        <w:rPr>
          <w:noProof/>
          <w:color w:val="0000FF"/>
        </w:rPr>
        <w:t>[…]</w:t>
      </w:r>
    </w:p>
    <w:p w:rsidR="00435CFF" w:rsidRDefault="00BC16BC">
      <w:pPr>
        <w:ind w:left="850"/>
        <w:rPr>
          <w:noProof/>
          <w:sz w:val="16"/>
          <w:szCs w:val="16"/>
        </w:rPr>
      </w:pPr>
      <w:r>
        <w:rPr>
          <w:noProof/>
          <w:sz w:val="20"/>
          <w:szCs w:val="20"/>
        </w:rPr>
        <w:t xml:space="preserve">Autres remarques (relatives par exemple à la méthode/formule utilisée pour le calcul de l’incidence sur les </w:t>
      </w:r>
      <w:r>
        <w:rPr>
          <w:noProof/>
          <w:sz w:val="20"/>
          <w:szCs w:val="20"/>
        </w:rPr>
        <w:t>recettes ou toute autre information).</w:t>
      </w:r>
      <w:r>
        <w:rPr>
          <w:noProof/>
          <w:sz w:val="16"/>
          <w:szCs w:val="16"/>
        </w:rPr>
        <w:t xml:space="preserve"> </w:t>
      </w:r>
    </w:p>
    <w:p w:rsidR="00435CFF" w:rsidRDefault="00BC16BC">
      <w:pPr>
        <w:ind w:left="850"/>
        <w:rPr>
          <w:noProof/>
        </w:rPr>
      </w:pPr>
      <w:r>
        <w:rPr>
          <w:noProof/>
          <w:color w:val="0000FF"/>
        </w:rPr>
        <w:t>[…]</w:t>
      </w:r>
    </w:p>
    <w:p w:rsidR="00435CFF" w:rsidRDefault="00435CFF">
      <w:pPr>
        <w:ind w:left="850"/>
        <w:rPr>
          <w:noProof/>
        </w:rPr>
      </w:pPr>
    </w:p>
    <w:p w:rsidR="00435CFF" w:rsidRDefault="00435CFF">
      <w:pPr>
        <w:keepNext/>
        <w:rPr>
          <w:noProof/>
        </w:rPr>
      </w:pPr>
    </w:p>
    <w:p w:rsidR="00435CFF" w:rsidRDefault="00435CFF">
      <w:pPr>
        <w:rPr>
          <w:noProof/>
        </w:rPr>
      </w:pPr>
    </w:p>
    <w:sectPr w:rsidR="00435CFF">
      <w:pgSz w:w="11907" w:h="16840"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FF" w:rsidRDefault="00BC16BC">
      <w:pPr>
        <w:spacing w:before="0" w:after="0"/>
      </w:pPr>
      <w:r>
        <w:separator/>
      </w:r>
    </w:p>
  </w:endnote>
  <w:endnote w:type="continuationSeparator" w:id="0">
    <w:p w:rsidR="00435CFF" w:rsidRDefault="00BC16BC">
      <w:pPr>
        <w:spacing w:before="0" w:after="0"/>
      </w:pPr>
      <w:r>
        <w:continuationSeparator/>
      </w:r>
    </w:p>
  </w:endnote>
  <w:endnote w:type="continuationNotice" w:id="1">
    <w:p w:rsidR="00435CFF" w:rsidRDefault="00435C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BC16BC">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BC16BC">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435C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BC16BC">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435CFF">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BC16BC">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43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FF" w:rsidRDefault="00BC16BC">
      <w:pPr>
        <w:spacing w:before="0" w:after="0"/>
      </w:pPr>
      <w:r>
        <w:separator/>
      </w:r>
    </w:p>
  </w:footnote>
  <w:footnote w:type="continuationSeparator" w:id="0">
    <w:p w:rsidR="00435CFF" w:rsidRDefault="00BC16BC">
      <w:pPr>
        <w:spacing w:before="0" w:after="0"/>
      </w:pPr>
      <w:r>
        <w:continuationSeparator/>
      </w:r>
    </w:p>
  </w:footnote>
  <w:footnote w:type="continuationNotice" w:id="1">
    <w:p w:rsidR="00435CFF" w:rsidRDefault="00435CFF">
      <w:pPr>
        <w:spacing w:before="0" w:after="0"/>
      </w:pPr>
    </w:p>
  </w:footnote>
  <w:footnote w:id="2">
    <w:p w:rsidR="00435CFF" w:rsidRDefault="00BC16BC">
      <w:pPr>
        <w:pStyle w:val="FootnoteText"/>
      </w:pPr>
      <w:r>
        <w:rPr>
          <w:rStyle w:val="FootnoteReference"/>
        </w:rPr>
        <w:footnoteRef/>
      </w:r>
      <w:r>
        <w:rPr>
          <w:lang w:val="en-US"/>
        </w:rPr>
        <w:tab/>
        <w:t xml:space="preserve">European Economic Forecast, Institutional Paper 125. </w:t>
      </w:r>
      <w:r>
        <w:t>Mai 2020.</w:t>
      </w:r>
    </w:p>
  </w:footnote>
  <w:footnote w:id="3">
    <w:p w:rsidR="00435CFF" w:rsidRDefault="00BC16BC">
      <w:pPr>
        <w:pStyle w:val="FootnoteText"/>
        <w:rPr>
          <w:szCs w:val="24"/>
        </w:rPr>
      </w:pPr>
      <w:r>
        <w:rPr>
          <w:rStyle w:val="FootnoteReference"/>
        </w:rPr>
        <w:footnoteRef/>
      </w:r>
      <w:r>
        <w:tab/>
        <w:t>Tel(le) que visé(e) à l’article 58, paragraphe 2, point a) ou b), du règlement financier.</w:t>
      </w:r>
    </w:p>
  </w:footnote>
  <w:footnote w:id="4">
    <w:p w:rsidR="00435CFF" w:rsidRDefault="00BC16BC">
      <w:pPr>
        <w:pStyle w:val="FootnoteText"/>
      </w:pPr>
      <w:r>
        <w:rPr>
          <w:rStyle w:val="FootnoteReference"/>
        </w:rPr>
        <w:footnoteRef/>
      </w:r>
      <w:r>
        <w:tab/>
        <w:t>COM(2017) 720 final.</w:t>
      </w:r>
    </w:p>
  </w:footnote>
  <w:footnote w:id="5">
    <w:p w:rsidR="00435CFF" w:rsidRDefault="00BC16BC">
      <w:pPr>
        <w:pStyle w:val="FootnoteText"/>
        <w:jc w:val="left"/>
        <w:rPr>
          <w:szCs w:val="24"/>
        </w:rPr>
      </w:pPr>
      <w:r>
        <w:rPr>
          <w:rStyle w:val="FootnoteReference"/>
        </w:rPr>
        <w:footnoteRef/>
      </w:r>
      <w:r>
        <w:tab/>
        <w:t>Les explications sur l</w:t>
      </w:r>
      <w:r>
        <w:t xml:space="preserve">es modes de gestion ainsi que les références au règlement financier sont disponibles sur le site BudgWeb: </w:t>
      </w:r>
      <w:hyperlink r:id="rId1" w:history="1">
        <w:r>
          <w:rPr>
            <w:rStyle w:val="Hyperlink"/>
          </w:rPr>
          <w:t>https://myintracomm.ec.europa.eu/budgweb/FR/man/budgman</w:t>
        </w:r>
        <w:r>
          <w:rPr>
            <w:rStyle w:val="Hyperlink"/>
          </w:rPr>
          <w:t>ag/Pages/budgmanag.aspx</w:t>
        </w:r>
      </w:hyperlink>
      <w:r>
        <w:t xml:space="preserve"> </w:t>
      </w:r>
    </w:p>
  </w:footnote>
  <w:footnote w:id="6">
    <w:p w:rsidR="00435CFF" w:rsidRDefault="00BC16BC">
      <w:pPr>
        <w:pStyle w:val="FootnoteText"/>
        <w:rPr>
          <w:szCs w:val="24"/>
        </w:rPr>
      </w:pPr>
      <w:r>
        <w:rPr>
          <w:rStyle w:val="FootnoteReference"/>
        </w:rPr>
        <w:footnoteRef/>
      </w:r>
      <w:r>
        <w:tab/>
        <w:t>CD = crédits dissociés / CND = crédits non dissociés.</w:t>
      </w:r>
    </w:p>
  </w:footnote>
  <w:footnote w:id="7">
    <w:p w:rsidR="00435CFF" w:rsidRDefault="00BC16BC">
      <w:pPr>
        <w:pStyle w:val="FootnoteText"/>
        <w:rPr>
          <w:szCs w:val="24"/>
        </w:rPr>
      </w:pPr>
      <w:r>
        <w:rPr>
          <w:rStyle w:val="FootnoteReference"/>
        </w:rPr>
        <w:footnoteRef/>
      </w:r>
      <w:r>
        <w:tab/>
        <w:t xml:space="preserve">AELE: Association européenne de libre-échange. </w:t>
      </w:r>
    </w:p>
  </w:footnote>
  <w:footnote w:id="8">
    <w:p w:rsidR="00435CFF" w:rsidRDefault="00BC16BC">
      <w:pPr>
        <w:pStyle w:val="FootnoteText"/>
      </w:pPr>
      <w:r>
        <w:rPr>
          <w:rStyle w:val="FootnoteReference"/>
        </w:rPr>
        <w:footnoteRef/>
      </w:r>
      <w:r>
        <w:tab/>
        <w:t>Pays candidats et, le cas échéant, pays candidats potentiels des Balkans occidentaux.</w:t>
      </w:r>
    </w:p>
  </w:footnote>
  <w:footnote w:id="9">
    <w:p w:rsidR="00435CFF" w:rsidRDefault="00BC16BC">
      <w:pPr>
        <w:pStyle w:val="FootnoteText"/>
        <w:rPr>
          <w:szCs w:val="24"/>
        </w:rPr>
      </w:pPr>
      <w:r>
        <w:rPr>
          <w:rStyle w:val="FootnoteReference"/>
        </w:rPr>
        <w:footnoteRef/>
      </w:r>
      <w:r>
        <w:tab/>
        <w:t xml:space="preserve">CD = crédits dissociés / CND = </w:t>
      </w:r>
      <w:r>
        <w:t>crédits non dissociés.</w:t>
      </w:r>
    </w:p>
  </w:footnote>
  <w:footnote w:id="10">
    <w:p w:rsidR="00435CFF" w:rsidRDefault="00BC16BC">
      <w:pPr>
        <w:pStyle w:val="FootnoteText"/>
        <w:rPr>
          <w:szCs w:val="24"/>
        </w:rPr>
      </w:pPr>
      <w:r>
        <w:rPr>
          <w:rStyle w:val="FootnoteReference"/>
        </w:rPr>
        <w:footnoteRef/>
      </w:r>
      <w:r>
        <w:tab/>
        <w:t xml:space="preserve">AELE: Association européenne de libre-échange. </w:t>
      </w:r>
    </w:p>
  </w:footnote>
  <w:footnote w:id="11">
    <w:p w:rsidR="00435CFF" w:rsidRDefault="00BC16BC">
      <w:pPr>
        <w:pStyle w:val="FootnoteText"/>
      </w:pPr>
      <w:r>
        <w:rPr>
          <w:rStyle w:val="FootnoteReference"/>
        </w:rPr>
        <w:footnoteRef/>
      </w:r>
      <w:r>
        <w:tab/>
        <w:t>Pays candidats et, le cas échéant, pays candidats potentiels des Balkans occidentaux.</w:t>
      </w:r>
    </w:p>
  </w:footnote>
  <w:footnote w:id="12">
    <w:p w:rsidR="00435CFF" w:rsidRDefault="00BC16BC">
      <w:pPr>
        <w:pStyle w:val="FootnoteText"/>
        <w:rPr>
          <w:szCs w:val="24"/>
        </w:rPr>
      </w:pPr>
      <w:r>
        <w:rPr>
          <w:rStyle w:val="FootnoteReference"/>
        </w:rPr>
        <w:footnoteRef/>
      </w:r>
      <w:r>
        <w:tab/>
        <w:t>CD = crédits dissociés / CND = crédits non dissociés.</w:t>
      </w:r>
    </w:p>
  </w:footnote>
  <w:footnote w:id="13">
    <w:p w:rsidR="00435CFF" w:rsidRDefault="00BC16BC">
      <w:pPr>
        <w:pStyle w:val="FootnoteText"/>
        <w:rPr>
          <w:szCs w:val="24"/>
        </w:rPr>
      </w:pPr>
      <w:r>
        <w:rPr>
          <w:rStyle w:val="FootnoteReference"/>
        </w:rPr>
        <w:footnoteRef/>
      </w:r>
      <w:r>
        <w:tab/>
        <w:t>AELE: Association européenne de libre</w:t>
      </w:r>
      <w:r>
        <w:t xml:space="preserve">-échange. </w:t>
      </w:r>
    </w:p>
  </w:footnote>
  <w:footnote w:id="14">
    <w:p w:rsidR="00435CFF" w:rsidRDefault="00BC16BC">
      <w:pPr>
        <w:pStyle w:val="FootnoteText"/>
      </w:pPr>
      <w:r>
        <w:rPr>
          <w:rStyle w:val="FootnoteReference"/>
        </w:rPr>
        <w:footnoteRef/>
      </w:r>
      <w:r>
        <w:tab/>
        <w:t>Pays candidats et, le cas échéant, pays candidats potentiels des Balkans occidentaux.</w:t>
      </w:r>
    </w:p>
  </w:footnote>
  <w:footnote w:id="15">
    <w:p w:rsidR="00435CFF" w:rsidRDefault="00BC16BC">
      <w:pPr>
        <w:pStyle w:val="FootnoteText"/>
      </w:pPr>
      <w:r>
        <w:rPr>
          <w:rStyle w:val="FootnoteReference"/>
        </w:rPr>
        <w:footnoteRef/>
      </w:r>
      <w:r>
        <w:tab/>
      </w:r>
      <w:r>
        <w:rPr>
          <w:i/>
        </w:rPr>
        <w:t>En ce qui concerne les activités telle que le suivi de la mise en œuvre, y compris le contrôle et la gestion financière, et la participation au processus d</w:t>
      </w:r>
      <w:r>
        <w:rPr>
          <w:i/>
        </w:rPr>
        <w:t>e clôture des programmes, financées par des dépenses administratives, des engagements peuvent être effectués jusqu’en 2027 (voir les informations détaillées dans le tableau ci-dessus).</w:t>
      </w:r>
    </w:p>
  </w:footnote>
  <w:footnote w:id="16">
    <w:p w:rsidR="00435CFF" w:rsidRDefault="00BC16BC">
      <w:pPr>
        <w:pStyle w:val="FootnoteText"/>
        <w:rPr>
          <w:szCs w:val="24"/>
        </w:rPr>
      </w:pPr>
      <w:r>
        <w:rPr>
          <w:rStyle w:val="FootnoteReference"/>
        </w:rPr>
        <w:footnoteRef/>
      </w:r>
      <w:r>
        <w:tab/>
        <w:t>Assistance technique et/ou administrative et dépenses d'appui à la mi</w:t>
      </w:r>
      <w:r>
        <w:t>se en œuvre de programmes et/ou d'actions de l'UE (anciennes lignes «BA»), recherche indirecte, recherche directe.</w:t>
      </w:r>
    </w:p>
  </w:footnote>
  <w:footnote w:id="17">
    <w:p w:rsidR="00435CFF" w:rsidRDefault="00BC16BC">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18">
    <w:p w:rsidR="00435CFF" w:rsidRDefault="00BC16BC">
      <w:pPr>
        <w:pStyle w:val="FootnoteText"/>
        <w:rPr>
          <w:szCs w:val="24"/>
        </w:rPr>
      </w:pPr>
      <w:r>
        <w:rPr>
          <w:rStyle w:val="FootnoteReference"/>
        </w:rPr>
        <w:footnoteRef/>
      </w:r>
      <w:r>
        <w:tab/>
        <w:t>Sou</w:t>
      </w:r>
      <w:r>
        <w:t>s-plafonds de personnel externe financés sur crédits opérationnels (anciennes lignes «BA»).</w:t>
      </w:r>
    </w:p>
  </w:footnote>
  <w:footnote w:id="19">
    <w:p w:rsidR="00435CFF" w:rsidRDefault="00BC16BC">
      <w:pPr>
        <w:pStyle w:val="FootnoteText"/>
      </w:pPr>
      <w:r>
        <w:rPr>
          <w:rStyle w:val="FootnoteReference"/>
        </w:rPr>
        <w:footnoteRef/>
      </w:r>
      <w:r>
        <w:tab/>
        <w:t>Ces estimations ne préjugent pas des effectifs supplémentaires nécessaires dans les agences exécutives et financés par des recettes affectées, sur la base d’une é</w:t>
      </w:r>
      <w:r>
        <w:t>valuation approfondie de l’incidence sur les ressources.</w:t>
      </w:r>
    </w:p>
  </w:footnote>
  <w:footnote w:id="20">
    <w:p w:rsidR="00435CFF" w:rsidRDefault="00BC16BC">
      <w:r>
        <w:rPr>
          <w:rStyle w:val="FootnoteReference"/>
        </w:rPr>
        <w:footnoteRef/>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435CFF">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435CFF">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435C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FF" w:rsidRDefault="00435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C4850F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4C2BCF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C4A51B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9F2EB6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FC6B81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CFAF5D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C085EE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DEA1DB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num>
  <w:num w:numId="15">
    <w:abstractNumId w:val="1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14"/>
    <w:lvlOverride w:ilvl="0">
      <w:startOverride w:val="1"/>
    </w:lvlOverride>
  </w:num>
  <w:num w:numId="21">
    <w:abstractNumId w:val="20"/>
    <w:lvlOverride w:ilvl="0">
      <w:startOverride w:val="1"/>
    </w:lvlOverride>
  </w:num>
  <w:num w:numId="22">
    <w:abstractNumId w:val="20"/>
  </w:num>
  <w:num w:numId="23">
    <w:abstractNumId w:val="12"/>
  </w:num>
  <w:num w:numId="24">
    <w:abstractNumId w:val="22"/>
  </w:num>
  <w:num w:numId="25">
    <w:abstractNumId w:val="11"/>
  </w:num>
  <w:num w:numId="26">
    <w:abstractNumId w:val="13"/>
  </w:num>
  <w:num w:numId="27">
    <w:abstractNumId w:val="9"/>
  </w:num>
  <w:num w:numId="28">
    <w:abstractNumId w:val="21"/>
  </w:num>
  <w:num w:numId="29">
    <w:abstractNumId w:val="8"/>
  </w:num>
  <w:num w:numId="30">
    <w:abstractNumId w:val="14"/>
  </w:num>
  <w:num w:numId="31">
    <w:abstractNumId w:val="18"/>
  </w:num>
  <w:num w:numId="32">
    <w:abstractNumId w:val="19"/>
  </w:num>
  <w:num w:numId="33">
    <w:abstractNumId w:val="10"/>
  </w:num>
  <w:num w:numId="34">
    <w:abstractNumId w:val="17"/>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15:07: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8"/>
    <w:docVar w:name="DQCResult_ModifiedMarkers" w:val="0;0"/>
    <w:docVar w:name="DQCResult_ModifiedNumbering" w:val="0;0"/>
    <w:docVar w:name="DQCResult_Objects" w:val="0;0"/>
    <w:docVar w:name="DQCResult_Sections" w:val="0;1"/>
    <w:docVar w:name="DQCResult_StructureCheck" w:val="0;0"/>
    <w:docVar w:name="DQCResult_SuperfluousWhitespace" w:val="0;3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9C16004-B582-4A67-A1EB-5CAA7578C50A"/>
    <w:docVar w:name="LW_COVERPAGE_TYPE" w:val="1"/>
    <w:docVar w:name="LW_CROSSREFERENCE" w:val="&lt;UNUSED&gt;"/>
    <w:docVar w:name="LW_DocType" w:val="COM"/>
    <w:docVar w:name="LW_EMISSION" w:val="29.5.2020"/>
    <w:docVar w:name="LW_EMISSION_ISODATE" w:val="2020-05-29"/>
    <w:docVar w:name="LW_EMISSION_LOCATION" w:val="BRX"/>
    <w:docVar w:name="LW_EMISSION_PREFIX" w:val="Bruxelles, le "/>
    <w:docVar w:name="LW_EMISSION_SUFFIX" w:val=" "/>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0) 4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modifiée de"/>
    <w:docVar w:name="LW_SUPERTITRE" w:val="&lt;UNUSED&gt;"/>
    <w:docVar w:name="LW_TITRE.OBJ.CP" w:val="portant établissement du programme-cadre pour la recherche et l\u8217?innovation «Horizon Europe» et définissant ses règles de participation et de diffusion, _x000b_  _x000b_DÉCISION DU PARLEMENT EUROPÉEN ET DU CONSEIL _x000b_établissant le programme spécifique d\u8217?exécution du programme-cadre pour la recherche et l\u8217?innovation «Horizon Europe», _x000b_  _x000b_RÈGLEMENT DU PARLEMENT EUROPÉEN ET DU CONSEIL établissant l\u8217?instrument de voisinage, de coopération au développement et de coopération internationale, _x000b_ _x000b_RÈGLEMENT DU PARLEMENT EUROPÉEN ET DU CONSEIL 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1305/2013 du Parlement européen et du Conseil et le règlement (UE) n° 1307/2013 du Parlement européen et du Conseil"/>
    <w:docVar w:name="LW_TYPE.DOC.CP" w:val="RÈGLEMENT DU PARLEMENT EUROPÉEN ET DU CONSEIL"/>
  </w:docVars>
  <w:rsids>
    <w:rsidRoot w:val="00435CFF"/>
    <w:rsid w:val="00435CFF"/>
    <w:rsid w:val="00BC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680D0A1-2890-4C64-A3ED-5F7567E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conf-macro">
    <w:name w:val="conf-macro"/>
    <w:basedOn w:val="DefaultParagraphFont"/>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fr-FR"/>
    </w:rPr>
  </w:style>
  <w:style w:type="character" w:customStyle="1" w:styleId="FooterSensitivityChar">
    <w:name w:val="Footer Sensitivity Char"/>
    <w:basedOn w:val="DefaultParagraphFont"/>
    <w:rPr>
      <w:rFonts w:ascii="Times New Roman" w:hAnsi="Times New Roman" w:cs="Times New Roman"/>
      <w:b/>
      <w:sz w:val="32"/>
      <w:lang w:val="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fr-FR"/>
    </w:rPr>
  </w:style>
  <w:style w:type="character" w:customStyle="1" w:styleId="HeaderSensitivityChar">
    <w:name w:val="Header Sensitivity Char"/>
    <w:basedOn w:val="DefaultParagraphFont"/>
    <w:rPr>
      <w:rFonts w:ascii="Times New Roman" w:hAnsi="Times New Roman" w:cs="Times New Roman"/>
      <w:b/>
      <w:sz w:val="32"/>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245">
      <w:bodyDiv w:val="1"/>
      <w:marLeft w:val="0"/>
      <w:marRight w:val="0"/>
      <w:marTop w:val="0"/>
      <w:marBottom w:val="0"/>
      <w:divBdr>
        <w:top w:val="none" w:sz="0" w:space="0" w:color="auto"/>
        <w:left w:val="none" w:sz="0" w:space="0" w:color="auto"/>
        <w:bottom w:val="none" w:sz="0" w:space="0" w:color="auto"/>
        <w:right w:val="none" w:sz="0" w:space="0" w:color="auto"/>
      </w:divBdr>
    </w:div>
    <w:div w:id="897010655">
      <w:bodyDiv w:val="1"/>
      <w:marLeft w:val="0"/>
      <w:marRight w:val="0"/>
      <w:marTop w:val="0"/>
      <w:marBottom w:val="0"/>
      <w:divBdr>
        <w:top w:val="none" w:sz="0" w:space="0" w:color="auto"/>
        <w:left w:val="none" w:sz="0" w:space="0" w:color="auto"/>
        <w:bottom w:val="none" w:sz="0" w:space="0" w:color="auto"/>
        <w:right w:val="none" w:sz="0" w:space="0" w:color="auto"/>
      </w:divBdr>
    </w:div>
    <w:div w:id="1619801731">
      <w:bodyDiv w:val="1"/>
      <w:marLeft w:val="0"/>
      <w:marRight w:val="0"/>
      <w:marTop w:val="0"/>
      <w:marBottom w:val="0"/>
      <w:divBdr>
        <w:top w:val="none" w:sz="0" w:space="0" w:color="auto"/>
        <w:left w:val="none" w:sz="0" w:space="0" w:color="auto"/>
        <w:bottom w:val="none" w:sz="0" w:space="0" w:color="auto"/>
        <w:right w:val="none" w:sz="0" w:space="0" w:color="auto"/>
      </w:divBdr>
    </w:div>
    <w:div w:id="21110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35DF7AF93945BFBCEF7349104FBF" ma:contentTypeVersion="0" ma:contentTypeDescription="Create a new document." ma:contentTypeScope="" ma:versionID="4520faae18ad6378bc483200924bc68c">
  <xsd:schema xmlns:xsd="http://www.w3.org/2001/XMLSchema" xmlns:xs="http://www.w3.org/2001/XMLSchema" xmlns:p="http://schemas.microsoft.com/office/2006/metadata/properties" targetNamespace="http://schemas.microsoft.com/office/2006/metadata/properties" ma:root="true" ma:fieldsID="a298a1a8e83205e5a36c7145419b8c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57D9B3-4F7E-4805-9A84-0F90B7F0E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2F9AB1-4B86-47BF-BE60-053414D77EEB}">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EC1CADAE-DF96-4BB8-8D36-1B66A72A3F82}">
  <ds:schemaRefs>
    <ds:schemaRef ds:uri="http://schemas.microsoft.com/sharepoint/v3/contenttype/forms"/>
  </ds:schemaRefs>
</ds:datastoreItem>
</file>

<file path=customXml/itemProps4.xml><?xml version="1.0" encoding="utf-8"?>
<ds:datastoreItem xmlns:ds="http://schemas.openxmlformats.org/officeDocument/2006/customXml" ds:itemID="{7AAB432B-8FF4-4ECA-AAAD-DDA7B3F5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25</Pages>
  <Words>7332</Words>
  <Characters>41138</Characters>
  <Application>Microsoft Office Word</Application>
  <DocSecurity>0</DocSecurity>
  <Lines>1469</Lines>
  <Paragraphs>807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21</cp:revision>
  <dcterms:created xsi:type="dcterms:W3CDTF">2020-05-29T11:51:00Z</dcterms:created>
  <dcterms:modified xsi:type="dcterms:W3CDTF">2020-05-29T13:10:00Z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ContentTypeId">
    <vt:lpwstr>0x010100B05035DF7AF93945BFBCEF7349104FBF</vt:lpwstr>
  </property>
  <property fmtid="{D5CDD505-2E9C-101B-9397-08002B2CF9AE}" pid="11" name="IsMyDocuments">
    <vt:bool>true</vt:bool>
  </property>
  <property fmtid="{D5CDD505-2E9C-101B-9397-08002B2CF9AE}" pid="12" name="DQCStatus">
    <vt:lpwstr>Yellow (DQC version 03)</vt:lpwstr>
  </property>
</Properties>
</file>