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312A925-628D-4487-8F96-A2467C08F275" style="width:451.25pt;height:596.9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Пандемията на COVID-19 представлява широкообхватна тежка криза в областта на общественото здраве. Тя засяга сериозно гражданите, обществата и икономиките в целия свят. Мащабът на здравната криза и ответните мерки на политиката, предприети с цел да бъде контролирана, са безпрецедентни. В резултат на това дълбочината на нейното социално-икономическо въздействие се характеризира с голяма несигурност. Още на този етап е сигурно, че тя поставя безпрецедентни и остри предизвикателства пред финансовите и икономическите системи на държавите членки. Според прогнозите на Комисията от пролетта</w:t>
      </w:r>
      <w:r>
        <w:rPr>
          <w:rStyle w:val="FootnoteReference"/>
          <w:noProof/>
        </w:rPr>
        <w:footnoteReference w:id="2"/>
      </w:r>
      <w:r>
        <w:rPr>
          <w:noProof/>
        </w:rPr>
        <w:t xml:space="preserve"> БВП на ЕС се предвижда да намалее с около 7,5 % тази година — далеч повече, отколкото по време на световната финансова криза през 2009 г. — и да се покачи едва с 6 % през 2021 г.</w:t>
      </w:r>
    </w:p>
    <w:p>
      <w:pPr>
        <w:rPr>
          <w:noProof/>
        </w:rPr>
      </w:pPr>
      <w:r>
        <w:rPr>
          <w:noProof/>
        </w:rPr>
        <w:t xml:space="preserve">В отговор на това държавите членки приеха извънредни дискреционни икономически и финансови мерки. Заедно с ефекта от т.нар. „автоматични стабилизатори“, т.е. плащанията, предвидени в рамките на системите за осигуряване срещу безработица и системите за социална сигурност, в съчетание със загубата на данъчни приходи, тези мерки имат значителен ефект върху техните публични финанси с увеличаване на общия държавен дефицит от 0,6 % от БВП през 2019 г. до 8,5 % от БВП както в еврозоната, така и в ЕС тази година. </w:t>
      </w:r>
    </w:p>
    <w:p>
      <w:pPr>
        <w:rPr>
          <w:noProof/>
        </w:rPr>
      </w:pPr>
      <w:r>
        <w:rPr>
          <w:noProof/>
        </w:rPr>
        <w:t>Кризата, причинена от пандемията от COVID-19, оказва също голямо въздействие върху всички общества по света — като се започва от системите за здравеопазване и се стига до тежки глобални социални и икономически последици. Нашата стратегия за отговор следва да бъде всеобхватна, съгласувана и интегрирана, като обхваща както общественото здраве, така и социално-икономическите предизвикателства. Най-слабо развитите държави са най-уязвими по отношение на COVID-19, като се имат предвид техните слаби, неустойчиви здравни системи и сложните социално-икономически и управленски предизвикателства. Вече е очевидно, че COVID-19 ще има значително въздействие върху икономическите и макроикономическите системи в страните партньори. Правителствата ще бъдат изправени пред предизвикателството да запазят макроикономическа стабилност и фискално пространство, за да защитят най-уязвимите, своите дружества и работниците, както и да продължат да предоставят основни социални услуги.</w:t>
      </w:r>
    </w:p>
    <w:p>
      <w:pPr>
        <w:rPr>
          <w:noProof/>
        </w:rPr>
      </w:pPr>
      <w:r>
        <w:rPr>
          <w:noProof/>
        </w:rPr>
        <w:t xml:space="preserve">Тази извънредна ситуация изисква последователен и единен подход на равнището на Съюза. </w:t>
      </w:r>
    </w:p>
    <w:p>
      <w:pPr>
        <w:rPr>
          <w:noProof/>
        </w:rPr>
      </w:pPr>
      <w:r>
        <w:rPr>
          <w:noProof/>
        </w:rPr>
        <w:t>Един цялостен план за европейско възстановяване ще се нуждае от мащабни публични и частни инвестиции на европейско равнище за стимулиране на икономиката, създаване на висококачествени работни места и инвестиране в отстраняването на непосредствените вреди, причинени от коронавируса. Ето защо Комисията предлага да се използва пълният капацитет на бюджета на Съюза с цел мобилизиране на инвестиции и съсредоточаване на финансовата подкрепа през първите изключително важни години на възстановяването въз основа на:</w:t>
      </w:r>
    </w:p>
    <w:p>
      <w:pPr>
        <w:rPr>
          <w:noProof/>
        </w:rPr>
      </w:pPr>
      <w:r>
        <w:rPr>
          <w:noProof/>
        </w:rPr>
        <w:t>Инструмент на Европейския съюз за възстановяване като извънредна мярка, основаваща се на</w:t>
      </w:r>
    </w:p>
    <w:p>
      <w:pPr>
        <w:rPr>
          <w:noProof/>
        </w:rPr>
      </w:pPr>
      <w:r>
        <w:rPr>
          <w:noProof/>
        </w:rPr>
        <w:lastRenderedPageBreak/>
        <w:t>член 122 от ДФЕС, като финансирането на инструмента ще се основава на оправомощаване, предвидено в предложението за решение за собствените ресурси. Средствата ще позволят прилагането на бързодействащи мерки за защита на поминъка на хората, за повишаване на превенцията и за укрепване на устойчивостта и възстановяването в отговор на кризата.</w:t>
      </w:r>
    </w:p>
    <w:p>
      <w:pPr>
        <w:pStyle w:val="Bullet0"/>
        <w:numPr>
          <w:ilvl w:val="0"/>
          <w:numId w:val="20"/>
        </w:numPr>
        <w:rPr>
          <w:b/>
          <w:noProof/>
          <w:u w:color="000000"/>
          <w:bdr w:val="nil"/>
        </w:rPr>
      </w:pPr>
      <w:r>
        <w:rPr>
          <w:b/>
          <w:noProof/>
          <w:u w:color="000000"/>
          <w:bdr w:val="nil"/>
        </w:rPr>
        <w:t>Усилена многогодишна финансова рамка за периода 2021—2027 г.</w:t>
      </w:r>
    </w:p>
    <w:p>
      <w:pPr>
        <w:rPr>
          <w:noProof/>
        </w:rPr>
      </w:pPr>
      <w:r>
        <w:rPr>
          <w:noProof/>
        </w:rPr>
        <w:t>Мерките за възстановяване и устойчивост в рамките на Европейския инструмент за възстановяване ще се реализират чрез вече съществуващите инструменти за изпълнение по редица специфични програми на Съюза, предложени от Комисията в рамките на многогодишната финансова рамка за периода 2021—2027 г., включително:</w:t>
      </w:r>
    </w:p>
    <w:p>
      <w:pPr>
        <w:pStyle w:val="Tiret0"/>
        <w:numPr>
          <w:ilvl w:val="0"/>
          <w:numId w:val="21"/>
        </w:numPr>
        <w:rPr>
          <w:noProof/>
        </w:rPr>
      </w:pPr>
      <w:r>
        <w:rPr>
          <w:noProof/>
        </w:rPr>
        <w:t xml:space="preserve">Рамковата програма за научни изследвания и иновации „Хоризонт Европа“ и нейната специфична програма за осъществяване на „Хоризонт Европа“, </w:t>
      </w:r>
    </w:p>
    <w:p>
      <w:pPr>
        <w:pStyle w:val="Tiret0"/>
        <w:rPr>
          <w:noProof/>
        </w:rPr>
      </w:pPr>
      <w:r>
        <w:rPr>
          <w:noProof/>
        </w:rPr>
        <w:t>Инструмента за съседство, сътрудничество за развитие и международно сътрудничество,</w:t>
      </w:r>
    </w:p>
    <w:p>
      <w:pPr>
        <w:pStyle w:val="Tiret0"/>
        <w:rPr>
          <w:noProof/>
        </w:rPr>
      </w:pPr>
      <w:r>
        <w:rPr>
          <w:noProof/>
        </w:rPr>
        <w:t>Европейския земеделски фонд за развитие на селските райони.</w:t>
      </w:r>
    </w:p>
    <w:p>
      <w:pPr>
        <w:pBdr>
          <w:top w:val="nil"/>
          <w:left w:val="nil"/>
          <w:bottom w:val="nil"/>
          <w:right w:val="nil"/>
          <w:between w:val="nil"/>
          <w:bar w:val="nil"/>
        </w:pBdr>
        <w:spacing w:before="0" w:after="240"/>
        <w:rPr>
          <w:noProof/>
        </w:rPr>
      </w:pPr>
      <w:r>
        <w:rPr>
          <w:noProof/>
        </w:rPr>
        <w:t xml:space="preserve">Поради това е необходимо да се изменят предложенията на Комисията, свързани с посочените по-горе програми на Съюза. </w:t>
      </w:r>
    </w:p>
    <w:p>
      <w:pPr>
        <w:pStyle w:val="ManualHeading1"/>
        <w:rPr>
          <w:noProof/>
        </w:rPr>
      </w:pPr>
      <w:r>
        <w:rPr>
          <w:noProof/>
        </w:rPr>
        <w:t>2.</w:t>
      </w:r>
      <w:r>
        <w:rPr>
          <w:noProof/>
        </w:rPr>
        <w:tab/>
        <w:t>ПРАВНО ОСНОВАНИЕ, СУБСИДИАРНОСТ И ПРОПОРЦИОНАЛНОСТ</w:t>
      </w:r>
    </w:p>
    <w:p>
      <w:pPr>
        <w:pStyle w:val="Bullet0"/>
        <w:rPr>
          <w:b/>
          <w:noProof/>
          <w:u w:color="000000"/>
          <w:bdr w:val="nil"/>
        </w:rPr>
      </w:pPr>
      <w:r>
        <w:rPr>
          <w:b/>
          <w:noProof/>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Основание за действията на ЕС са член 43, параграф 2, член 173, параграф 3, член 182, параграфи 1 и 4, член 183, член 188, член 209 и член 212 от Договора за функционирането на Европейския съюз.</w:t>
      </w:r>
    </w:p>
    <w:p>
      <w:pPr>
        <w:pStyle w:val="Bullet0"/>
        <w:rPr>
          <w:b/>
          <w:noProof/>
          <w:u w:color="000000"/>
          <w:bdr w:val="nil"/>
        </w:rPr>
      </w:pPr>
      <w:r>
        <w:rPr>
          <w:b/>
          <w:noProof/>
          <w:u w:color="000000"/>
          <w:bdr w:val="nil"/>
        </w:rPr>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 xml:space="preserve">В обяснителния меморандум на [Европейски инструмент за възстановяване] се излагат подробно съображенията, свързани със субсидиарността и пропорционалността. </w:t>
      </w:r>
    </w:p>
    <w:p>
      <w:pPr>
        <w:pBdr>
          <w:top w:val="nil"/>
          <w:left w:val="nil"/>
          <w:bottom w:val="nil"/>
          <w:right w:val="nil"/>
          <w:between w:val="nil"/>
          <w:bar w:val="nil"/>
        </w:pBdr>
        <w:spacing w:before="0" w:after="240"/>
        <w:rPr>
          <w:rFonts w:eastAsia="Arial Unicode MS"/>
          <w:noProof/>
        </w:rPr>
      </w:pPr>
      <w:r>
        <w:rPr>
          <w:noProof/>
        </w:rPr>
        <w:t>Освен това в обяснителните меморандуми на следните предложения на Комисията се излагат подробно съображенията, свързани със субсидиарността и пропорционалността, приложими към съответните програми:</w:t>
      </w:r>
    </w:p>
    <w:p>
      <w:pPr>
        <w:pStyle w:val="Tiret0"/>
        <w:numPr>
          <w:ilvl w:val="0"/>
          <w:numId w:val="19"/>
        </w:numPr>
        <w:rPr>
          <w:noProof/>
        </w:rPr>
      </w:pPr>
      <w:r>
        <w:rPr>
          <w:noProof/>
        </w:rPr>
        <w:t>COM(2018) 392 относно 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 (наричано по-долу „предложение на Комисията COM (2018) 392“).</w:t>
      </w:r>
    </w:p>
    <w:p>
      <w:pPr>
        <w:pStyle w:val="Tiret0"/>
        <w:rPr>
          <w:noProof/>
        </w:rPr>
      </w:pPr>
      <w:r>
        <w:rPr>
          <w:noProof/>
        </w:rPr>
        <w:t xml:space="preserve">COM (2018) 435: Предложение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(наричано по-долу „предложение на Комисията COM(2018) 435“). </w:t>
      </w:r>
    </w:p>
    <w:p>
      <w:pPr>
        <w:pStyle w:val="Tiret0"/>
        <w:rPr>
          <w:noProof/>
        </w:rPr>
      </w:pPr>
      <w:r>
        <w:rPr>
          <w:noProof/>
        </w:rPr>
        <w:lastRenderedPageBreak/>
        <w:t>COM (2018) 436 относно РЕШЕНИЕ НА ЕВРОПЕЙСКИЯ ПАРЛАМЕНТ И НА СЪВЕТА за създаване на специфична програма за осъществяване на Рамковата програма за научни изследвания и иновации „Хоризонт Европа“(наричано по-долу „предложение на Комисията COM (2018) 436“),</w:t>
      </w:r>
    </w:p>
    <w:p>
      <w:pPr>
        <w:pStyle w:val="Tiret0"/>
        <w:rPr>
          <w:noProof/>
        </w:rPr>
      </w:pPr>
      <w:r>
        <w:rPr>
          <w:noProof/>
        </w:rPr>
        <w:t>COM (2018) 460: Предложение за РЕГЛАМЕНТ НА ЕВРОПЕЙСКИЯ ПАРЛАМЕНТ И НА СЪВЕТА за създаване на Инструмента за съседство, сътрудничество за развитие и международно сътрудничество (наричано по-долу „предложение на Комисията COM(2018) 460“).</w:t>
      </w:r>
    </w:p>
    <w:p>
      <w:pPr>
        <w:pStyle w:val="Bullet0"/>
        <w:rPr>
          <w:b/>
          <w:noProof/>
          <w:u w:color="000000"/>
          <w:bdr w:val="nil"/>
        </w:rPr>
      </w:pPr>
      <w:r>
        <w:rPr>
          <w:b/>
          <w:noProof/>
          <w:u w:color="000000"/>
          <w:bdr w:val="nil"/>
        </w:rPr>
        <w:t>Избор на инструмент</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С настоящото предложение се изменят предложенията на Комисията COM (2018) 392, COM (2018) 435, COM (2018) 436 и COM (2018) 460.</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Bullet0"/>
        <w:rPr>
          <w:b/>
          <w:noProof/>
          <w:u w:color="000000"/>
          <w:bdr w:val="nil"/>
        </w:rPr>
      </w:pPr>
      <w:r>
        <w:rPr>
          <w:b/>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В обяснителния меморандум към следните първоначални предложения на Комисията се описват подробно проведените консултации с обществеността и със заинтересованите страни: COM (2018) 392, COM (2018) 435, COM (2018) 436 и COM (2018) 460.</w:t>
      </w:r>
    </w:p>
    <w:p>
      <w:pPr>
        <w:pStyle w:val="Bullet0"/>
        <w:rPr>
          <w:b/>
          <w:noProof/>
          <w:u w:color="000000"/>
          <w:bdr w:val="nil"/>
        </w:rPr>
      </w:pPr>
      <w:r>
        <w:rPr>
          <w:b/>
          <w:noProof/>
          <w:u w:color="000000"/>
          <w:bdr w:val="nil"/>
        </w:rPr>
        <w:t>Оценки и оценки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В обяснителния меморандум към следните първоначални предложения на Комисията се описват подробно резултатите от последващите и междинните оценки на въздействието, извършени в подкрепа на предложението: COM (2018) 392, COM (2018) 435, COM (2018) 436 и COM (2018) 460.</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Съюзът ще предостави общо 14 647 милиона евро за Рамковата програма за научни изследвания и иновации „Хоризонт Европа“, общо 16 483 милиона евро за Европейския земеделски фонд за развитие на селските райони и общо 11 448 милиона евро за увеличението на Гаранцията за външна дейност по Инструмента за съседство, сътрудничество за развитие и международно сътрудничество. Бенефициерите, изброени в приложение I към Инструмента за предприсъединителна помощ (ИПП), ще бъдат допустими по отношение на това увеличение. </w:t>
      </w:r>
      <w:r>
        <w:rPr>
          <w:noProof/>
        </w:rPr>
        <w:t>Допълнителното финансиране ще бъде предоставено чрез Европейския инструмент за възстановяване въз основа на правомощие, предвидено в новото решение за собствените ресурси.</w:t>
      </w:r>
      <w:r>
        <w:rPr>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Повече подробности относно отражението върху бюджета са предоставени в законодателната финансова обосновка.</w:t>
      </w:r>
    </w:p>
    <w:p>
      <w:pPr>
        <w:pStyle w:val="ManualHeading1"/>
        <w:rPr>
          <w:noProof/>
        </w:rPr>
      </w:pPr>
      <w:r>
        <w:rPr>
          <w:noProof/>
        </w:rPr>
        <w:t>5.</w:t>
      </w:r>
      <w:r>
        <w:rPr>
          <w:noProof/>
        </w:rPr>
        <w:tab/>
        <w:t>ДРУГИ ЕЛЕМЕНТИ</w:t>
      </w:r>
    </w:p>
    <w:p>
      <w:pPr>
        <w:pStyle w:val="Bullet0"/>
        <w:rPr>
          <w:b/>
          <w:noProof/>
          <w:u w:color="000000"/>
          <w:bdr w:val="nil"/>
        </w:rPr>
      </w:pPr>
      <w:r>
        <w:rPr>
          <w:b/>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се състои от целеви изменения на следните предложения на Комисията: COM (2018) 392, COM (2018) 435, COM (2018) 436 и COM (2018) 460.</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Основните въведени изменения имат за цел: </w:t>
      </w:r>
    </w:p>
    <w:p>
      <w:pPr>
        <w:pStyle w:val="Tiret0"/>
        <w:numPr>
          <w:ilvl w:val="0"/>
          <w:numId w:val="10"/>
        </w:numPr>
        <w:rPr>
          <w:noProof/>
        </w:rPr>
      </w:pPr>
      <w:r>
        <w:rPr>
          <w:noProof/>
        </w:rPr>
        <w:lastRenderedPageBreak/>
        <w:t>да се осигури възможност за изпълнение на мерките, предвидени в предложението за регламент за създаване на Инструмент на Европейския съюз за възстановяване, чрез механизмите за изпълнение на Рамковата програма за научни изследвания и иновации, Инструмента за съседство, сътрудничество за развитие и международно сътрудничество и Европейския земеделски фонд за развитие на селските райони;</w:t>
      </w:r>
    </w:p>
    <w:p>
      <w:pPr>
        <w:pStyle w:val="Tiret0"/>
        <w:rPr>
          <w:noProof/>
        </w:rPr>
      </w:pPr>
      <w:r>
        <w:rPr>
          <w:noProof/>
        </w:rPr>
        <w:t>да се осигури възможност за финансиране от Инструмента на Европейския съюз за възстановяване като външни целеви приходи в съответствие с член 21, параграф 5 от Финансовия регламент;</w:t>
      </w:r>
    </w:p>
    <w:p>
      <w:pPr>
        <w:pStyle w:val="Tiret0"/>
        <w:rPr>
          <w:noProof/>
        </w:rPr>
      </w:pPr>
      <w:r>
        <w:rPr>
          <w:noProof/>
        </w:rPr>
        <w:t>да се гарантира спазването на целевите срокове, посочени в член 4 от предложението за регламент за създаване на инструмент на Европейския съюз за възстановяване чрез съответни препратки.</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2018/0224 (COD)</w:t>
      </w:r>
    </w:p>
    <w:p>
      <w:pPr>
        <w:pStyle w:val="Statut"/>
        <w:rPr>
          <w:noProof/>
        </w:rPr>
      </w:pPr>
      <w:r>
        <w:rPr>
          <w:noProof/>
        </w:rPr>
        <w:t>Изменено 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w:t>
      </w:r>
      <w:r>
        <w:rPr>
          <w:noProof/>
        </w:rPr>
        <w:br/>
        <w:t xml:space="preserve">  </w:t>
      </w:r>
      <w:r>
        <w:rPr>
          <w:noProof/>
        </w:rPr>
        <w:br/>
        <w:t xml:space="preserve">РЕШЕНИЕ НА ЕВРОПЕЙСКИЯ ПАРЛАМЕНТ И НА СЪВЕТА </w:t>
      </w:r>
      <w:r>
        <w:rPr>
          <w:noProof/>
        </w:rPr>
        <w:br/>
        <w:t xml:space="preserve">за създаване на специфична програма за осъществяване на Рамковата програма за научни изследвания и иновации „Хоризонт Европа“, </w:t>
      </w:r>
      <w:r>
        <w:rPr>
          <w:noProof/>
        </w:rPr>
        <w:br/>
        <w:t xml:space="preserve">  </w:t>
      </w:r>
      <w:r>
        <w:rPr>
          <w:noProof/>
        </w:rPr>
        <w:br/>
        <w:t xml:space="preserve">РЕГЛАМЕНТ НА ЕВРОПЕЙСКИЯ ПАРЛАМЕНТ И НА СЪВЕТА за създаване на Инструмента за съседство, сътрудничество за развитие и международно сътрудничество, </w:t>
      </w:r>
      <w:r>
        <w:rPr>
          <w:noProof/>
        </w:rPr>
        <w:br/>
        <w:t xml:space="preserve"> </w:t>
      </w:r>
      <w:r>
        <w:rPr>
          <w:noProof/>
        </w:rPr>
        <w:br/>
        <w:t>РЕГЛАМЕНТ НА ЕВРОПЕЙСКИЯ ПАРЛАМЕНТ И НА СЪВЕТА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w:t>
      </w:r>
    </w:p>
    <w:p>
      <w:pPr>
        <w:rPr>
          <w:noProof/>
        </w:rPr>
      </w:pPr>
      <w:r>
        <w:rPr>
          <w:noProof/>
        </w:rPr>
        <w:t xml:space="preserve">Предложенията на Комисията COM (2018) 435, COM (2018) 436, COM (2018) 460, COM (2018) 392 се изменят, както следва: </w:t>
      </w:r>
    </w:p>
    <w:p>
      <w:pPr>
        <w:pStyle w:val="ManualNumPar1"/>
        <w:rPr>
          <w:noProof/>
        </w:rPr>
      </w:pPr>
      <w:r>
        <w:rPr>
          <w:noProof/>
        </w:rPr>
        <w:t>1.</w:t>
      </w:r>
      <w:r>
        <w:rPr>
          <w:noProof/>
        </w:rPr>
        <w:tab/>
        <w:t>Предложение на Комисията COM(2018) 435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се изменя, както следва:</w:t>
      </w:r>
    </w:p>
    <w:p>
      <w:pPr>
        <w:pStyle w:val="Point0"/>
        <w:rPr>
          <w:noProof/>
        </w:rPr>
      </w:pPr>
      <w:r>
        <w:rPr>
          <w:noProof/>
        </w:rPr>
        <w:t>(1)</w:t>
      </w:r>
      <w:r>
        <w:rPr>
          <w:noProof/>
        </w:rPr>
        <w:tab/>
        <w:t xml:space="preserve">Вмъква се следното съображение (15а): </w:t>
      </w:r>
    </w:p>
    <w:p>
      <w:pPr>
        <w:pStyle w:val="Text1"/>
        <w:rPr>
          <w:noProof/>
          <w:color w:val="00B050"/>
          <w:sz w:val="22"/>
        </w:rPr>
      </w:pPr>
      <w:r>
        <w:rPr>
          <w:noProof/>
          <w:color w:val="000000" w:themeColor="text1"/>
        </w:rPr>
        <w:t xml:space="preserve">„(15а) </w:t>
      </w:r>
      <w:r>
        <w:rPr>
          <w:noProof/>
        </w:rPr>
        <w:tab/>
        <w:t>В съответствие с Регламент [Инструмент на Европейския съюз за възстановяване] и в рамките на разпределените в него ресурси, по линия на настоящата програма следва да се предприемат мерки за възстановяване и устойчивост с цел да се преодолее безпрецедентното въздействие на кризата, свързана с COVID-19. Тези допълнителни ресурси следва да се използват по начин, който да гарантира спазването на сроковете, предвидени в Регламент [Европейски инструмент за възстановяване].“</w:t>
      </w:r>
      <w:r>
        <w:rPr>
          <w:noProof/>
          <w:color w:val="000000" w:themeColor="text1"/>
        </w:rPr>
        <w:t>;</w:t>
      </w:r>
    </w:p>
    <w:p>
      <w:pPr>
        <w:pStyle w:val="Point0"/>
        <w:rPr>
          <w:noProof/>
        </w:rPr>
      </w:pPr>
      <w:r>
        <w:rPr>
          <w:noProof/>
        </w:rPr>
        <w:t>(2)</w:t>
      </w:r>
      <w:r>
        <w:rPr>
          <w:noProof/>
        </w:rPr>
        <w:tab/>
        <w:t xml:space="preserve">Вмъква се следният член 9a: </w:t>
      </w:r>
    </w:p>
    <w:p>
      <w:pPr>
        <w:pStyle w:val="Titrearticle"/>
        <w:rPr>
          <w:noProof/>
        </w:rPr>
      </w:pPr>
      <w:r>
        <w:rPr>
          <w:noProof/>
        </w:rPr>
        <w:lastRenderedPageBreak/>
        <w:t xml:space="preserve">„Член 9a </w:t>
      </w:r>
      <w:r>
        <w:rPr>
          <w:noProof/>
        </w:rPr>
        <w:br/>
        <w:t>Ресурси от Инструмента на Европейския съюз за възстановяване</w:t>
      </w:r>
    </w:p>
    <w:p>
      <w:pPr>
        <w:pStyle w:val="Text1"/>
        <w:rPr>
          <w:noProof/>
        </w:rPr>
      </w:pPr>
      <w:r>
        <w:rPr>
          <w:noProof/>
        </w:rPr>
        <w:t xml:space="preserve">Мерките, посочени в член 2 от Регламент [Европейски инструмент за възстановяване], се изпълняват по настоящата програма чрез сумите, посочени в член 3, параграф 2, буква а), подточка v) от същия регламент [Европейски инструмент за възстановяване], при спазване на член 4, параграфи 4 и 8 от него.  </w:t>
      </w:r>
    </w:p>
    <w:p>
      <w:pPr>
        <w:pStyle w:val="Text1"/>
        <w:rPr>
          <w:noProof/>
        </w:rPr>
      </w:pPr>
      <w:r>
        <w:rPr>
          <w:noProof/>
        </w:rPr>
        <w:t>Тези суми представляват външен целеви приход в съответствие с член 21, параграф 5 от Финансовия регламент.“.</w:t>
      </w:r>
    </w:p>
    <w:p>
      <w:pPr>
        <w:pStyle w:val="ManualNumPar1"/>
        <w:rPr>
          <w:noProof/>
        </w:rPr>
      </w:pPr>
      <w:r>
        <w:rPr>
          <w:noProof/>
        </w:rPr>
        <w:t>2.</w:t>
      </w:r>
      <w:r>
        <w:rPr>
          <w:noProof/>
        </w:rPr>
        <w:tab/>
        <w:t xml:space="preserve">В предложение на Комисията COM (2018) 436 за РЕШЕНИЕ НА ЕВРОПЕЙСКИЯ ПАРЛАМЕНТ И НА СЪВЕТА за създаване на специфична програма за осъществяване на Рамковата програма за научни изследвания и иновации „Хоризонт Европа“ се вмъква следният член 4а: </w:t>
      </w:r>
    </w:p>
    <w:p>
      <w:pPr>
        <w:pStyle w:val="Titrearticle"/>
        <w:rPr>
          <w:bCs/>
          <w:noProof/>
        </w:rPr>
      </w:pPr>
      <w:r>
        <w:rPr>
          <w:noProof/>
        </w:rPr>
        <w:t xml:space="preserve">„Член 4a </w:t>
      </w:r>
      <w:r>
        <w:rPr>
          <w:noProof/>
        </w:rPr>
        <w:br/>
        <w:t>Ресурси от Инструмента на Европейския съюз за възстановяване</w:t>
      </w:r>
    </w:p>
    <w:p>
      <w:pPr>
        <w:pStyle w:val="Text1"/>
        <w:rPr>
          <w:noProof/>
        </w:rPr>
      </w:pPr>
      <w:r>
        <w:rPr>
          <w:noProof/>
        </w:rPr>
        <w:t>В съответствие с член 9а от Регламент [Регламент за рамковата програма] мерките, посочени в член 2 от Регламент [Европейски инструмент за възстановяване], се изпълняват по настоящата специфична програма чрез сумите, посочени в член 3, параграф 2, буква а), подточка v) от същия регламент [Европейски инструмент за възстановяване], при спазване на член 4, параграфи 4 и 8 от него.“.</w:t>
      </w:r>
    </w:p>
    <w:p>
      <w:pPr>
        <w:pStyle w:val="ManualNumPar1"/>
        <w:rPr>
          <w:noProof/>
        </w:rPr>
      </w:pPr>
      <w:r>
        <w:rPr>
          <w:noProof/>
        </w:rPr>
        <w:t>3.</w:t>
      </w:r>
      <w:r>
        <w:rPr>
          <w:noProof/>
        </w:rPr>
        <w:tab/>
        <w:t xml:space="preserve">Предложение на Комисията COM(2018) 460 за РЕГЛАМЕНТ НА ЕВРОПЕЙСКИЯ ПАРЛАМЕНТ И НА СЪВЕТА за създаване на Инструмента за съседство, сътрудничество за развитие и международно сътрудничество се изменя, както следва: </w:t>
      </w:r>
    </w:p>
    <w:p>
      <w:pPr>
        <w:pStyle w:val="Point0"/>
        <w:rPr>
          <w:noProof/>
        </w:rPr>
      </w:pPr>
      <w:r>
        <w:rPr>
          <w:noProof/>
        </w:rPr>
        <w:t>(1)</w:t>
      </w:r>
      <w:r>
        <w:rPr>
          <w:noProof/>
        </w:rPr>
        <w:tab/>
        <w:t>Вмъква се следното съображение (36а):</w:t>
      </w:r>
    </w:p>
    <w:p>
      <w:pPr>
        <w:pStyle w:val="Text1"/>
        <w:rPr>
          <w:noProof/>
        </w:rPr>
      </w:pPr>
      <w:r>
        <w:rPr>
          <w:noProof/>
        </w:rPr>
        <w:t xml:space="preserve">„(36а) В съответствие с Регламент [Инструмент на Европейския съюз за възстановяване] и в рамките на разпределените в него ресурси, по линия на Инструмента за съседство, сътрудничество за развитие и международно сътрудничество следва да се предприемат мерки за възстановяване и устойчивост с цел да се преодолее безпрецедентното въздействие на кризата, свързана с COVID-19. Тези допълнителни ресурси следва да се използват по начин, който да гарантира спазването на сроковете, предвидени в Регламент [Европейски инструмент за възстановяване].“. </w:t>
      </w:r>
    </w:p>
    <w:p>
      <w:pPr>
        <w:pStyle w:val="Point0"/>
        <w:rPr>
          <w:noProof/>
        </w:rPr>
      </w:pPr>
      <w:r>
        <w:rPr>
          <w:noProof/>
        </w:rPr>
        <w:t>(2)</w:t>
      </w:r>
      <w:r>
        <w:rPr>
          <w:noProof/>
        </w:rPr>
        <w:tab/>
        <w:t>Вмъква се следният член 6a:</w:t>
      </w:r>
    </w:p>
    <w:p>
      <w:pPr>
        <w:pStyle w:val="Titrearticle"/>
        <w:rPr>
          <w:noProof/>
        </w:rPr>
      </w:pPr>
      <w:r>
        <w:rPr>
          <w:noProof/>
        </w:rPr>
        <w:t xml:space="preserve">„Член 6a </w:t>
      </w:r>
      <w:r>
        <w:rPr>
          <w:noProof/>
        </w:rPr>
        <w:br/>
        <w:t>Ресурси от Инструмента на Европейския съюз за възстановяване</w:t>
      </w:r>
    </w:p>
    <w:p>
      <w:pPr>
        <w:pStyle w:val="Point1"/>
        <w:rPr>
          <w:noProof/>
        </w:rPr>
      </w:pPr>
      <w:r>
        <w:rPr>
          <w:noProof/>
        </w:rPr>
        <w:t>(1)</w:t>
      </w:r>
      <w:r>
        <w:rPr>
          <w:noProof/>
        </w:rPr>
        <w:tab/>
        <w:t xml:space="preserve">В рамките на Гаранцията за външна дейност сумата, посочена в член 26, параграф 3, втора алинея, се предоставя в съответствие с условията, посочени в член 4, параграф 6 от Регламент [Европейски инструмент за възстановяване], с изключение на операциите за макрофинансова помощ, които се предоставят съгласно член 4, параграф 7 от същия регламент [Европейски инструмент за възстановяване]. С тази сума се подпомагат и </w:t>
      </w:r>
      <w:r>
        <w:rPr>
          <w:noProof/>
        </w:rPr>
        <w:lastRenderedPageBreak/>
        <w:t>операции в бенефициери, изброени в приложение I към Регламент ИПП III.</w:t>
      </w:r>
    </w:p>
    <w:p>
      <w:pPr>
        <w:pStyle w:val="Point1"/>
        <w:rPr>
          <w:noProof/>
        </w:rPr>
      </w:pPr>
      <w:r>
        <w:rPr>
          <w:noProof/>
        </w:rPr>
        <w:t>(2)</w:t>
      </w:r>
      <w:r>
        <w:rPr>
          <w:noProof/>
        </w:rPr>
        <w:tab/>
        <w:t xml:space="preserve">Сумата, посочена в член 3, параграф 2, буква в), подточка iii) от Регламент [Европейски инструмент за възстановяване], се използва за обезпечаването на Гаранцията за външна дейност съгласно настоящия регламент в допълнение на другите ресурси, споменати в член 21, параграф 4, първа алинея от Финансовия регламент, както и за мерките, посочени във второто изречение на член 2, параграф 2 от Регламент [Европейски инструмент за възстановяване], при спазване на неговия член 4, параграф 8. </w:t>
      </w:r>
    </w:p>
    <w:p>
      <w:pPr>
        <w:pStyle w:val="Text2"/>
        <w:rPr>
          <w:b/>
          <w:noProof/>
        </w:rPr>
      </w:pPr>
      <w:r>
        <w:rPr>
          <w:noProof/>
        </w:rPr>
        <w:t>В допълнение към ресурсите, посочени в член 211, параграф 4, втора алинея от Финансовия регламент, при изчисляване на обезпечаването се взема предвид сума в размер до 11 285 762 000 EUR, получена от процента на обезпечаване, посочен в член 211, параграф 1 от Финансовия регламент</w:t>
      </w:r>
      <w:r>
        <w:rPr>
          <w:b/>
          <w:noProof/>
        </w:rPr>
        <w:t xml:space="preserve">. </w:t>
      </w:r>
    </w:p>
    <w:p>
      <w:pPr>
        <w:pStyle w:val="Text2"/>
        <w:rPr>
          <w:noProof/>
        </w:rPr>
      </w:pPr>
      <w:r>
        <w:rPr>
          <w:noProof/>
        </w:rPr>
        <w:t>Сумата, посочена в първата алинея, представлява външен целеви приход в съответствие с член 21, параграф 5 от Финансовия регламент.“.</w:t>
      </w:r>
    </w:p>
    <w:p>
      <w:pPr>
        <w:pStyle w:val="Point0"/>
        <w:rPr>
          <w:noProof/>
        </w:rPr>
      </w:pPr>
      <w:r>
        <w:rPr>
          <w:noProof/>
        </w:rPr>
        <w:t>(3)</w:t>
      </w:r>
      <w:r>
        <w:rPr>
          <w:noProof/>
        </w:rPr>
        <w:tab/>
        <w:t>Член 26 се изменя, както следва:</w:t>
      </w:r>
    </w:p>
    <w:p>
      <w:pPr>
        <w:pStyle w:val="Point1"/>
        <w:rPr>
          <w:noProof/>
        </w:rPr>
      </w:pPr>
      <w:r>
        <w:rPr>
          <w:noProof/>
        </w:rPr>
        <w:t>а)</w:t>
      </w:r>
      <w:r>
        <w:rPr>
          <w:noProof/>
        </w:rPr>
        <w:tab/>
        <w:t xml:space="preserve">Параграф 3 се заменя със следното: </w:t>
      </w:r>
    </w:p>
    <w:p>
      <w:pPr>
        <w:pStyle w:val="Text2"/>
        <w:rPr>
          <w:noProof/>
        </w:rPr>
      </w:pPr>
      <w:r>
        <w:rPr>
          <w:noProof/>
        </w:rPr>
        <w:t xml:space="preserve">„3. В рамките на Гаранцията за външна дейност Съюзът може да гарантира операции, подписани между 1 януари 2021 г. и 31 декември 2027 г., в размер до 130 000 000 000 EUR. </w:t>
      </w:r>
    </w:p>
    <w:p>
      <w:pPr>
        <w:pStyle w:val="Text2"/>
        <w:rPr>
          <w:noProof/>
        </w:rPr>
      </w:pPr>
      <w:r>
        <w:rPr>
          <w:noProof/>
        </w:rPr>
        <w:t>Сума в размер до 70 000 000 000 EUR от посочената сума се разпределя за мерките за изпълнение на операции, посочени в член 2, параграф 1, втора алинея от Регламент [Европейски инструмент за възстановяване], и е на разположение не по-рано от датата, посочена в член 4, параграф 3 от същия регламент.“;</w:t>
      </w:r>
    </w:p>
    <w:p>
      <w:pPr>
        <w:pStyle w:val="Point1"/>
        <w:rPr>
          <w:noProof/>
        </w:rPr>
      </w:pPr>
      <w:r>
        <w:rPr>
          <w:noProof/>
        </w:rPr>
        <w:t>б)</w:t>
      </w:r>
      <w:r>
        <w:rPr>
          <w:noProof/>
        </w:rPr>
        <w:tab/>
        <w:t xml:space="preserve">Параграф 6 се заменя със следното: </w:t>
      </w:r>
    </w:p>
    <w:p>
      <w:pPr>
        <w:pStyle w:val="Text2"/>
        <w:rPr>
          <w:noProof/>
        </w:rPr>
      </w:pPr>
      <w:r>
        <w:rPr>
          <w:noProof/>
        </w:rPr>
        <w:t>„6. ЕФУР+ и Гаранцията за външна дейност могат да подкрепят финансови и инвестиционни операции в държавите партньори в географските райони, посочени в член 4, параграф 2. Обезпечаването на Гаранцията за външна дейност се финансира от бюджета на съответните географски програми, създадени с член 6, параграф 2, буква а), без да се засяга член 6а, и се прехвърля в общия обезпечителен фонд. ЕФУР+ и Гаранцията за външна дейност могат също да подкрепят операции в бенефициери, изброени в приложение I към Регламент [ИПП III]. Финансирането за тези операции по линия на ЕФУР+ и за обезпечаването на Гаранцията за външна дейност се осъществява съгласно Регламент [ИПП], без да се засяга член 6а, параграф 1 от настоящия регламент. Обезпечаването на Гаранцията за външна дейност за заеми на трети държави, посочени в член 10, параграф 2 от Регламента за Европейски инструмент в областта на ядрената безопасност, се финансира съгласно същия регламент.“.</w:t>
      </w:r>
    </w:p>
    <w:p>
      <w:pPr>
        <w:pStyle w:val="Point0"/>
        <w:rPr>
          <w:noProof/>
        </w:rPr>
      </w:pPr>
      <w:r>
        <w:rPr>
          <w:noProof/>
        </w:rPr>
        <w:t>(4)</w:t>
      </w:r>
      <w:r>
        <w:rPr>
          <w:noProof/>
        </w:rPr>
        <w:tab/>
        <w:t>В член 39 параграф 1 се заменя със следното:</w:t>
      </w:r>
    </w:p>
    <w:p>
      <w:pPr>
        <w:pStyle w:val="Text1"/>
        <w:rPr>
          <w:noProof/>
        </w:rPr>
      </w:pPr>
      <w:r>
        <w:rPr>
          <w:noProof/>
        </w:rPr>
        <w:lastRenderedPageBreak/>
        <w:t>„1. Решение № 466/2014/ЕС и Регламент (ЕО, Евратом) № 480/2009 се отменят, считано от 1 януари 2021 г. Регламент (ЕС) 2017/1601 се отменя, считано от 31 декември 2021 г.“.</w:t>
      </w:r>
    </w:p>
    <w:p>
      <w:pPr>
        <w:pStyle w:val="ManualNumPar1"/>
        <w:rPr>
          <w:noProof/>
        </w:rPr>
      </w:pPr>
      <w:r>
        <w:rPr>
          <w:noProof/>
        </w:rPr>
        <w:t>4.</w:t>
      </w:r>
      <w:r>
        <w:rPr>
          <w:noProof/>
        </w:rPr>
        <w:tab/>
        <w:t xml:space="preserve">Предложение на Комисията COM(2018) 392 за 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 се изменя, както следва; </w:t>
      </w:r>
    </w:p>
    <w:p>
      <w:pPr>
        <w:pStyle w:val="Point0"/>
        <w:rPr>
          <w:noProof/>
        </w:rPr>
      </w:pPr>
      <w:r>
        <w:rPr>
          <w:noProof/>
        </w:rPr>
        <w:t>(1)</w:t>
      </w:r>
      <w:r>
        <w:rPr>
          <w:noProof/>
        </w:rPr>
        <w:tab/>
        <w:t xml:space="preserve">Вмъква се следното ново съображение (71а): </w:t>
      </w:r>
    </w:p>
    <w:p>
      <w:pPr>
        <w:pStyle w:val="Text1"/>
        <w:rPr>
          <w:noProof/>
        </w:rPr>
      </w:pPr>
      <w:r>
        <w:rPr>
          <w:noProof/>
        </w:rPr>
        <w:t>„(71а) В съответствие с Регламент [Инструмент на Европейския съюз за възстановяване] и в рамките на определените в него ресурси, по линия на Европейския земеделски фонд за развитие на селските райони следва да се предприемат мерки за възстановяване и устойчивост с цел да се преодолее безпрецедентното въздействие на кризата, свързана с COVID-19. Тези допълнителни ресурси следва да се използват по начин, който да гарантира спазването на сроковете, предвидени в Регламент [Европейски инструмент за възстановяване].“.</w:t>
      </w:r>
    </w:p>
    <w:p>
      <w:pPr>
        <w:pStyle w:val="Point0"/>
        <w:rPr>
          <w:noProof/>
        </w:rPr>
      </w:pPr>
      <w:r>
        <w:rPr>
          <w:noProof/>
        </w:rPr>
        <w:t>(2)</w:t>
      </w:r>
      <w:r>
        <w:rPr>
          <w:noProof/>
        </w:rPr>
        <w:tab/>
        <w:t xml:space="preserve">Вмъква се следният нов член 84а: </w:t>
      </w:r>
    </w:p>
    <w:p>
      <w:pPr>
        <w:pStyle w:val="Titrearticle"/>
        <w:rPr>
          <w:noProof/>
        </w:rPr>
      </w:pPr>
      <w:r>
        <w:rPr>
          <w:noProof/>
        </w:rPr>
        <w:t xml:space="preserve">„Член 84a </w:t>
      </w:r>
      <w:r>
        <w:rPr>
          <w:noProof/>
        </w:rPr>
        <w:br/>
        <w:t>Ресурси от Инструмента на Европейския съюз за възстановяване</w:t>
      </w:r>
    </w:p>
    <w:p>
      <w:pPr>
        <w:pStyle w:val="Point1"/>
        <w:rPr>
          <w:noProof/>
        </w:rPr>
      </w:pPr>
      <w:r>
        <w:rPr>
          <w:noProof/>
        </w:rPr>
        <w:t>(1)</w:t>
      </w:r>
      <w:r>
        <w:rPr>
          <w:noProof/>
        </w:rPr>
        <w:tab/>
        <w:t>Мерките, посочени в член 2 от Регламент [Европейски инструмент за възстановяване], се изпълняват по линия на ЕЗФРСР чрез сума в размер на 16 483 милиона евро по текущи цени от сумата, посочена в член 3, параграф 2, буква а), подточка vii) от същия регламент, при спазване на член 4, параграфи 3, 4 и 8 от него.</w:t>
      </w:r>
    </w:p>
    <w:p>
      <w:pPr>
        <w:pStyle w:val="Text2"/>
        <w:rPr>
          <w:noProof/>
        </w:rPr>
      </w:pPr>
      <w:r>
        <w:rPr>
          <w:noProof/>
        </w:rPr>
        <w:t>Тази сума представлява външни целеви приходи в съответствие с член 21, параграф 5 от Финансовия регламент.</w:t>
      </w:r>
    </w:p>
    <w:p>
      <w:pPr>
        <w:pStyle w:val="Text2"/>
        <w:rPr>
          <w:noProof/>
        </w:rPr>
      </w:pPr>
      <w:r>
        <w:rPr>
          <w:noProof/>
        </w:rPr>
        <w:t>Тя се предоставя като допълнителни ресурси за бюджетни задължения по линия на ЕЗФРСР за 2022 г., 2023 г. и 2024 г. в допълнение към общите ресурси, посочени в член 83, както следва:</w:t>
      </w:r>
    </w:p>
    <w:p>
      <w:pPr>
        <w:pStyle w:val="Tiret2"/>
        <w:numPr>
          <w:ilvl w:val="0"/>
          <w:numId w:val="14"/>
        </w:numPr>
        <w:rPr>
          <w:rStyle w:val="conf-macro"/>
          <w:noProof/>
        </w:rPr>
      </w:pPr>
      <w:r>
        <w:rPr>
          <w:rStyle w:val="conf-macro"/>
          <w:noProof/>
        </w:rPr>
        <w:t>2022 г.: 8117 милиона евро;</w:t>
      </w:r>
    </w:p>
    <w:p>
      <w:pPr>
        <w:pStyle w:val="Tiret2"/>
        <w:rPr>
          <w:rStyle w:val="conf-macro"/>
          <w:noProof/>
        </w:rPr>
      </w:pPr>
      <w:r>
        <w:rPr>
          <w:rStyle w:val="conf-macro"/>
          <w:noProof/>
        </w:rPr>
        <w:t>2023 г.: 4140 милиона евро;</w:t>
      </w:r>
    </w:p>
    <w:p>
      <w:pPr>
        <w:pStyle w:val="Tiret2"/>
        <w:rPr>
          <w:rStyle w:val="conf-macro"/>
          <w:noProof/>
        </w:rPr>
      </w:pPr>
      <w:r>
        <w:rPr>
          <w:rStyle w:val="conf-macro"/>
          <w:noProof/>
        </w:rPr>
        <w:t>2024 г.: 4226 милиона евро.</w:t>
      </w:r>
    </w:p>
    <w:p>
      <w:pPr>
        <w:pStyle w:val="Point1"/>
        <w:rPr>
          <w:noProof/>
        </w:rPr>
      </w:pPr>
      <w:r>
        <w:rPr>
          <w:noProof/>
        </w:rPr>
        <w:t>(2)</w:t>
      </w:r>
      <w:r>
        <w:rPr>
          <w:noProof/>
        </w:rPr>
        <w:tab/>
        <w:t xml:space="preserve">Разбивката на допълнителните средства, посочени в параграф 1, за всяка държава членка се определя в съответствие с член 83, параграф 3. </w:t>
      </w:r>
    </w:p>
    <w:p>
      <w:pPr>
        <w:pStyle w:val="Point1"/>
        <w:rPr>
          <w:noProof/>
        </w:rPr>
      </w:pPr>
      <w:r>
        <w:rPr>
          <w:noProof/>
        </w:rPr>
        <w:t>(3)</w:t>
      </w:r>
      <w:r>
        <w:rPr>
          <w:noProof/>
        </w:rPr>
        <w:tab/>
        <w:t xml:space="preserve">Правилата за отмяна на бюджетни задължения, определени в член 32 от [COM Предложение за регламент на Европейския парламент и на Съвета относно финансирането, управлението и мониторинга на ОСП], се прилагат към бюджетните задължения, основани на допълнителните ресурси, посочени в параграф 1 от настоящия член. </w:t>
      </w:r>
    </w:p>
    <w:p>
      <w:pPr>
        <w:pStyle w:val="Point1"/>
        <w:rPr>
          <w:noProof/>
        </w:rPr>
      </w:pPr>
      <w:r>
        <w:rPr>
          <w:noProof/>
        </w:rPr>
        <w:lastRenderedPageBreak/>
        <w:t>(4)</w:t>
      </w:r>
      <w:r>
        <w:rPr>
          <w:noProof/>
        </w:rPr>
        <w:tab/>
        <w:t>Член 86 не се прилага за допълнителните ресурси, посочени в параграф 1 от настоящия член.</w:t>
      </w:r>
    </w:p>
    <w:p>
      <w:pPr>
        <w:pStyle w:val="Point1"/>
        <w:rPr>
          <w:noProof/>
        </w:rPr>
      </w:pPr>
      <w:r>
        <w:rPr>
          <w:noProof/>
        </w:rPr>
        <w:t>(5)</w:t>
      </w:r>
      <w:r>
        <w:rPr>
          <w:noProof/>
        </w:rPr>
        <w:tab/>
        <w:t xml:space="preserve">До 4 % от общите допълнителни ресурси, посочени в параграф 1, могат да бъдат разпределени за техническа помощ по инициатива на държавите членки в рамките на приноса на ЕЗФРСР за стратегическите планове по ОСП на държавите членки. </w:t>
      </w:r>
    </w:p>
    <w:p>
      <w:pPr>
        <w:pStyle w:val="Point1"/>
        <w:rPr>
          <w:rStyle w:val="conf-macro"/>
          <w:noProof/>
        </w:rPr>
      </w:pPr>
      <w:r>
        <w:rPr>
          <w:rStyle w:val="conf-macro"/>
          <w:noProof/>
        </w:rPr>
        <w:t>(6)</w:t>
      </w:r>
      <w:r>
        <w:rPr>
          <w:rStyle w:val="conf-macro"/>
          <w:noProof/>
        </w:rPr>
        <w:tab/>
        <w:t xml:space="preserve">Допълнителните ресурси, </w:t>
      </w:r>
      <w:r>
        <w:rPr>
          <w:noProof/>
        </w:rPr>
        <w:t>посочени в параграф 1</w:t>
      </w:r>
      <w:r>
        <w:rPr>
          <w:rStyle w:val="conf-macro"/>
          <w:noProof/>
        </w:rPr>
        <w:t>, се използват по нова специфична цел, допълваща специфичните цели, установени в член 6, за подпомагане на операции, които подготвят възстановяването на икономиката.“.</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lastRenderedPageBreak/>
        <w:t>ЗАКОНОДАТЕЛНА ФИНАНСОВА ОБОСНОВКА</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РАМКА НА ПРЕДЛОЖЕНИЕТО/ИНИЦИАТИВАТА </w:t>
      </w:r>
    </w:p>
    <w:p>
      <w:pPr>
        <w:keepNext/>
        <w:tabs>
          <w:tab w:val="left" w:pos="850"/>
        </w:tabs>
        <w:ind w:left="850" w:hanging="850"/>
        <w:outlineLvl w:val="1"/>
        <w:rPr>
          <w:noProof/>
        </w:rPr>
      </w:pPr>
      <w:r>
        <w:rPr>
          <w:noProof/>
        </w:rPr>
        <w:tab/>
        <w:t>1.1.</w:t>
      </w:r>
      <w:r>
        <w:rPr>
          <w:noProof/>
        </w:rPr>
        <w:tab/>
        <w:t xml:space="preserve">Наименование на предложението/инициативата </w:t>
      </w:r>
    </w:p>
    <w:p>
      <w:pPr>
        <w:keepNext/>
        <w:tabs>
          <w:tab w:val="left" w:pos="850"/>
        </w:tabs>
        <w:ind w:left="850" w:hanging="850"/>
        <w:outlineLvl w:val="1"/>
        <w:rPr>
          <w:noProof/>
        </w:rPr>
      </w:pPr>
      <w:r>
        <w:rPr>
          <w:noProof/>
        </w:rPr>
        <w:tab/>
        <w:t>1.2.</w:t>
      </w:r>
      <w:r>
        <w:rPr>
          <w:noProof/>
        </w:rPr>
        <w:tab/>
        <w:t>Съответни области на политиката в структурата на УД/БД</w:t>
      </w:r>
    </w:p>
    <w:p>
      <w:pPr>
        <w:keepNext/>
        <w:tabs>
          <w:tab w:val="left" w:pos="850"/>
        </w:tabs>
        <w:ind w:left="850" w:hanging="850"/>
        <w:outlineLvl w:val="1"/>
        <w:rPr>
          <w:noProof/>
        </w:rPr>
      </w:pPr>
      <w:r>
        <w:rPr>
          <w:noProof/>
        </w:rPr>
        <w:tab/>
        <w:t>1.3.</w:t>
      </w:r>
      <w:r>
        <w:rPr>
          <w:noProof/>
        </w:rPr>
        <w:tab/>
        <w:t xml:space="preserve">Естество на предложението/инициативата </w:t>
      </w:r>
    </w:p>
    <w:p>
      <w:pPr>
        <w:keepNext/>
        <w:tabs>
          <w:tab w:val="left" w:pos="850"/>
        </w:tabs>
        <w:ind w:left="850" w:hanging="850"/>
        <w:outlineLvl w:val="1"/>
        <w:rPr>
          <w:noProof/>
        </w:rPr>
      </w:pPr>
      <w:r>
        <w:rPr>
          <w:noProof/>
        </w:rPr>
        <w:tab/>
        <w:t>1.4.</w:t>
      </w:r>
      <w:r>
        <w:rPr>
          <w:noProof/>
        </w:rPr>
        <w:tab/>
        <w:t xml:space="preserve">Цел(и) </w:t>
      </w:r>
    </w:p>
    <w:p>
      <w:pPr>
        <w:keepNext/>
        <w:tabs>
          <w:tab w:val="left" w:pos="850"/>
        </w:tabs>
        <w:ind w:left="850" w:hanging="850"/>
        <w:outlineLvl w:val="1"/>
        <w:rPr>
          <w:noProof/>
        </w:rPr>
      </w:pPr>
      <w:r>
        <w:rPr>
          <w:noProof/>
        </w:rPr>
        <w:tab/>
        <w:t>1.5.</w:t>
      </w:r>
      <w:r>
        <w:rPr>
          <w:noProof/>
        </w:rPr>
        <w:tab/>
        <w:t xml:space="preserve">Мотиви за предложението/инициативата </w:t>
      </w:r>
    </w:p>
    <w:p>
      <w:pPr>
        <w:keepNext/>
        <w:tabs>
          <w:tab w:val="left" w:pos="850"/>
        </w:tabs>
        <w:ind w:left="850" w:hanging="850"/>
        <w:outlineLvl w:val="1"/>
        <w:rPr>
          <w:noProof/>
        </w:rPr>
      </w:pPr>
      <w:r>
        <w:rPr>
          <w:noProof/>
        </w:rPr>
        <w:tab/>
        <w:t>1.6.</w:t>
      </w:r>
      <w:r>
        <w:rPr>
          <w:noProof/>
        </w:rPr>
        <w:tab/>
        <w:t xml:space="preserve">Срок на действие и финансово отражение </w:t>
      </w:r>
    </w:p>
    <w:p>
      <w:pPr>
        <w:keepNext/>
        <w:tabs>
          <w:tab w:val="left" w:pos="850"/>
        </w:tabs>
        <w:ind w:left="850" w:hanging="850"/>
        <w:outlineLvl w:val="1"/>
        <w:rPr>
          <w:noProof/>
        </w:rPr>
      </w:pPr>
      <w:r>
        <w:rPr>
          <w:noProof/>
        </w:rPr>
        <w:tab/>
        <w:t>1.7.</w:t>
      </w:r>
      <w:r>
        <w:rPr>
          <w:noProof/>
        </w:rPr>
        <w:tab/>
        <w:t xml:space="preserve">Предвидени методи на управление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МЕРКИ ЗА УПРАВЛЕНИЕ </w:t>
      </w:r>
    </w:p>
    <w:p>
      <w:pPr>
        <w:keepNext/>
        <w:tabs>
          <w:tab w:val="left" w:pos="850"/>
        </w:tabs>
        <w:ind w:left="850" w:hanging="850"/>
        <w:outlineLvl w:val="1"/>
        <w:rPr>
          <w:noProof/>
        </w:rPr>
      </w:pPr>
      <w:r>
        <w:rPr>
          <w:noProof/>
        </w:rPr>
        <w:tab/>
        <w:t>2.1.</w:t>
      </w:r>
      <w:r>
        <w:rPr>
          <w:noProof/>
        </w:rPr>
        <w:tab/>
        <w:t xml:space="preserve">Правила за мониторинг и докладване </w:t>
      </w:r>
    </w:p>
    <w:p>
      <w:pPr>
        <w:keepNext/>
        <w:tabs>
          <w:tab w:val="left" w:pos="850"/>
        </w:tabs>
        <w:ind w:left="850" w:hanging="850"/>
        <w:outlineLvl w:val="1"/>
        <w:rPr>
          <w:noProof/>
        </w:rPr>
      </w:pPr>
      <w:r>
        <w:rPr>
          <w:noProof/>
        </w:rPr>
        <w:tab/>
        <w:t>2.2.</w:t>
      </w:r>
      <w:r>
        <w:rPr>
          <w:noProof/>
        </w:rPr>
        <w:tab/>
        <w:t xml:space="preserve">Система за управление и контрол </w:t>
      </w:r>
    </w:p>
    <w:p>
      <w:pPr>
        <w:keepNext/>
        <w:tabs>
          <w:tab w:val="left" w:pos="850"/>
        </w:tabs>
        <w:ind w:left="850" w:hanging="850"/>
        <w:outlineLvl w:val="1"/>
        <w:rPr>
          <w:noProof/>
        </w:rPr>
      </w:pPr>
      <w:r>
        <w:rPr>
          <w:noProof/>
        </w:rPr>
        <w:tab/>
        <w:t>2.3.</w:t>
      </w:r>
      <w:r>
        <w:rPr>
          <w:noProof/>
        </w:rPr>
        <w:tab/>
        <w:t xml:space="preserve">Мерки за предотвратяване на измами и нередности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ОЧАКВАНО ФИНАНСОВО ОТРАЖЕНИЕ НА ПРЕДЛОЖЕНИЕТО/ИНИЦИАТИВАТА </w:t>
      </w:r>
    </w:p>
    <w:p>
      <w:pPr>
        <w:keepNext/>
        <w:tabs>
          <w:tab w:val="left" w:pos="850"/>
        </w:tabs>
        <w:ind w:left="850" w:hanging="850"/>
        <w:outlineLvl w:val="1"/>
        <w:rPr>
          <w:noProof/>
        </w:rPr>
      </w:pPr>
      <w:r>
        <w:rPr>
          <w:noProof/>
        </w:rPr>
        <w:tab/>
        <w:t>3.1.</w:t>
      </w:r>
      <w:r>
        <w:rPr>
          <w:noProof/>
        </w:rPr>
        <w:tab/>
        <w:t xml:space="preserve">Съответни функции от многогодишната финансова рамка и разходни бюджетни редове </w:t>
      </w:r>
    </w:p>
    <w:p>
      <w:pPr>
        <w:keepNext/>
        <w:tabs>
          <w:tab w:val="left" w:pos="850"/>
        </w:tabs>
        <w:ind w:left="850" w:hanging="850"/>
        <w:outlineLvl w:val="1"/>
        <w:rPr>
          <w:b/>
          <w:noProof/>
        </w:rPr>
      </w:pPr>
      <w:r>
        <w:rPr>
          <w:noProof/>
        </w:rPr>
        <w:tab/>
        <w:t>3.2.</w:t>
      </w:r>
      <w:r>
        <w:rPr>
          <w:noProof/>
        </w:rPr>
        <w:tab/>
        <w:t>Очаквано отражение върху разходите</w:t>
      </w:r>
      <w:r>
        <w:rPr>
          <w:b/>
          <w:noProof/>
        </w:rPr>
        <w:t xml:space="preserve"> </w:t>
      </w:r>
    </w:p>
    <w:p>
      <w:pPr>
        <w:keepNext/>
        <w:tabs>
          <w:tab w:val="left" w:pos="850"/>
        </w:tabs>
        <w:ind w:left="850" w:hanging="850"/>
        <w:outlineLvl w:val="2"/>
        <w:rPr>
          <w:i/>
          <w:noProof/>
        </w:rPr>
      </w:pPr>
      <w:r>
        <w:rPr>
          <w:noProof/>
        </w:rPr>
        <w:tab/>
      </w:r>
      <w:r>
        <w:rPr>
          <w:i/>
          <w:noProof/>
        </w:rPr>
        <w:t>3.2.1.</w:t>
      </w:r>
      <w:r>
        <w:rPr>
          <w:noProof/>
        </w:rPr>
        <w:tab/>
      </w:r>
      <w:r>
        <w:rPr>
          <w:i/>
          <w:noProof/>
        </w:rPr>
        <w:t xml:space="preserve">Обобщение на очакваното отражение върху разходите </w:t>
      </w:r>
    </w:p>
    <w:p>
      <w:pPr>
        <w:keepNext/>
        <w:tabs>
          <w:tab w:val="left" w:pos="850"/>
        </w:tabs>
        <w:ind w:left="850" w:hanging="850"/>
        <w:outlineLvl w:val="2"/>
        <w:rPr>
          <w:i/>
          <w:noProof/>
        </w:rPr>
      </w:pPr>
      <w:r>
        <w:rPr>
          <w:noProof/>
        </w:rPr>
        <w:tab/>
      </w:r>
      <w:r>
        <w:rPr>
          <w:i/>
          <w:noProof/>
        </w:rPr>
        <w:t>3.2.2.</w:t>
      </w:r>
      <w:r>
        <w:rPr>
          <w:noProof/>
        </w:rPr>
        <w:tab/>
      </w:r>
      <w:r>
        <w:rPr>
          <w:i/>
          <w:noProof/>
        </w:rPr>
        <w:t xml:space="preserve">Очаквано отражение върху бюджетните кредити за оперативни разходи </w:t>
      </w:r>
    </w:p>
    <w:p>
      <w:pPr>
        <w:keepNext/>
        <w:tabs>
          <w:tab w:val="left" w:pos="850"/>
        </w:tabs>
        <w:ind w:left="850" w:hanging="850"/>
        <w:outlineLvl w:val="2"/>
        <w:rPr>
          <w:i/>
          <w:noProof/>
        </w:rPr>
      </w:pPr>
      <w:r>
        <w:rPr>
          <w:noProof/>
        </w:rPr>
        <w:tab/>
      </w:r>
      <w:r>
        <w:rPr>
          <w:i/>
          <w:noProof/>
        </w:rPr>
        <w:t>3.2.3.</w:t>
      </w:r>
      <w:r>
        <w:rPr>
          <w:noProof/>
        </w:rPr>
        <w:tab/>
      </w:r>
      <w:r>
        <w:rPr>
          <w:i/>
          <w:noProof/>
        </w:rPr>
        <w:t>Очаквано отражение върху бюджетните кредити за административни разходи</w:t>
      </w:r>
    </w:p>
    <w:p>
      <w:pPr>
        <w:keepNext/>
        <w:tabs>
          <w:tab w:val="left" w:pos="850"/>
        </w:tabs>
        <w:ind w:left="850" w:hanging="850"/>
        <w:outlineLvl w:val="2"/>
        <w:rPr>
          <w:i/>
          <w:noProof/>
        </w:rPr>
      </w:pPr>
      <w:r>
        <w:rPr>
          <w:noProof/>
        </w:rPr>
        <w:tab/>
      </w:r>
      <w:r>
        <w:rPr>
          <w:i/>
          <w:noProof/>
        </w:rPr>
        <w:t>3.2.4.</w:t>
      </w:r>
      <w:r>
        <w:rPr>
          <w:noProof/>
        </w:rPr>
        <w:tab/>
      </w:r>
      <w:r>
        <w:rPr>
          <w:i/>
          <w:noProof/>
        </w:rPr>
        <w:t>Съвместимост с настоящата многогодишна финансова рамка</w:t>
      </w:r>
    </w:p>
    <w:p>
      <w:pPr>
        <w:keepNext/>
        <w:tabs>
          <w:tab w:val="left" w:pos="850"/>
        </w:tabs>
        <w:ind w:left="850" w:hanging="850"/>
        <w:outlineLvl w:val="2"/>
        <w:rPr>
          <w:i/>
          <w:noProof/>
        </w:rPr>
      </w:pPr>
      <w:r>
        <w:rPr>
          <w:noProof/>
        </w:rPr>
        <w:tab/>
      </w:r>
      <w:r>
        <w:rPr>
          <w:i/>
          <w:noProof/>
        </w:rPr>
        <w:t>3.2.5.</w:t>
      </w:r>
      <w:r>
        <w:rPr>
          <w:noProof/>
        </w:rPr>
        <w:tab/>
      </w:r>
      <w:r>
        <w:rPr>
          <w:i/>
          <w:noProof/>
        </w:rPr>
        <w:t xml:space="preserve">Участие на трети страни във финансирането </w:t>
      </w:r>
    </w:p>
    <w:p>
      <w:pPr>
        <w:rPr>
          <w:noProof/>
        </w:rPr>
      </w:pPr>
      <w:r>
        <w:rPr>
          <w:noProof/>
        </w:rPr>
        <w:tab/>
        <w:t>3.3.</w:t>
      </w:r>
      <w:r>
        <w:rPr>
          <w:noProof/>
        </w:rPr>
        <w:tab/>
        <w:t>Очаквано отражение върху приходите</w:t>
      </w:r>
    </w:p>
    <w:p>
      <w:pPr>
        <w:spacing w:before="0" w:after="200" w:line="276" w:lineRule="auto"/>
        <w:jc w:val="left"/>
        <w:rPr>
          <w:noProof/>
        </w:rPr>
      </w:pPr>
      <w:r>
        <w:rPr>
          <w:noProof/>
        </w:rPr>
        <w:br w:type="page"/>
      </w:r>
    </w:p>
    <w:p>
      <w:pPr>
        <w:jc w:val="center"/>
        <w:rPr>
          <w:b/>
          <w:noProof/>
          <w:u w:val="single"/>
        </w:rPr>
      </w:pPr>
      <w:r>
        <w:rPr>
          <w:b/>
          <w:noProof/>
          <w:u w:val="single"/>
        </w:rPr>
        <w:lastRenderedPageBreak/>
        <w:t>ЗАКОНОДАТЕЛНА ФИНАНСОВА ОБОСНОВКА</w:t>
      </w:r>
    </w:p>
    <w:p>
      <w:pPr>
        <w:keepNext/>
        <w:spacing w:before="360"/>
        <w:outlineLvl w:val="0"/>
        <w:rPr>
          <w:rFonts w:eastAsiaTheme="majorEastAsia"/>
          <w:b/>
          <w:bCs/>
          <w:smallCaps/>
          <w:noProof/>
          <w:szCs w:val="28"/>
        </w:rPr>
      </w:pPr>
      <w:bookmarkStart w:id="1" w:name="_Toc514941971"/>
      <w:bookmarkStart w:id="2" w:name="_Toc40376060"/>
      <w:r>
        <w:rPr>
          <w:b/>
          <w:bCs/>
          <w:smallCaps/>
          <w:noProof/>
          <w:szCs w:val="28"/>
        </w:rPr>
        <w:t>РАМКА НА ПРЕДЛОЖЕНИЕТО/ИНИЦИАТИВАТА</w:t>
      </w:r>
      <w:bookmarkEnd w:id="1"/>
      <w:bookmarkEnd w:id="2"/>
      <w:r>
        <w:rPr>
          <w:b/>
          <w:bCs/>
          <w:smallCaps/>
          <w:noProof/>
          <w:szCs w:val="28"/>
        </w:rPr>
        <w:t xml:space="preserve"> </w:t>
      </w:r>
    </w:p>
    <w:p>
      <w:pPr>
        <w:keepNext/>
        <w:outlineLvl w:val="1"/>
        <w:rPr>
          <w:rFonts w:eastAsiaTheme="majorEastAsia"/>
          <w:b/>
          <w:bCs/>
          <w:noProof/>
          <w:szCs w:val="26"/>
        </w:rPr>
      </w:pPr>
      <w:bookmarkStart w:id="3" w:name="_Toc514941972"/>
      <w:bookmarkStart w:id="4" w:name="_Toc40376061"/>
      <w:r>
        <w:rPr>
          <w:b/>
          <w:bCs/>
          <w:noProof/>
          <w:szCs w:val="26"/>
        </w:rPr>
        <w:t>Наименование на предложението/инициативата</w:t>
      </w:r>
      <w:bookmarkEnd w:id="3"/>
      <w:bookmarkEnd w:id="4"/>
      <w:r>
        <w:rPr>
          <w:b/>
          <w:bCs/>
          <w:noProof/>
          <w:szCs w:val="26"/>
        </w:rPr>
        <w:t xml:space="preserve"> </w:t>
      </w:r>
    </w:p>
    <w:p>
      <w:pPr>
        <w:ind w:left="850"/>
        <w:rPr>
          <w:noProof/>
          <w:color w:val="0000FF"/>
        </w:rPr>
      </w:pPr>
      <w:bookmarkStart w:id="5" w:name="_Toc514941973"/>
      <w:r>
        <w:rPr>
          <w:noProof/>
          <w:color w:val="0000FF"/>
        </w:rPr>
        <w:t>Изменени предложения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(COM(2018)435); РЕШЕНИЕ НА ЕВРОПЕЙСКИЯ ПАРЛАМЕНТ И НА СЪВЕТА за създаване на специфична програма за осъществяване на Рамковата програма за научни изследвания и иновации „Хоризонт Европа“ (COM(2018)436); 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(COM (2018) 392); РЕГЛАМЕНТ НА ЕВРОПЕЙСКИЯ ПАРЛАМЕНТ И НА СЪВЕТА за създаване на Инструмента за съседство, сътрудничество за развитие и международно сътрудничество</w:t>
      </w:r>
    </w:p>
    <w:p>
      <w:pPr>
        <w:keepNext/>
        <w:outlineLvl w:val="1"/>
        <w:rPr>
          <w:rFonts w:eastAsiaTheme="majorEastAsia"/>
          <w:b/>
          <w:bCs/>
          <w:noProof/>
          <w:szCs w:val="26"/>
        </w:rPr>
      </w:pPr>
      <w:bookmarkStart w:id="6" w:name="_Toc40374709"/>
      <w:bookmarkStart w:id="7" w:name="_Toc40376062"/>
      <w:bookmarkEnd w:id="6"/>
      <w:r>
        <w:rPr>
          <w:b/>
          <w:bCs/>
          <w:noProof/>
          <w:szCs w:val="26"/>
        </w:rPr>
        <w:t>Съответни области на политиката (програмен клъстер)</w:t>
      </w:r>
      <w:bookmarkEnd w:id="5"/>
      <w:bookmarkEnd w:id="7"/>
    </w:p>
    <w:p>
      <w:pPr>
        <w:pBdr>
          <w:top w:val="single" w:sz="4" w:space="1" w:color="auto"/>
          <w:left w:val="single" w:sz="4" w:space="4" w:color="auto"/>
          <w:bottom w:val="single" w:sz="4" w:space="1" w:color="auto"/>
          <w:right w:val="single" w:sz="4" w:space="4" w:color="auto"/>
        </w:pBdr>
        <w:ind w:left="850"/>
        <w:rPr>
          <w:noProof/>
        </w:rPr>
      </w:pPr>
      <w:bookmarkStart w:id="8" w:name="_Toc514941974"/>
      <w:r>
        <w:rPr>
          <w:noProof/>
          <w:color w:val="0000FF"/>
        </w:rPr>
        <w:t>01 Научни изследвания и иновации</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15 Външна дейност</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08 Селско стопанство и морска политика </w:t>
      </w:r>
    </w:p>
    <w:p>
      <w:pPr>
        <w:keepNext/>
        <w:outlineLvl w:val="1"/>
        <w:rPr>
          <w:rFonts w:eastAsiaTheme="majorEastAsia"/>
          <w:b/>
          <w:noProof/>
          <w:szCs w:val="24"/>
        </w:rPr>
      </w:pPr>
      <w:bookmarkStart w:id="9" w:name="_Toc40374711"/>
      <w:bookmarkStart w:id="10" w:name="_Toc40376063"/>
      <w:bookmarkEnd w:id="9"/>
      <w:r>
        <w:rPr>
          <w:b/>
          <w:bCs/>
          <w:noProof/>
          <w:szCs w:val="26"/>
        </w:rPr>
        <w:t>Предложението/инициативата е във връзка с:</w:t>
      </w:r>
      <w:bookmarkEnd w:id="8"/>
      <w:bookmarkEnd w:id="10"/>
      <w:r>
        <w:rPr>
          <w:b/>
          <w:bCs/>
          <w:noProof/>
          <w:szCs w:val="26"/>
        </w:rPr>
        <w:t xml:space="preserve"> </w:t>
      </w:r>
    </w:p>
    <w:p>
      <w:pPr>
        <w:ind w:left="850"/>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ind w:left="850"/>
        <w:rPr>
          <w:noProof/>
          <w:sz w:val="22"/>
        </w:rPr>
      </w:pPr>
      <w:r>
        <w:rPr>
          <w:noProof/>
          <w:sz w:val="22"/>
        </w:rPr>
        <w:sym w:font="Wingdings" w:char="F0A8"/>
      </w:r>
      <w:r>
        <w:rPr>
          <w:i/>
          <w:noProof/>
          <w:sz w:val="22"/>
        </w:rPr>
        <w:t xml:space="preserve"> </w:t>
      </w:r>
      <w:r>
        <w:rPr>
          <w:b/>
          <w:bCs/>
          <w:noProof/>
        </w:rPr>
        <w:t>ново действие след пилотен проект/подготвително действие</w:t>
      </w:r>
      <w:r>
        <w:rPr>
          <w:rStyle w:val="FootnoteReference"/>
          <w:noProof/>
        </w:rPr>
        <w:footnoteReference w:id="3"/>
      </w:r>
      <w:r>
        <w:rPr>
          <w:noProof/>
          <w:sz w:val="22"/>
        </w:rPr>
        <w:t xml:space="preserve"> </w:t>
      </w:r>
    </w:p>
    <w:p>
      <w:pPr>
        <w:ind w:left="850"/>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ind w:left="850"/>
        <w:rPr>
          <w:noProof/>
        </w:rPr>
      </w:pPr>
      <w:r>
        <w:rPr>
          <w:noProof/>
          <w:sz w:val="22"/>
        </w:rPr>
        <w:t>X</w:t>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keepNext/>
        <w:outlineLvl w:val="1"/>
        <w:rPr>
          <w:rFonts w:eastAsiaTheme="majorEastAsia"/>
          <w:b/>
          <w:noProof/>
          <w:szCs w:val="24"/>
        </w:rPr>
      </w:pPr>
      <w:bookmarkStart w:id="11" w:name="_Toc514941975"/>
      <w:bookmarkStart w:id="12" w:name="_Toc40376064"/>
      <w:r>
        <w:rPr>
          <w:b/>
          <w:bCs/>
          <w:noProof/>
          <w:szCs w:val="26"/>
        </w:rPr>
        <w:t>Мотиви за предложението/инициативата</w:t>
      </w:r>
      <w:bookmarkEnd w:id="11"/>
      <w:bookmarkEnd w:id="12"/>
      <w:r>
        <w:rPr>
          <w:b/>
          <w:bCs/>
          <w:noProof/>
          <w:szCs w:val="26"/>
        </w:rPr>
        <w:t xml:space="preserve"> </w:t>
      </w:r>
    </w:p>
    <w:p>
      <w:pPr>
        <w:keepNext/>
        <w:outlineLvl w:val="2"/>
        <w:rPr>
          <w:rFonts w:eastAsiaTheme="majorEastAsia"/>
          <w:bCs/>
          <w:i/>
          <w:noProof/>
        </w:rPr>
      </w:pPr>
      <w:bookmarkStart w:id="13" w:name="_Toc514941976"/>
      <w:bookmarkStart w:id="14" w:name="_Toc40376065"/>
      <w:r>
        <w:rPr>
          <w:bCs/>
          <w:i/>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3"/>
      <w:bookmarkEnd w:id="14"/>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Тези целеви изменения на Рамковата програма за „Хоризонт Европа“, специфичната програма за осъществяване на Рамковата програма за научни изследвания и иновации и Инструмента за съседство, сътрудничество за развитие и международно сътрудничество (ИСРМС), както и на интервенциите по линия на ЕЗФРСР в рамките на стратегическите планове по ОСП се предлагат в рамката на преразгледаното предложение за МФР, включващо Инструмента на Европейския съюз за възстановяване (ИЕСВ). Този нов инструмент ще предостави средства на тези програми за ограничен период от време над таваните за бюджетните кредити за поети задължения и бюджетните кредити за плащания по МФР като външни целеви приходи по смисъла на член 21 от Финансовия регламент. </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lastRenderedPageBreak/>
        <w:t>Като общо правило финансовата подкрепа и съответните действия, извършени от Комисията, следва да бъдат реализирани преди всичко до края на 2024 г., а що се отнася до безвъзмездната финансова подкрепа, в размер на най-малко 60 % от общата сума, да бъде отпусната до края на 2022 г. Поради това оставащите години след 2024 г. до края на МФР следва да се използват от Комисията за насърчаване на изпълнението на съответните действия на място и за постигане на очакваното възстановяване в съответните икономически и социални сектори, както и за поощряване на устойчивостта и сближаването.</w:t>
      </w:r>
    </w:p>
    <w:p>
      <w:pPr>
        <w:ind w:left="850"/>
        <w:rPr>
          <w:noProof/>
          <w:color w:val="0000FF"/>
        </w:rPr>
      </w:pPr>
    </w:p>
    <w:p>
      <w:pPr>
        <w:keepNext/>
        <w:outlineLvl w:val="2"/>
        <w:rPr>
          <w:rFonts w:eastAsiaTheme="majorEastAsia"/>
          <w:bCs/>
          <w:i/>
          <w:noProof/>
        </w:rPr>
      </w:pPr>
      <w:bookmarkStart w:id="15" w:name="_Toc514941977"/>
      <w:bookmarkStart w:id="16" w:name="_Toc40376066"/>
      <w:r>
        <w:rPr>
          <w:bCs/>
          <w:i/>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15"/>
      <w:bookmarkEnd w:id="16"/>
    </w:p>
    <w:p>
      <w:pPr>
        <w:pBdr>
          <w:top w:val="single" w:sz="4" w:space="1" w:color="auto"/>
          <w:left w:val="single" w:sz="4" w:space="4" w:color="auto"/>
          <w:bottom w:val="single" w:sz="4" w:space="1" w:color="auto"/>
          <w:right w:val="single" w:sz="4" w:space="4" w:color="auto"/>
        </w:pBdr>
        <w:ind w:left="850"/>
        <w:rPr>
          <w:noProof/>
        </w:rPr>
      </w:pPr>
      <w:r>
        <w:rPr>
          <w:noProof/>
        </w:rPr>
        <w:t>(1)</w:t>
      </w:r>
      <w:r>
        <w:rPr>
          <w:noProof/>
        </w:rPr>
        <w:tab/>
        <w:t xml:space="preserve">С цел да се ограничи разпространението на заболяването от коронавирус („COVID-19“), което на 11 март 2020 г. беше обявено от Световната здравна организация за пандемия, държавите членки и трети държави приеха набор от безпрецедентни мерки. Тези мерки доведоха до значителни смущения в икономическите дейности. По-специално тези мерки прекъснаха веригите за доставки и производството и причиниха отсъствия от работното място. В по-общ план тези мерки вече доведоха или ще доведат до сериозно влошаване на финансовото положение на много предприятия в Съюза и в трети държави. </w:t>
      </w:r>
    </w:p>
    <w:p>
      <w:pPr>
        <w:pBdr>
          <w:top w:val="single" w:sz="4" w:space="1" w:color="auto"/>
          <w:left w:val="single" w:sz="4" w:space="4" w:color="auto"/>
          <w:bottom w:val="single" w:sz="4" w:space="1" w:color="auto"/>
          <w:right w:val="single" w:sz="4" w:space="4" w:color="auto"/>
        </w:pBdr>
        <w:ind w:left="850"/>
        <w:rPr>
          <w:noProof/>
        </w:rPr>
      </w:pPr>
      <w:r>
        <w:rPr>
          <w:noProof/>
        </w:rPr>
        <w:t>(2)</w:t>
      </w:r>
      <w:r>
        <w:rPr>
          <w:noProof/>
        </w:rPr>
        <w:tab/>
        <w:t>Кризата бързо се разпространи на територията на Съюза и в трети държави. За 2020 г. се предвижда рязко свиване на растежа в Съюза, което може да продължи и през 2021 г. Рисковете, свързани с възстановяването, са твърде различни в отделните държави членки, което води до увеличаване на различията между националните икономики. Нееднаквите фискални възможности на държавите членки за предоставяне на финансова подкрепа там, където е най-необходима за възстановяване, и разминаванията между националните мерки застрашават единния пазар.</w:t>
      </w:r>
    </w:p>
    <w:p>
      <w:pPr>
        <w:pBdr>
          <w:top w:val="single" w:sz="4" w:space="1" w:color="auto"/>
          <w:left w:val="single" w:sz="4" w:space="4" w:color="auto"/>
          <w:bottom w:val="single" w:sz="4" w:space="1" w:color="auto"/>
          <w:right w:val="single" w:sz="4" w:space="4" w:color="auto"/>
        </w:pBdr>
        <w:ind w:left="850"/>
        <w:rPr>
          <w:noProof/>
        </w:rPr>
      </w:pPr>
      <w:r>
        <w:rPr>
          <w:noProof/>
        </w:rPr>
        <w:t>(3)</w:t>
      </w:r>
      <w:r>
        <w:rPr>
          <w:noProof/>
        </w:rPr>
        <w:tab/>
        <w:t>Необходим е цялостен набор от мерки за икономическо възстановяване, което ще изисква значителни по размер публични и частни инвестиции за стимулиране на икономиката, създаване на висококачествени работни места и инвестиране в отстраняването на непосредствените вреди, причинени от коронавируса.</w:t>
      </w:r>
    </w:p>
    <w:p>
      <w:pPr>
        <w:pBdr>
          <w:top w:val="single" w:sz="4" w:space="1" w:color="auto"/>
          <w:left w:val="single" w:sz="4" w:space="4" w:color="auto"/>
          <w:bottom w:val="single" w:sz="4" w:space="1" w:color="auto"/>
          <w:right w:val="single" w:sz="4" w:space="4" w:color="auto"/>
        </w:pBdr>
        <w:ind w:left="850"/>
        <w:rPr>
          <w:noProof/>
        </w:rPr>
      </w:pPr>
      <w:r>
        <w:rPr>
          <w:noProof/>
        </w:rPr>
        <w:t>(4)</w:t>
      </w:r>
      <w:r>
        <w:rPr>
          <w:noProof/>
        </w:rPr>
        <w:tab/>
        <w:t xml:space="preserve">Тази извънредна ситуация изисква последователен и единен подход на равнището на Съюза, за да се предотврати по-нататъшното влошаване на състоянието на икономиката и да се насърчи балансираното възстановяване на икономическата дейност, като се осигури приемственост и се увеличат инвестициите за екологичния и цифровия преход. Ето защо в този контекст е необходимо да се създаде инструмент на ЕС за възстановяване с цел да се преодолеят последиците от пандемията на COVID-19 или да се посрещнат нуждите от незабавно финансиране, за да се избегне повторното ѝ възникване. </w:t>
      </w:r>
    </w:p>
    <w:p>
      <w:pPr>
        <w:pBdr>
          <w:top w:val="single" w:sz="4" w:space="1" w:color="auto"/>
          <w:left w:val="single" w:sz="4" w:space="4" w:color="auto"/>
          <w:bottom w:val="single" w:sz="4" w:space="1" w:color="auto"/>
          <w:right w:val="single" w:sz="4" w:space="4" w:color="auto"/>
        </w:pBdr>
        <w:ind w:left="850"/>
        <w:rPr>
          <w:noProof/>
        </w:rPr>
      </w:pPr>
      <w:r>
        <w:rPr>
          <w:noProof/>
        </w:rPr>
        <w:t xml:space="preserve">(5) По тази логика инструментът следва да засили подкрепата чрез „Хоризонт Европа“ за дейности в областта на научните изследвания и иновациите, свързани със здравеопазването и климата. Това ще допринесе за укрепване на </w:t>
      </w:r>
      <w:r>
        <w:rPr>
          <w:noProof/>
        </w:rPr>
        <w:lastRenderedPageBreak/>
        <w:t>готовността за ефективно и бързо реагиране на извънредни ситуации, както и на инвестициите в решения, почиващи на научни съображения, а също и за осигуряване на съгласуваност с целите на Европейския зелен пакт.</w:t>
      </w:r>
    </w:p>
    <w:p>
      <w:pPr>
        <w:pBdr>
          <w:top w:val="single" w:sz="4" w:space="1" w:color="auto"/>
          <w:left w:val="single" w:sz="4" w:space="4" w:color="auto"/>
          <w:bottom w:val="single" w:sz="4" w:space="1" w:color="auto"/>
          <w:right w:val="single" w:sz="4" w:space="4" w:color="auto"/>
        </w:pBdr>
        <w:ind w:left="850"/>
        <w:rPr>
          <w:noProof/>
        </w:rPr>
      </w:pPr>
      <w:r>
        <w:rPr>
          <w:noProof/>
        </w:rPr>
        <w:t>(6) Търговските и икономическите отношения със съседните и развиващите се страни, включително Западните Балкани, страните, обхванати от европейската политика за съседство, и африканските държави, са от голямо значение за икономиката на Съюза. По тази причина и в съответствие с глобалната роля и отговорност на Съюза, както и с неговите ценности, финансовите ресурси от Инструмента за възстановяване чрез ИСРМС също следва да се използват за осигуряване на подкрепа за усилията на тези държави за борба с въздействието на пандемията на COVID-19 и за възстановяване от нея.</w:t>
      </w:r>
    </w:p>
    <w:p>
      <w:pPr>
        <w:pBdr>
          <w:top w:val="single" w:sz="4" w:space="1" w:color="auto"/>
          <w:left w:val="single" w:sz="4" w:space="4" w:color="auto"/>
          <w:bottom w:val="single" w:sz="4" w:space="1" w:color="auto"/>
          <w:right w:val="single" w:sz="4" w:space="4" w:color="auto"/>
        </w:pBdr>
        <w:ind w:left="850"/>
        <w:rPr>
          <w:noProof/>
        </w:rPr>
      </w:pPr>
      <w:r>
        <w:rPr>
          <w:noProof/>
        </w:rPr>
        <w:t>(7) Инструментът следва също така да засили подкрепата за Европейския земеделски фонд за развитие на селските райони (ЕЗФРСР), като направи възможно за държавите членки да разполагат с извънредни допълнителни ресурси, за да оказват помощ на секторите на селското стопанство и храните, които бяха тежко засегнати, с цел да се насърчи възстановяването от кризата в контекста на пандемията от COVID-19 и да се подготви възстановяването на икономиката.</w:t>
      </w:r>
    </w:p>
    <w:p>
      <w:pPr>
        <w:ind w:left="720"/>
        <w:rPr>
          <w:noProof/>
        </w:rPr>
      </w:pPr>
    </w:p>
    <w:p>
      <w:pPr>
        <w:keepNext/>
        <w:outlineLvl w:val="2"/>
        <w:rPr>
          <w:rFonts w:eastAsiaTheme="majorEastAsia"/>
          <w:bCs/>
          <w:i/>
          <w:noProof/>
        </w:rPr>
      </w:pPr>
      <w:bookmarkStart w:id="17" w:name="_Toc514941978"/>
      <w:bookmarkStart w:id="18" w:name="_Toc40376067"/>
      <w:r>
        <w:rPr>
          <w:bCs/>
          <w:i/>
          <w:noProof/>
        </w:rPr>
        <w:t>Изводи от подобен опит в миналото</w:t>
      </w:r>
      <w:bookmarkEnd w:id="17"/>
      <w:bookmarkEnd w:id="18"/>
    </w:p>
    <w:p>
      <w:pPr>
        <w:pBdr>
          <w:top w:val="single" w:sz="4" w:space="1" w:color="auto"/>
          <w:left w:val="single" w:sz="4" w:space="4" w:color="auto"/>
          <w:bottom w:val="single" w:sz="4" w:space="1" w:color="auto"/>
          <w:right w:val="single" w:sz="4" w:space="4" w:color="auto"/>
        </w:pBdr>
        <w:ind w:left="850"/>
        <w:rPr>
          <w:noProof/>
          <w:color w:val="0000FF"/>
          <w:highlight w:val="yellow"/>
        </w:rPr>
      </w:pPr>
      <w:r>
        <w:rPr>
          <w:noProof/>
          <w:color w:val="0000FF"/>
        </w:rPr>
        <w:t>Що се отнася до външните отношения, в доклада от междинния преглед на Инструмента за външно финансиране</w:t>
      </w:r>
      <w:r>
        <w:rPr>
          <w:rStyle w:val="FootnoteReference"/>
          <w:noProof/>
        </w:rPr>
        <w:footnoteReference w:id="4"/>
      </w:r>
      <w:r>
        <w:rPr>
          <w:noProof/>
          <w:color w:val="0000FF"/>
        </w:rPr>
        <w:t xml:space="preserve"> се стига до заключението, че в настоящия контекст на множество кризи и конфликти многогодишната финансова рамка на ЕС трябва да бъде в състояние да се адаптира бързо към променящите се приоритети и непредвидени събития и да реагира бързо на място. Инструментите също така се нуждаят от достатъчно финансови и други форми на гъвкавост за външните действия, за да се отговори на многобройните предизвикателства пред ЕС на световната сцена. Тази гъвкавост трябва да се изгради на различни равнища. Това означава да се започне от бюджета, в който следва да са предвидени значително повече резерви чрез многогодишно програмиране, както и по-голямо опростяване на равнището на изпълнението с цел увеличаване на ефикасността и ефективността. Настоящото предложение е в отговор на това заключение, като увеличава наличието на допълнителни ресурси за справяне с кризата, предизвикана от пандемията от COVID-19.</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Научните изследвания и иновациите (НИИ), и по-специално водещата европейска програма „Хоризонт Европа“, допринасят за осъществяването на приоритетите на гражданите и стимулират производителността и конкурентоспособността на Съюза. Те са и от решаващо значение за съхраняването на социално-икономическия модел и ценностите ни и за намирането на решения, които да ни помогнат да подхождаме системно към предизвикателствата. При сегашните извънредни обстоятелства Европа се нуждае от бързи решения на основата на научни изследвания и иновации, както и от по-задълбочено научно разбиране на заразните болести. Увеличението ще позволи големи инвестиции в научни изследвания и иновации, насочени към достъпни и иновативни мерки за защита, вирусология, ваксини, терапии и </w:t>
      </w:r>
      <w:r>
        <w:rPr>
          <w:noProof/>
          <w:color w:val="0000FF"/>
        </w:rPr>
        <w:lastRenderedPageBreak/>
        <w:t>диагностика, както и превръщане на резултатите от научни изследвания в мерки на политиката в областта на общественото здраве. От съществено значение е да се отделят повече ресурси за научни изследвания и иновации в подкрепа на конкурентоспособността на промишлеността на ЕС в съответните икономически сектори и да се осигури възстановяване, съответстващо на целите на Европейския зелен пакт. Инвестициите в научни изследвания и иновации могат да спомогнат за справяне с резките увеличения на емисиите и деградацията на природата, които имат силно въздействие върху здравето (например зоонозни болести). Увеличението би подпомогнало дружествата, които се занимават с научни изследвания и иновации, да преустановят постепенно употребата на изкопаеми горива и да инвестират в революционни технологии в областта на Европейския зелен пакт. То ще осигури финансови средства, както средства за разгръщането на появяващи се преломни иновации от страна на МСП, стартиращи предприятия и дружества със средна пазарна капитализация. Предложението допълва други специфични мерки, които вече са предприети за предоставяне на помощ за селскостопанския сектор. Бяха приети регулаторни мерки, като например адаптирането на правилата за държавна помощ или улесняването на наличността на сезонни работници.</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Комисията също адаптира правилата и въведе изменения в два целеви селскостопански фонда, ЕФГЗ и ЕЗФРСР, за да бъде осигурена извънредна гъвкавост при използването на европейските структурни и инвестиционни фондове в отговор на пандемията от COVID-19 (Инвестиционната инициатива в отговор на коронавируса), както и всички други мерки, целящи справянето с настоящата безпрецедентна ситуация. Мерките са в съответствие с предложението на Комисията за Европейския инструмент за възстановяване, определен в предложения Регламент (ЕС) XXX/XX.</w:t>
      </w:r>
    </w:p>
    <w:p>
      <w:pPr>
        <w:ind w:left="850"/>
        <w:rPr>
          <w:noProof/>
          <w:color w:val="0000FF"/>
        </w:rPr>
      </w:pPr>
    </w:p>
    <w:p>
      <w:pPr>
        <w:keepNext/>
        <w:outlineLvl w:val="2"/>
        <w:rPr>
          <w:rFonts w:eastAsiaTheme="majorEastAsia"/>
          <w:bCs/>
          <w:i/>
          <w:noProof/>
        </w:rPr>
      </w:pPr>
      <w:bookmarkStart w:id="19" w:name="_Toc40374717"/>
      <w:bookmarkStart w:id="20" w:name="_Toc40374718"/>
      <w:bookmarkStart w:id="21" w:name="_Toc514941979"/>
      <w:bookmarkStart w:id="22" w:name="_Toc40376068"/>
      <w:bookmarkEnd w:id="19"/>
      <w:bookmarkEnd w:id="20"/>
      <w:r>
        <w:rPr>
          <w:bCs/>
          <w:i/>
          <w:noProof/>
        </w:rPr>
        <w:t>Съгласуваност и евентуална синергия с други актове</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color w:val="0000FF"/>
        </w:rPr>
        <w:t>В допълнение към вече изброените синергии за „Хоризонт Европа“, ИСРМС и интервенциите по линия на ЕЗФРСР в рамките на стратегическите планове по ОСП в съответните предишни предложения на Комисията за 2018 г. настоящата специфична инициатива в контекста на преразгледаното предложение за МФР установява силни полезни взаимодействия между тези програми и новия Европейски инструмент за възстановяване, определен с предложения Регламент (ЕС) XXX/XX. Посоченият инструмент ще даде възможност за предоставянето на средства на тези секторни програми за ограничен период от време над таваните на МФР в резултат на взаимното допълване на целите и функционирането на тези инструменти, както и с оглед на обосновката и добавената стойност, представени в раздел 1.4.2 по-горе.</w:t>
      </w:r>
    </w:p>
    <w:p>
      <w:pPr>
        <w:ind w:left="720"/>
        <w:rPr>
          <w:noProof/>
        </w:rPr>
      </w:pPr>
    </w:p>
    <w:p>
      <w:pPr>
        <w:ind w:left="850"/>
        <w:rPr>
          <w:noProof/>
          <w:color w:val="0000FF"/>
        </w:rPr>
      </w:pPr>
    </w:p>
    <w:p>
      <w:pPr>
        <w:ind w:left="850"/>
        <w:rPr>
          <w:noProof/>
        </w:rPr>
      </w:pPr>
    </w:p>
    <w:p>
      <w:pPr>
        <w:keepNext/>
        <w:outlineLvl w:val="1"/>
        <w:rPr>
          <w:rFonts w:eastAsiaTheme="majorEastAsia"/>
          <w:b/>
          <w:noProof/>
          <w:szCs w:val="24"/>
        </w:rPr>
      </w:pPr>
      <w:r>
        <w:rPr>
          <w:noProof/>
        </w:rPr>
        <w:br w:type="page"/>
      </w:r>
      <w:bookmarkStart w:id="23" w:name="_Toc514941980"/>
      <w:bookmarkStart w:id="24" w:name="_Toc40376069"/>
      <w:r>
        <w:rPr>
          <w:b/>
          <w:bCs/>
          <w:noProof/>
          <w:szCs w:val="26"/>
        </w:rPr>
        <w:lastRenderedPageBreak/>
        <w:t>Срок на действие и финансово отражение</w:t>
      </w:r>
      <w:bookmarkEnd w:id="23"/>
      <w:bookmarkEnd w:id="24"/>
      <w:r>
        <w:rPr>
          <w:b/>
          <w:bCs/>
          <w:noProof/>
          <w:szCs w:val="26"/>
        </w:rPr>
        <w:t xml:space="preserve"> </w:t>
      </w:r>
    </w:p>
    <w:p>
      <w:pPr>
        <w:ind w:left="850"/>
        <w:rPr>
          <w:noProof/>
        </w:rPr>
      </w:pPr>
      <w:r>
        <w:rPr>
          <w:noProof/>
        </w:rPr>
        <w:sym w:font="Wingdings" w:char="F0A8"/>
      </w:r>
      <w:r>
        <w:rPr>
          <w:b/>
          <w:i/>
          <w:noProof/>
        </w:rPr>
        <w:t xml:space="preserve"> </w:t>
      </w:r>
      <w:r>
        <w:rPr>
          <w:b/>
          <w:noProof/>
        </w:rPr>
        <w:t xml:space="preserve">ограничен срок на действие </w:t>
      </w:r>
    </w:p>
    <w:p>
      <w:pPr>
        <w:rPr>
          <w:rFonts w:eastAsia="Times New Roman"/>
          <w:noProof/>
        </w:rPr>
      </w:pPr>
      <w:r>
        <w:rPr>
          <w:noProof/>
        </w:rPr>
        <w:sym w:font="Wingdings" w:char="F0A8"/>
      </w:r>
      <w:r>
        <w:rPr>
          <w:noProof/>
        </w:rPr>
        <w:tab/>
        <w:t xml:space="preserve">в сила от [ДД/ММ]ГГГГ до [ДД/ММ]ГГГГ </w:t>
      </w:r>
    </w:p>
    <w:p>
      <w:pPr>
        <w:rPr>
          <w:rFonts w:eastAsia="Times New Roman"/>
          <w:noProof/>
        </w:rPr>
      </w:pPr>
      <w:r>
        <w:rPr>
          <w:noProof/>
        </w:rPr>
        <w:sym w:font="Wingdings" w:char="F0A8"/>
      </w:r>
      <w:r>
        <w:rPr>
          <w:noProof/>
        </w:rPr>
        <w:tab/>
        <w:t xml:space="preserve">Финансово отражение от ГГГГ до ГГГГ за бюджетни кредити за поети задължения и от ГГГГ до ГГГГ за бюджетни кредити за плащания. </w:t>
      </w:r>
    </w:p>
    <w:p>
      <w:pPr>
        <w:ind w:left="850"/>
        <w:rPr>
          <w:noProof/>
        </w:rPr>
      </w:pPr>
      <w:r>
        <w:rPr>
          <w:noProof/>
        </w:rPr>
        <w:t>X</w:t>
      </w:r>
      <w:r>
        <w:rPr>
          <w:b/>
          <w:i/>
          <w:noProof/>
        </w:rPr>
        <w:t xml:space="preserve"> </w:t>
      </w:r>
      <w:r>
        <w:rPr>
          <w:b/>
          <w:noProof/>
        </w:rPr>
        <w:t>неограничен срок на действие</w:t>
      </w:r>
    </w:p>
    <w:p>
      <w:pPr>
        <w:rPr>
          <w:rFonts w:eastAsia="Times New Roman"/>
          <w:noProof/>
        </w:rPr>
      </w:pPr>
      <w:r>
        <w:rPr>
          <w:noProof/>
        </w:rPr>
        <w:t>Изпълнение с период на започване от 2021 г. нататък,</w:t>
      </w:r>
    </w:p>
    <w:p>
      <w:pPr>
        <w:rPr>
          <w:rFonts w:eastAsia="Times New Roman"/>
          <w:noProof/>
        </w:rPr>
      </w:pPr>
      <w:r>
        <w:rPr>
          <w:noProof/>
        </w:rPr>
        <w:t>последвано от функциониране с пълен капацитет.</w:t>
      </w:r>
    </w:p>
    <w:p>
      <w:pPr>
        <w:keepNext/>
        <w:outlineLvl w:val="1"/>
        <w:rPr>
          <w:rFonts w:eastAsiaTheme="majorEastAsia"/>
          <w:b/>
          <w:bCs/>
          <w:noProof/>
          <w:szCs w:val="26"/>
        </w:rPr>
      </w:pPr>
      <w:bookmarkStart w:id="25" w:name="_Toc514941981"/>
      <w:bookmarkStart w:id="26" w:name="_Toc40376070"/>
      <w:r>
        <w:rPr>
          <w:b/>
          <w:bCs/>
          <w:noProof/>
        </w:rPr>
        <w:t>Предвидени методи на управление</w:t>
      </w:r>
      <w:r>
        <w:rPr>
          <w:rStyle w:val="FootnoteReference"/>
          <w:noProof/>
        </w:rPr>
        <w:footnoteReference w:id="5"/>
      </w:r>
      <w:bookmarkEnd w:id="25"/>
      <w:bookmarkEnd w:id="26"/>
      <w:r>
        <w:rPr>
          <w:b/>
          <w:bCs/>
          <w:noProof/>
          <w:szCs w:val="26"/>
          <w:vertAlign w:val="superscript"/>
        </w:rPr>
        <w:t xml:space="preserve"> </w:t>
      </w:r>
    </w:p>
    <w:p>
      <w:pPr>
        <w:ind w:left="850"/>
        <w:rPr>
          <w:noProof/>
        </w:rPr>
      </w:pPr>
      <w:r>
        <w:rPr>
          <w:noProof/>
        </w:rPr>
        <w:t>X</w:t>
      </w:r>
      <w:r>
        <w:rPr>
          <w:i/>
          <w:noProof/>
        </w:rPr>
        <w:t xml:space="preserve"> </w:t>
      </w:r>
      <w:r>
        <w:rPr>
          <w:b/>
          <w:noProof/>
        </w:rPr>
        <w:t>Пряко управление</w:t>
      </w:r>
      <w:r>
        <w:rPr>
          <w:noProof/>
        </w:rPr>
        <w:t xml:space="preserve"> от Комисията</w:t>
      </w:r>
    </w:p>
    <w:p>
      <w:pPr>
        <w:rPr>
          <w:rFonts w:eastAsia="Times New Roman" w:cs="EUAlbertina"/>
          <w:noProof/>
        </w:rPr>
      </w:pPr>
      <w:r>
        <w:rPr>
          <w:noProof/>
        </w:rPr>
        <w:t xml:space="preserve">X посредством нейните отдели, включително от нейния персонал в делегациите на Съюза; </w:t>
      </w:r>
    </w:p>
    <w:p>
      <w:pPr>
        <w:rPr>
          <w:rFonts w:eastAsia="Times New Roman"/>
          <w:noProof/>
        </w:rPr>
      </w:pPr>
      <w:r>
        <w:rPr>
          <w:noProof/>
        </w:rPr>
        <w:t>X</w:t>
      </w:r>
      <w:r>
        <w:rPr>
          <w:noProof/>
        </w:rPr>
        <w:tab/>
        <w:t xml:space="preserve">от изпълнителните агенции </w:t>
      </w:r>
    </w:p>
    <w:p>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ind w:left="850"/>
        <w:rPr>
          <w:noProof/>
        </w:rPr>
      </w:pPr>
      <w:r>
        <w:rPr>
          <w:noProof/>
        </w:rPr>
        <w:t xml:space="preserve">X </w:t>
      </w:r>
      <w:r>
        <w:rPr>
          <w:b/>
          <w:noProof/>
        </w:rPr>
        <w:t>Непряко управление</w:t>
      </w:r>
      <w:r>
        <w:rPr>
          <w:noProof/>
        </w:rPr>
        <w:t xml:space="preserve"> чрез делегиране на задачи по изпълнението на бюджета на:</w:t>
      </w:r>
    </w:p>
    <w:p>
      <w:pPr>
        <w:rPr>
          <w:rFonts w:eastAsia="Times New Roman"/>
          <w:noProof/>
        </w:rPr>
      </w:pPr>
      <w:r>
        <w:rPr>
          <w:noProof/>
        </w:rPr>
        <w:t>X трети държави или на органите, определени от тях;</w:t>
      </w:r>
    </w:p>
    <w:p>
      <w:pPr>
        <w:rPr>
          <w:rFonts w:eastAsia="Times New Roman"/>
          <w:noProof/>
        </w:rPr>
      </w:pPr>
      <w:r>
        <w:rPr>
          <w:noProof/>
        </w:rPr>
        <w:t>X международни организации и техните агенции (да се уточни);</w:t>
      </w:r>
    </w:p>
    <w:p>
      <w:pPr>
        <w:rPr>
          <w:rFonts w:eastAsia="Times New Roman"/>
          <w:noProof/>
        </w:rPr>
      </w:pPr>
      <w:r>
        <w:rPr>
          <w:noProof/>
        </w:rPr>
        <w:t>X ЕИБ и Европейския инвестиционен фонд;</w:t>
      </w:r>
    </w:p>
    <w:p>
      <w:pPr>
        <w:rPr>
          <w:rFonts w:eastAsia="Times New Roman"/>
          <w:noProof/>
        </w:rPr>
      </w:pPr>
      <w:r>
        <w:rPr>
          <w:noProof/>
        </w:rPr>
        <w:t>X органите, посочени в членове 70 и 71 от Финансовия регламент;</w:t>
      </w:r>
    </w:p>
    <w:p>
      <w:pPr>
        <w:rPr>
          <w:rFonts w:eastAsia="Times New Roman"/>
          <w:noProof/>
        </w:rPr>
      </w:pPr>
      <w:r>
        <w:rPr>
          <w:noProof/>
        </w:rPr>
        <w:t>X публичноправни органи;</w:t>
      </w:r>
    </w:p>
    <w:p>
      <w:pPr>
        <w:rPr>
          <w:rFonts w:eastAsia="Times New Roman"/>
          <w:noProof/>
        </w:rPr>
      </w:pPr>
      <w:r>
        <w:rPr>
          <w:noProof/>
        </w:rPr>
        <w:t>X частноправни органи със задължение за обществена услуга, доколкото предоставят подходящи финансови гаранции;</w:t>
      </w:r>
    </w:p>
    <w:p>
      <w:pPr>
        <w:rPr>
          <w:rFonts w:eastAsia="Times New Roman"/>
          <w:noProof/>
        </w:rPr>
      </w:pPr>
      <w:r>
        <w:rPr>
          <w:noProof/>
        </w:rPr>
        <w:t>X частноправни органи в държава членка, на които е възложено осъществяването на публично-частно партньорство и които предоставят подходящи финансови гаранции;</w:t>
      </w:r>
    </w:p>
    <w:p>
      <w:pPr>
        <w:rPr>
          <w:rFonts w:eastAsia="Times New Roman"/>
          <w:noProof/>
        </w:rPr>
      </w:pPr>
      <w:r>
        <w:rPr>
          <w:noProof/>
        </w:rPr>
        <w:t>X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r>
        <w:rPr>
          <w:noProof/>
        </w:rPr>
        <w:t>Комисията може да реши да делегира част от изпълнението на програмата „Хоризонт Европа“ на изпълнителна агенция в съответствие с начина на управление, определен за дейностите, които ще бъдат засилени.</w:t>
      </w:r>
    </w:p>
    <w:p>
      <w:pPr>
        <w:rPr>
          <w:noProof/>
        </w:rPr>
      </w:pPr>
    </w:p>
    <w:p>
      <w:pPr>
        <w:rPr>
          <w:noProof/>
        </w:rPr>
        <w:sectPr>
          <w:pgSz w:w="11907" w:h="16840" w:code="9"/>
          <w:pgMar w:top="1134" w:right="1418" w:bottom="1134" w:left="1418" w:header="709" w:footer="709" w:gutter="0"/>
          <w:cols w:space="708"/>
          <w:docGrid w:linePitch="360"/>
        </w:sectPr>
      </w:pPr>
    </w:p>
    <w:p>
      <w:pPr>
        <w:keepNext/>
        <w:spacing w:before="360"/>
        <w:outlineLvl w:val="0"/>
        <w:rPr>
          <w:rFonts w:eastAsiaTheme="majorEastAsia"/>
          <w:b/>
          <w:smallCaps/>
          <w:noProof/>
          <w:szCs w:val="24"/>
        </w:rPr>
      </w:pPr>
      <w:bookmarkStart w:id="27" w:name="_Toc514941982"/>
      <w:bookmarkStart w:id="28" w:name="_Toc39837055"/>
      <w:bookmarkStart w:id="29" w:name="_Toc39839402"/>
      <w:bookmarkStart w:id="30" w:name="_Toc40376071"/>
      <w:r>
        <w:rPr>
          <w:b/>
          <w:bCs/>
          <w:smallCaps/>
          <w:noProof/>
          <w:szCs w:val="28"/>
        </w:rPr>
        <w:lastRenderedPageBreak/>
        <w:t>МЕРКИ ЗА УПРАВЛЕНИЕ</w:t>
      </w:r>
      <w:bookmarkEnd w:id="27"/>
      <w:bookmarkEnd w:id="28"/>
      <w:bookmarkEnd w:id="29"/>
      <w:bookmarkEnd w:id="30"/>
      <w:r>
        <w:rPr>
          <w:b/>
          <w:bCs/>
          <w:smallCaps/>
          <w:noProof/>
          <w:szCs w:val="28"/>
        </w:rPr>
        <w:t xml:space="preserve"> </w:t>
      </w:r>
    </w:p>
    <w:p>
      <w:pPr>
        <w:keepNext/>
        <w:outlineLvl w:val="1"/>
        <w:rPr>
          <w:rFonts w:eastAsiaTheme="majorEastAsia"/>
          <w:b/>
          <w:bCs/>
          <w:noProof/>
          <w:szCs w:val="26"/>
        </w:rPr>
      </w:pPr>
      <w:bookmarkStart w:id="31" w:name="_Toc514941983"/>
      <w:bookmarkStart w:id="32" w:name="_Toc39837056"/>
      <w:bookmarkStart w:id="33" w:name="_Toc39839403"/>
      <w:bookmarkStart w:id="34" w:name="_Toc40376072"/>
      <w:r>
        <w:rPr>
          <w:b/>
          <w:bCs/>
          <w:noProof/>
          <w:szCs w:val="26"/>
        </w:rPr>
        <w:t>Правила за мониторинг и докладване</w:t>
      </w:r>
      <w:bookmarkEnd w:id="31"/>
      <w:bookmarkEnd w:id="32"/>
      <w:bookmarkEnd w:id="33"/>
      <w:bookmarkEnd w:id="34"/>
      <w:r>
        <w:rPr>
          <w:b/>
          <w:bCs/>
          <w:noProof/>
          <w:szCs w:val="26"/>
        </w:rPr>
        <w:t xml:space="preserve"> </w:t>
      </w:r>
    </w:p>
    <w:p>
      <w:pPr>
        <w:ind w:left="850"/>
        <w:rPr>
          <w:i/>
          <w:noProof/>
          <w:sz w:val="20"/>
          <w:szCs w:val="20"/>
        </w:rPr>
      </w:pPr>
      <w:r>
        <w:rPr>
          <w:i/>
          <w:noProof/>
          <w:sz w:val="20"/>
          <w:szCs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color w:val="0000FF"/>
        </w:rPr>
        <w:t>Вж. законодателните финансови обосновки на предложенията на Комисията: COM(2018) 460 final, COM(2018) 435 final, COM(2018) 436 final, (COM(2018) 392) final</w:t>
      </w:r>
    </w:p>
    <w:p>
      <w:pPr>
        <w:keepNext/>
        <w:outlineLvl w:val="1"/>
        <w:rPr>
          <w:rFonts w:eastAsiaTheme="majorEastAsia"/>
          <w:b/>
          <w:noProof/>
          <w:szCs w:val="24"/>
        </w:rPr>
      </w:pPr>
      <w:bookmarkStart w:id="35" w:name="_Toc514941984"/>
      <w:bookmarkStart w:id="36" w:name="_Toc39837057"/>
      <w:bookmarkStart w:id="37" w:name="_Toc39839404"/>
      <w:bookmarkStart w:id="38" w:name="_Toc40376073"/>
      <w:r>
        <w:rPr>
          <w:b/>
          <w:bCs/>
          <w:noProof/>
          <w:szCs w:val="26"/>
        </w:rPr>
        <w:t>Системи за управление и контрол</w:t>
      </w:r>
      <w:bookmarkEnd w:id="35"/>
      <w:bookmarkEnd w:id="36"/>
      <w:bookmarkEnd w:id="37"/>
      <w:bookmarkEnd w:id="38"/>
      <w:r>
        <w:rPr>
          <w:b/>
          <w:bCs/>
          <w:noProof/>
          <w:szCs w:val="26"/>
        </w:rPr>
        <w:t xml:space="preserve"> </w:t>
      </w:r>
    </w:p>
    <w:p>
      <w:pPr>
        <w:pBdr>
          <w:top w:val="single" w:sz="4" w:space="1" w:color="auto"/>
          <w:left w:val="single" w:sz="4" w:space="4" w:color="auto"/>
          <w:bottom w:val="single" w:sz="4" w:space="1" w:color="auto"/>
          <w:right w:val="single" w:sz="4" w:space="4" w:color="auto"/>
        </w:pBdr>
        <w:ind w:left="850"/>
        <w:rPr>
          <w:noProof/>
          <w:color w:val="0000FF"/>
        </w:rPr>
      </w:pPr>
      <w:bookmarkStart w:id="39" w:name="_Toc514941985"/>
      <w:bookmarkStart w:id="40" w:name="_Toc39837058"/>
      <w:bookmarkStart w:id="41" w:name="_Toc39839405"/>
      <w:r>
        <w:rPr>
          <w:noProof/>
          <w:color w:val="0000FF"/>
        </w:rPr>
        <w:t>Вж. законодателните финансови обосновки на предложенията на Комисията: COM(2018) 460 final, COM(2018) 435 final, COM(2018) 436 final, (COM(2018) 392) final</w:t>
      </w:r>
    </w:p>
    <w:bookmarkEnd w:id="39"/>
    <w:bookmarkEnd w:id="40"/>
    <w:bookmarkEnd w:id="41"/>
    <w:p>
      <w:pPr>
        <w:pBdr>
          <w:top w:val="single" w:sz="4" w:space="1" w:color="auto"/>
          <w:left w:val="single" w:sz="4" w:space="4" w:color="auto"/>
          <w:bottom w:val="single" w:sz="4" w:space="1" w:color="auto"/>
          <w:right w:val="single" w:sz="4" w:space="4" w:color="auto"/>
        </w:pBdr>
        <w:ind w:left="850"/>
        <w:rPr>
          <w:noProof/>
        </w:rPr>
      </w:pPr>
    </w:p>
    <w:p>
      <w:pPr>
        <w:keepNext/>
        <w:outlineLvl w:val="1"/>
        <w:rPr>
          <w:rFonts w:eastAsiaTheme="majorEastAsia"/>
          <w:b/>
          <w:noProof/>
          <w:szCs w:val="24"/>
        </w:rPr>
      </w:pPr>
      <w:bookmarkStart w:id="42" w:name="_Toc514941988"/>
      <w:bookmarkStart w:id="43" w:name="_Toc39837061"/>
      <w:bookmarkStart w:id="44" w:name="_Toc39839408"/>
      <w:bookmarkStart w:id="45" w:name="_Toc40376074"/>
      <w:r>
        <w:rPr>
          <w:b/>
          <w:bCs/>
          <w:noProof/>
          <w:szCs w:val="26"/>
        </w:rPr>
        <w:t>Мерки за предотвратяване на измами и нередности</w:t>
      </w:r>
      <w:bookmarkEnd w:id="42"/>
      <w:bookmarkEnd w:id="43"/>
      <w:bookmarkEnd w:id="44"/>
      <w:bookmarkEnd w:id="45"/>
      <w:r>
        <w:rPr>
          <w:b/>
          <w:bCs/>
          <w:noProof/>
          <w:szCs w:val="26"/>
        </w:rPr>
        <w:t xml:space="preserve"> </w:t>
      </w:r>
    </w:p>
    <w:p>
      <w:pPr>
        <w:ind w:left="850"/>
        <w:rPr>
          <w:i/>
          <w:noProof/>
          <w:sz w:val="20"/>
          <w:szCs w:val="20"/>
        </w:rPr>
      </w:pPr>
      <w:r>
        <w:rPr>
          <w:i/>
          <w:noProof/>
          <w:sz w:val="20"/>
          <w:szCs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Вж. законодателните финансови обосновки на предложенията на Комисията: COM(2018) 460 final, COM(2018) 435 final, COM(2018) 436 final, (COM(2018) 392) final</w:t>
      </w:r>
    </w:p>
    <w:p>
      <w:pPr>
        <w:pBdr>
          <w:top w:val="single" w:sz="4" w:space="1" w:color="auto"/>
          <w:left w:val="single" w:sz="4" w:space="4" w:color="auto"/>
          <w:bottom w:val="single" w:sz="4" w:space="1" w:color="auto"/>
          <w:right w:val="single" w:sz="4" w:space="4" w:color="auto"/>
        </w:pBdr>
        <w:ind w:left="850"/>
        <w:rPr>
          <w:noProof/>
        </w:rPr>
      </w:pPr>
    </w:p>
    <w:p>
      <w:pPr>
        <w:keepNext/>
        <w:spacing w:before="360"/>
        <w:outlineLvl w:val="0"/>
        <w:rPr>
          <w:rFonts w:eastAsiaTheme="majorEastAsia"/>
          <w:b/>
          <w:smallCaps/>
          <w:noProof/>
          <w:szCs w:val="24"/>
        </w:rPr>
      </w:pPr>
      <w:r>
        <w:rPr>
          <w:b/>
          <w:bCs/>
          <w:smallCaps/>
          <w:noProof/>
          <w:color w:val="0000FF"/>
          <w:szCs w:val="28"/>
        </w:rPr>
        <w:t xml:space="preserve"> </w:t>
      </w:r>
      <w:bookmarkStart w:id="46" w:name="_Toc40374726"/>
      <w:bookmarkStart w:id="47" w:name="_Toc40374727"/>
      <w:bookmarkStart w:id="48" w:name="_Toc514941989"/>
      <w:bookmarkStart w:id="49" w:name="_Toc40376075"/>
      <w:bookmarkEnd w:id="46"/>
      <w:bookmarkEnd w:id="47"/>
      <w:r>
        <w:rPr>
          <w:b/>
          <w:bCs/>
          <w:smallCaps/>
          <w:noProof/>
          <w:szCs w:val="28"/>
        </w:rPr>
        <w:t>ОЧАКВАНО ФИНАНСОВО ОТРАЖЕНИЕ НА ПРЕДЛОЖЕНИЕТО/ИНИЦИАТИВАТА</w:t>
      </w:r>
      <w:bookmarkEnd w:id="48"/>
      <w:bookmarkEnd w:id="49"/>
      <w:r>
        <w:rPr>
          <w:b/>
          <w:bCs/>
          <w:smallCaps/>
          <w:noProof/>
          <w:szCs w:val="28"/>
        </w:rPr>
        <w:t xml:space="preserve"> </w:t>
      </w:r>
    </w:p>
    <w:p>
      <w:pPr>
        <w:keepNext/>
        <w:outlineLvl w:val="1"/>
        <w:rPr>
          <w:rFonts w:eastAsiaTheme="majorEastAsia"/>
          <w:b/>
          <w:bCs/>
          <w:noProof/>
          <w:szCs w:val="26"/>
        </w:rPr>
      </w:pPr>
      <w:bookmarkStart w:id="50" w:name="_Toc514941990"/>
      <w:bookmarkStart w:id="51" w:name="_Toc40376076"/>
      <w:r>
        <w:rPr>
          <w:b/>
          <w:bCs/>
          <w:noProof/>
          <w:szCs w:val="26"/>
        </w:rPr>
        <w:t>Функции от многогодишната финансова рамка и предложени нови разходни бюджетни редове</w:t>
      </w:r>
      <w:bookmarkEnd w:id="50"/>
      <w:bookmarkEnd w:id="51"/>
      <w:r>
        <w:rPr>
          <w:b/>
          <w:bCs/>
          <w:noProof/>
          <w:szCs w:val="26"/>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 на 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Align w:val="center"/>
          </w:tcPr>
          <w:p>
            <w:pPr>
              <w:jc w:val="center"/>
              <w:rPr>
                <w:noProof/>
              </w:rPr>
            </w:pPr>
          </w:p>
        </w:tc>
        <w:tc>
          <w:tcPr>
            <w:tcW w:w="3960" w:type="dxa"/>
            <w:vAlign w:val="center"/>
          </w:tcPr>
          <w:p>
            <w:pPr>
              <w:rPr>
                <w:b/>
                <w:noProof/>
                <w:sz w:val="20"/>
              </w:rPr>
            </w:pPr>
            <w:r>
              <w:rPr>
                <w:b/>
                <w:noProof/>
                <w:sz w:val="20"/>
              </w:rPr>
              <w:t>Функция 1 Единен пазар, иновации и цифрова сфера</w:t>
            </w:r>
          </w:p>
        </w:tc>
        <w:tc>
          <w:tcPr>
            <w:tcW w:w="1080" w:type="dxa"/>
            <w:vAlign w:val="center"/>
          </w:tcPr>
          <w:p>
            <w:pPr>
              <w:jc w:val="center"/>
              <w:rPr>
                <w:noProof/>
                <w:sz w:val="18"/>
              </w:rPr>
            </w:pPr>
            <w:r>
              <w:rPr>
                <w:noProof/>
                <w:sz w:val="18"/>
                <w:szCs w:val="18"/>
              </w:rPr>
              <w:t>Многогод./едногод.</w:t>
            </w:r>
            <w:r>
              <w:rPr>
                <w:rStyle w:val="FootnoteReference"/>
                <w:noProof/>
              </w:rPr>
              <w:footnoteReference w:id="6"/>
            </w:r>
            <w:r>
              <w:rPr>
                <w:noProof/>
              </w:rPr>
              <w:t>.</w:t>
            </w:r>
          </w:p>
        </w:tc>
        <w:tc>
          <w:tcPr>
            <w:tcW w:w="1044" w:type="dxa"/>
            <w:vAlign w:val="center"/>
          </w:tcPr>
          <w:p>
            <w:pPr>
              <w:jc w:val="center"/>
              <w:rPr>
                <w:noProof/>
              </w:rPr>
            </w:pPr>
            <w:r>
              <w:rPr>
                <w:noProof/>
                <w:sz w:val="18"/>
                <w:szCs w:val="18"/>
              </w:rPr>
              <w:t>от държави от ЕАСТ</w:t>
            </w:r>
            <w:r>
              <w:rPr>
                <w:rStyle w:val="FootnoteReference"/>
                <w:noProof/>
              </w:rPr>
              <w:footnoteReference w:id="7"/>
            </w:r>
          </w:p>
          <w:p>
            <w:pPr>
              <w:jc w:val="center"/>
              <w:rPr>
                <w:noProof/>
                <w:sz w:val="18"/>
              </w:rPr>
            </w:pPr>
          </w:p>
        </w:tc>
        <w:tc>
          <w:tcPr>
            <w:tcW w:w="1134" w:type="dxa"/>
            <w:vAlign w:val="center"/>
          </w:tcPr>
          <w:p>
            <w:pPr>
              <w:jc w:val="center"/>
              <w:rPr>
                <w:noProof/>
              </w:rPr>
            </w:pPr>
            <w:r>
              <w:rPr>
                <w:noProof/>
                <w:sz w:val="18"/>
                <w:szCs w:val="18"/>
              </w:rPr>
              <w:t>от държави кандидатки</w:t>
            </w:r>
            <w:r>
              <w:rPr>
                <w:rStyle w:val="FootnoteReference"/>
                <w:noProof/>
              </w:rPr>
              <w:footnoteReference w:id="8"/>
            </w:r>
          </w:p>
          <w:p>
            <w:pPr>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sz w:val="16"/>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 xml:space="preserve">01 01 01 01, 01 01 01 02, 01 01 01 03, 01 01 01 61, 01 01 01 62, 01 01 01 62, 01 01 01 63, 01 01 01 64 Разходи за подкрепа на „Хоризонт Европа“, включително вноски в изпълнителните </w:t>
            </w:r>
            <w:r>
              <w:rPr>
                <w:noProof/>
                <w:color w:val="0000FF"/>
                <w:sz w:val="22"/>
              </w:rPr>
              <w:lastRenderedPageBreak/>
              <w:t>агенции, изпълняващи програмата</w:t>
            </w:r>
          </w:p>
          <w:p>
            <w:pPr>
              <w:rPr>
                <w:noProof/>
                <w:sz w:val="20"/>
              </w:rPr>
            </w:pPr>
          </w:p>
        </w:tc>
        <w:tc>
          <w:tcPr>
            <w:tcW w:w="1080" w:type="dxa"/>
            <w:vAlign w:val="center"/>
          </w:tcPr>
          <w:p>
            <w:pPr>
              <w:jc w:val="center"/>
              <w:rPr>
                <w:noProof/>
                <w:sz w:val="22"/>
              </w:rPr>
            </w:pPr>
            <w:r>
              <w:rPr>
                <w:noProof/>
                <w:sz w:val="22"/>
              </w:rPr>
              <w:lastRenderedPageBreak/>
              <w:t>Едногод.</w:t>
            </w:r>
          </w:p>
        </w:tc>
        <w:tc>
          <w:tcPr>
            <w:tcW w:w="1044" w:type="dxa"/>
            <w:vAlign w:val="center"/>
          </w:tcPr>
          <w:p>
            <w:pPr>
              <w:jc w:val="center"/>
              <w:rPr>
                <w:noProof/>
                <w:sz w:val="18"/>
              </w:rPr>
            </w:pPr>
            <w:r>
              <w:rPr>
                <w:noProof/>
                <w:sz w:val="22"/>
              </w:rPr>
              <w:t>ДА</w:t>
            </w:r>
          </w:p>
        </w:tc>
        <w:tc>
          <w:tcPr>
            <w:tcW w:w="1134" w:type="dxa"/>
            <w:vAlign w:val="center"/>
          </w:tcPr>
          <w:p>
            <w:pPr>
              <w:jc w:val="center"/>
              <w:rPr>
                <w:noProof/>
                <w:sz w:val="18"/>
              </w:rPr>
            </w:pPr>
            <w:r>
              <w:rPr>
                <w:noProof/>
                <w:sz w:val="22"/>
              </w:rPr>
              <w:t>ДА</w:t>
            </w:r>
          </w:p>
        </w:tc>
        <w:tc>
          <w:tcPr>
            <w:tcW w:w="814" w:type="dxa"/>
            <w:vAlign w:val="center"/>
          </w:tcPr>
          <w:p>
            <w:pPr>
              <w:jc w:val="center"/>
              <w:rPr>
                <w:noProof/>
                <w:sz w:val="18"/>
              </w:rPr>
            </w:pPr>
            <w:r>
              <w:rPr>
                <w:noProof/>
                <w:sz w:val="22"/>
              </w:rPr>
              <w:t>ДА</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color w:val="0000FF"/>
              </w:rPr>
            </w:pPr>
            <w:r>
              <w:rPr>
                <w:noProof/>
                <w:color w:val="0000FF"/>
              </w:rPr>
              <w:lastRenderedPageBreak/>
              <w:t>1.</w:t>
            </w:r>
          </w:p>
        </w:tc>
        <w:tc>
          <w:tcPr>
            <w:tcW w:w="3960" w:type="dxa"/>
            <w:vAlign w:val="center"/>
          </w:tcPr>
          <w:p>
            <w:pPr>
              <w:spacing w:before="60"/>
              <w:rPr>
                <w:noProof/>
                <w:color w:val="0000FF"/>
                <w:sz w:val="22"/>
              </w:rPr>
            </w:pPr>
            <w:r>
              <w:rPr>
                <w:noProof/>
                <w:color w:val="0000FF"/>
                <w:sz w:val="22"/>
              </w:rPr>
              <w:t>01 02 02 10 клъстер „Здравеопазване“</w:t>
            </w:r>
          </w:p>
        </w:tc>
        <w:tc>
          <w:tcPr>
            <w:tcW w:w="1080" w:type="dxa"/>
            <w:vAlign w:val="center"/>
          </w:tcPr>
          <w:p>
            <w:pPr>
              <w:jc w:val="center"/>
              <w:rPr>
                <w:noProof/>
                <w:sz w:val="18"/>
              </w:rPr>
            </w:pPr>
            <w:r>
              <w:rPr>
                <w:noProof/>
                <w:sz w:val="22"/>
              </w:rPr>
              <w:t>Многогод.</w:t>
            </w:r>
          </w:p>
        </w:tc>
        <w:tc>
          <w:tcPr>
            <w:tcW w:w="1044" w:type="dxa"/>
            <w:vAlign w:val="center"/>
          </w:tcPr>
          <w:p>
            <w:pPr>
              <w:jc w:val="center"/>
              <w:rPr>
                <w:noProof/>
                <w:sz w:val="18"/>
              </w:rPr>
            </w:pPr>
            <w:r>
              <w:rPr>
                <w:noProof/>
                <w:sz w:val="22"/>
              </w:rPr>
              <w:t>ДА</w:t>
            </w:r>
          </w:p>
        </w:tc>
        <w:tc>
          <w:tcPr>
            <w:tcW w:w="1134" w:type="dxa"/>
            <w:vAlign w:val="center"/>
          </w:tcPr>
          <w:p>
            <w:pPr>
              <w:jc w:val="center"/>
              <w:rPr>
                <w:noProof/>
                <w:sz w:val="18"/>
              </w:rPr>
            </w:pPr>
            <w:r>
              <w:rPr>
                <w:noProof/>
                <w:sz w:val="22"/>
              </w:rPr>
              <w:t>ДА</w:t>
            </w:r>
          </w:p>
        </w:tc>
        <w:tc>
          <w:tcPr>
            <w:tcW w:w="814" w:type="dxa"/>
            <w:vAlign w:val="center"/>
          </w:tcPr>
          <w:p>
            <w:pPr>
              <w:jc w:val="center"/>
              <w:rPr>
                <w:noProof/>
                <w:sz w:val="18"/>
              </w:rPr>
            </w:pPr>
            <w:r>
              <w:rPr>
                <w:noProof/>
                <w:sz w:val="22"/>
              </w:rPr>
              <w:t>ДА</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40 клъстер „Цифрова сфера, промишленост и космическо пространство“</w:t>
            </w:r>
          </w:p>
        </w:tc>
        <w:tc>
          <w:tcPr>
            <w:tcW w:w="1080" w:type="dxa"/>
            <w:vAlign w:val="center"/>
          </w:tcPr>
          <w:p>
            <w:pPr>
              <w:jc w:val="center"/>
              <w:rPr>
                <w:noProof/>
                <w:sz w:val="18"/>
              </w:rPr>
            </w:pPr>
            <w:r>
              <w:rPr>
                <w:noProof/>
                <w:sz w:val="22"/>
              </w:rPr>
              <w:t>Многогод.</w:t>
            </w:r>
          </w:p>
        </w:tc>
        <w:tc>
          <w:tcPr>
            <w:tcW w:w="1044" w:type="dxa"/>
            <w:vAlign w:val="center"/>
          </w:tcPr>
          <w:p>
            <w:pPr>
              <w:jc w:val="center"/>
              <w:rPr>
                <w:noProof/>
                <w:sz w:val="18"/>
              </w:rPr>
            </w:pPr>
            <w:r>
              <w:rPr>
                <w:noProof/>
                <w:sz w:val="22"/>
              </w:rPr>
              <w:t>ДА</w:t>
            </w:r>
          </w:p>
        </w:tc>
        <w:tc>
          <w:tcPr>
            <w:tcW w:w="1134" w:type="dxa"/>
            <w:vAlign w:val="center"/>
          </w:tcPr>
          <w:p>
            <w:pPr>
              <w:jc w:val="center"/>
              <w:rPr>
                <w:noProof/>
                <w:sz w:val="18"/>
              </w:rPr>
            </w:pPr>
            <w:r>
              <w:rPr>
                <w:noProof/>
                <w:sz w:val="22"/>
              </w:rPr>
              <w:t>ДА</w:t>
            </w:r>
          </w:p>
        </w:tc>
        <w:tc>
          <w:tcPr>
            <w:tcW w:w="814" w:type="dxa"/>
            <w:vAlign w:val="center"/>
          </w:tcPr>
          <w:p>
            <w:pPr>
              <w:jc w:val="center"/>
              <w:rPr>
                <w:noProof/>
                <w:sz w:val="18"/>
              </w:rPr>
            </w:pPr>
            <w:r>
              <w:rPr>
                <w:noProof/>
                <w:sz w:val="22"/>
              </w:rPr>
              <w:t>ДА</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50 клъстер „Климат, енергия и мобилност“</w:t>
            </w:r>
          </w:p>
        </w:tc>
        <w:tc>
          <w:tcPr>
            <w:tcW w:w="1080" w:type="dxa"/>
            <w:vAlign w:val="center"/>
          </w:tcPr>
          <w:p>
            <w:pPr>
              <w:jc w:val="center"/>
              <w:rPr>
                <w:noProof/>
                <w:sz w:val="18"/>
              </w:rPr>
            </w:pPr>
            <w:r>
              <w:rPr>
                <w:noProof/>
                <w:sz w:val="22"/>
              </w:rPr>
              <w:t>Многогод.</w:t>
            </w:r>
          </w:p>
        </w:tc>
        <w:tc>
          <w:tcPr>
            <w:tcW w:w="1044" w:type="dxa"/>
            <w:vAlign w:val="center"/>
          </w:tcPr>
          <w:p>
            <w:pPr>
              <w:jc w:val="center"/>
              <w:rPr>
                <w:noProof/>
                <w:sz w:val="18"/>
              </w:rPr>
            </w:pPr>
            <w:r>
              <w:rPr>
                <w:noProof/>
                <w:sz w:val="22"/>
              </w:rPr>
              <w:t>ДА</w:t>
            </w:r>
          </w:p>
        </w:tc>
        <w:tc>
          <w:tcPr>
            <w:tcW w:w="1134" w:type="dxa"/>
            <w:vAlign w:val="center"/>
          </w:tcPr>
          <w:p>
            <w:pPr>
              <w:jc w:val="center"/>
              <w:rPr>
                <w:noProof/>
                <w:sz w:val="18"/>
              </w:rPr>
            </w:pPr>
            <w:r>
              <w:rPr>
                <w:noProof/>
                <w:sz w:val="22"/>
              </w:rPr>
              <w:t>ДА</w:t>
            </w:r>
          </w:p>
        </w:tc>
        <w:tc>
          <w:tcPr>
            <w:tcW w:w="814" w:type="dxa"/>
            <w:vAlign w:val="center"/>
          </w:tcPr>
          <w:p>
            <w:pPr>
              <w:jc w:val="center"/>
              <w:rPr>
                <w:noProof/>
                <w:sz w:val="18"/>
              </w:rPr>
            </w:pPr>
            <w:r>
              <w:rPr>
                <w:noProof/>
                <w:sz w:val="22"/>
              </w:rPr>
              <w:t>ДА</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03 01 Европейски съвет по иновациите</w:t>
            </w:r>
          </w:p>
        </w:tc>
        <w:tc>
          <w:tcPr>
            <w:tcW w:w="1080" w:type="dxa"/>
            <w:vAlign w:val="center"/>
          </w:tcPr>
          <w:p>
            <w:pPr>
              <w:jc w:val="center"/>
              <w:rPr>
                <w:noProof/>
                <w:sz w:val="18"/>
              </w:rPr>
            </w:pPr>
            <w:r>
              <w:rPr>
                <w:noProof/>
                <w:sz w:val="22"/>
              </w:rPr>
              <w:t>Многогод.</w:t>
            </w:r>
          </w:p>
        </w:tc>
        <w:tc>
          <w:tcPr>
            <w:tcW w:w="1044" w:type="dxa"/>
            <w:vAlign w:val="center"/>
          </w:tcPr>
          <w:p>
            <w:pPr>
              <w:jc w:val="center"/>
              <w:rPr>
                <w:noProof/>
                <w:sz w:val="18"/>
              </w:rPr>
            </w:pPr>
            <w:r>
              <w:rPr>
                <w:noProof/>
                <w:sz w:val="22"/>
              </w:rPr>
              <w:t>ДА</w:t>
            </w:r>
          </w:p>
        </w:tc>
        <w:tc>
          <w:tcPr>
            <w:tcW w:w="1134" w:type="dxa"/>
            <w:vAlign w:val="center"/>
          </w:tcPr>
          <w:p>
            <w:pPr>
              <w:jc w:val="center"/>
              <w:rPr>
                <w:noProof/>
                <w:sz w:val="18"/>
              </w:rPr>
            </w:pPr>
            <w:r>
              <w:rPr>
                <w:noProof/>
                <w:sz w:val="22"/>
              </w:rPr>
              <w:t>ДА</w:t>
            </w:r>
          </w:p>
        </w:tc>
        <w:tc>
          <w:tcPr>
            <w:tcW w:w="814" w:type="dxa"/>
            <w:vAlign w:val="center"/>
          </w:tcPr>
          <w:p>
            <w:pPr>
              <w:jc w:val="center"/>
              <w:rPr>
                <w:noProof/>
                <w:sz w:val="18"/>
              </w:rPr>
            </w:pPr>
            <w:r>
              <w:rPr>
                <w:noProof/>
                <w:sz w:val="22"/>
              </w:rPr>
              <w:t>ДА</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rPr>
            </w:pPr>
          </w:p>
        </w:tc>
        <w:tc>
          <w:tcPr>
            <w:tcW w:w="3960" w:type="dxa"/>
            <w:vAlign w:val="center"/>
          </w:tcPr>
          <w:p>
            <w:pPr>
              <w:rPr>
                <w:b/>
                <w:noProof/>
                <w:sz w:val="20"/>
                <w:szCs w:val="20"/>
              </w:rPr>
            </w:pPr>
            <w:r>
              <w:rPr>
                <w:b/>
                <w:noProof/>
                <w:sz w:val="20"/>
                <w:szCs w:val="20"/>
              </w:rPr>
              <w:t>Функция 3 Природни ресурси и околна среда</w:t>
            </w:r>
          </w:p>
        </w:tc>
        <w:tc>
          <w:tcPr>
            <w:tcW w:w="1080" w:type="dxa"/>
            <w:vAlign w:val="center"/>
          </w:tcPr>
          <w:p>
            <w:pPr>
              <w:jc w:val="center"/>
              <w:rPr>
                <w:noProof/>
                <w:sz w:val="18"/>
                <w:szCs w:val="18"/>
              </w:rPr>
            </w:pPr>
            <w:r>
              <w:rPr>
                <w:noProof/>
                <w:sz w:val="18"/>
                <w:szCs w:val="18"/>
              </w:rPr>
              <w:t>Многогод./едногод.</w:t>
            </w:r>
            <w:r>
              <w:rPr>
                <w:rStyle w:val="FootnoteReference"/>
                <w:noProof/>
              </w:rPr>
              <w:footnoteReference w:id="9"/>
            </w:r>
            <w:r>
              <w:rPr>
                <w:noProof/>
              </w:rPr>
              <w:t>.</w:t>
            </w:r>
          </w:p>
        </w:tc>
        <w:tc>
          <w:tcPr>
            <w:tcW w:w="1044" w:type="dxa"/>
            <w:vAlign w:val="center"/>
          </w:tcPr>
          <w:p>
            <w:pPr>
              <w:jc w:val="center"/>
              <w:rPr>
                <w:noProof/>
              </w:rPr>
            </w:pPr>
            <w:r>
              <w:rPr>
                <w:noProof/>
                <w:sz w:val="18"/>
                <w:szCs w:val="18"/>
              </w:rPr>
              <w:t>от държави от ЕАСТ</w:t>
            </w:r>
            <w:r>
              <w:rPr>
                <w:rStyle w:val="FootnoteReference"/>
                <w:noProof/>
              </w:rPr>
              <w:footnoteReference w:id="10"/>
            </w:r>
          </w:p>
          <w:p>
            <w:pPr>
              <w:jc w:val="center"/>
              <w:rPr>
                <w:noProof/>
                <w:sz w:val="18"/>
                <w:szCs w:val="18"/>
              </w:rPr>
            </w:pPr>
          </w:p>
        </w:tc>
        <w:tc>
          <w:tcPr>
            <w:tcW w:w="1134" w:type="dxa"/>
            <w:vAlign w:val="center"/>
          </w:tcPr>
          <w:p>
            <w:pPr>
              <w:jc w:val="center"/>
              <w:rPr>
                <w:noProof/>
              </w:rPr>
            </w:pPr>
            <w:r>
              <w:rPr>
                <w:noProof/>
                <w:sz w:val="18"/>
                <w:szCs w:val="18"/>
              </w:rPr>
              <w:t>от държави кандидатки</w:t>
            </w:r>
            <w:r>
              <w:rPr>
                <w:rStyle w:val="FootnoteReference"/>
                <w:noProof/>
              </w:rPr>
              <w:footnoteReference w:id="11"/>
            </w:r>
          </w:p>
          <w:p>
            <w:pPr>
              <w:jc w:val="center"/>
              <w:rPr>
                <w:noProof/>
                <w:sz w:val="18"/>
                <w:szCs w:val="18"/>
              </w:rPr>
            </w:pPr>
          </w:p>
        </w:tc>
        <w:tc>
          <w:tcPr>
            <w:tcW w:w="814" w:type="dxa"/>
            <w:vAlign w:val="center"/>
          </w:tcPr>
          <w:p>
            <w:pPr>
              <w:jc w:val="center"/>
              <w:rPr>
                <w:noProof/>
                <w:sz w:val="18"/>
                <w:szCs w:val="18"/>
              </w:rPr>
            </w:pPr>
            <w:r>
              <w:rPr>
                <w:noProof/>
                <w:sz w:val="18"/>
                <w:szCs w:val="18"/>
              </w:rPr>
              <w:t>от трети държави</w:t>
            </w:r>
          </w:p>
        </w:tc>
        <w:tc>
          <w:tcPr>
            <w:tcW w:w="1448" w:type="dxa"/>
            <w:vAlign w:val="center"/>
          </w:tcPr>
          <w:p>
            <w:pPr>
              <w:jc w:val="center"/>
              <w:rPr>
                <w:noProof/>
                <w:sz w:val="16"/>
                <w:szCs w:val="16"/>
              </w:rPr>
            </w:pPr>
            <w:r>
              <w:rPr>
                <w:noProof/>
                <w:sz w:val="16"/>
                <w:szCs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01 02 Разходи за подкрепа на Европейския земеделски фонд за развитие на селските райони (ЕЗФРСР).</w:t>
            </w:r>
          </w:p>
        </w:tc>
        <w:tc>
          <w:tcPr>
            <w:tcW w:w="1080" w:type="dxa"/>
            <w:vAlign w:val="center"/>
          </w:tcPr>
          <w:p>
            <w:pPr>
              <w:jc w:val="center"/>
              <w:rPr>
                <w:noProof/>
                <w:sz w:val="18"/>
                <w:szCs w:val="18"/>
              </w:rPr>
            </w:pPr>
            <w:r>
              <w:rPr>
                <w:noProof/>
                <w:sz w:val="22"/>
              </w:rPr>
              <w:t>Едногод.</w:t>
            </w:r>
          </w:p>
        </w:tc>
        <w:tc>
          <w:tcPr>
            <w:tcW w:w="1044" w:type="dxa"/>
            <w:vAlign w:val="center"/>
          </w:tcPr>
          <w:p>
            <w:pPr>
              <w:jc w:val="center"/>
              <w:rPr>
                <w:noProof/>
                <w:sz w:val="18"/>
                <w:szCs w:val="18"/>
              </w:rPr>
            </w:pPr>
            <w:r>
              <w:rPr>
                <w:noProof/>
                <w:sz w:val="22"/>
              </w:rPr>
              <w:t>НЕ</w:t>
            </w:r>
          </w:p>
        </w:tc>
        <w:tc>
          <w:tcPr>
            <w:tcW w:w="1134" w:type="dxa"/>
            <w:vAlign w:val="center"/>
          </w:tcPr>
          <w:p>
            <w:pPr>
              <w:jc w:val="center"/>
              <w:rPr>
                <w:noProof/>
                <w:sz w:val="18"/>
                <w:szCs w:val="18"/>
              </w:rPr>
            </w:pPr>
            <w:r>
              <w:rPr>
                <w:noProof/>
                <w:sz w:val="22"/>
              </w:rPr>
              <w:t>НЕ</w:t>
            </w:r>
          </w:p>
        </w:tc>
        <w:tc>
          <w:tcPr>
            <w:tcW w:w="814" w:type="dxa"/>
            <w:vAlign w:val="center"/>
          </w:tcPr>
          <w:p>
            <w:pPr>
              <w:jc w:val="center"/>
              <w:rPr>
                <w:noProof/>
                <w:sz w:val="18"/>
                <w:szCs w:val="18"/>
              </w:rPr>
            </w:pPr>
            <w:r>
              <w:rPr>
                <w:noProof/>
                <w:sz w:val="22"/>
              </w:rPr>
              <w:t>НЕ</w:t>
            </w:r>
          </w:p>
        </w:tc>
        <w:tc>
          <w:tcPr>
            <w:tcW w:w="1448" w:type="dxa"/>
            <w:vAlign w:val="center"/>
          </w:tcPr>
          <w:p>
            <w:pPr>
              <w:jc w:val="center"/>
              <w:rPr>
                <w:noProof/>
                <w:sz w:val="16"/>
                <w:szCs w:val="16"/>
              </w:rPr>
            </w:pPr>
            <w:r>
              <w:rPr>
                <w:noProof/>
                <w:sz w:val="22"/>
              </w:rPr>
              <w:t>НЕ</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 xml:space="preserve">08 03 01 03 Интервенции от вида развитие на селските райони в рамките на стратегическите планове по ОСП, финансирани от ИЕСВ  </w:t>
            </w:r>
          </w:p>
        </w:tc>
        <w:tc>
          <w:tcPr>
            <w:tcW w:w="1080" w:type="dxa"/>
            <w:vAlign w:val="center"/>
          </w:tcPr>
          <w:p>
            <w:pPr>
              <w:jc w:val="center"/>
              <w:rPr>
                <w:noProof/>
                <w:sz w:val="18"/>
                <w:szCs w:val="18"/>
              </w:rPr>
            </w:pPr>
            <w:r>
              <w:rPr>
                <w:noProof/>
                <w:sz w:val="22"/>
              </w:rPr>
              <w:t>Многогод.</w:t>
            </w:r>
          </w:p>
        </w:tc>
        <w:tc>
          <w:tcPr>
            <w:tcW w:w="1044" w:type="dxa"/>
            <w:vAlign w:val="center"/>
          </w:tcPr>
          <w:p>
            <w:pPr>
              <w:jc w:val="center"/>
              <w:rPr>
                <w:noProof/>
                <w:sz w:val="18"/>
                <w:szCs w:val="18"/>
              </w:rPr>
            </w:pPr>
            <w:r>
              <w:rPr>
                <w:noProof/>
                <w:sz w:val="22"/>
              </w:rPr>
              <w:t>Не</w:t>
            </w:r>
          </w:p>
        </w:tc>
        <w:tc>
          <w:tcPr>
            <w:tcW w:w="1134" w:type="dxa"/>
            <w:vAlign w:val="center"/>
          </w:tcPr>
          <w:p>
            <w:pPr>
              <w:jc w:val="center"/>
              <w:rPr>
                <w:noProof/>
                <w:sz w:val="18"/>
                <w:szCs w:val="18"/>
              </w:rPr>
            </w:pPr>
            <w:r>
              <w:rPr>
                <w:noProof/>
                <w:sz w:val="22"/>
              </w:rPr>
              <w:t>Не</w:t>
            </w:r>
          </w:p>
        </w:tc>
        <w:tc>
          <w:tcPr>
            <w:tcW w:w="814" w:type="dxa"/>
            <w:vAlign w:val="center"/>
          </w:tcPr>
          <w:p>
            <w:pPr>
              <w:jc w:val="center"/>
              <w:rPr>
                <w:noProof/>
                <w:sz w:val="18"/>
                <w:szCs w:val="18"/>
              </w:rPr>
            </w:pPr>
            <w:r>
              <w:rPr>
                <w:noProof/>
                <w:sz w:val="22"/>
              </w:rPr>
              <w:t>Не</w:t>
            </w:r>
          </w:p>
        </w:tc>
        <w:tc>
          <w:tcPr>
            <w:tcW w:w="1448" w:type="dxa"/>
            <w:vAlign w:val="center"/>
          </w:tcPr>
          <w:p>
            <w:pPr>
              <w:jc w:val="center"/>
              <w:rPr>
                <w:noProof/>
                <w:sz w:val="16"/>
                <w:szCs w:val="16"/>
              </w:rPr>
            </w:pPr>
            <w:r>
              <w:rPr>
                <w:noProof/>
                <w:sz w:val="22"/>
              </w:rPr>
              <w:t>НЕ</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03 02 ЕЗФРСР – Оперативна техническа помощ</w:t>
            </w:r>
          </w:p>
        </w:tc>
        <w:tc>
          <w:tcPr>
            <w:tcW w:w="1080" w:type="dxa"/>
            <w:vAlign w:val="center"/>
          </w:tcPr>
          <w:p>
            <w:pPr>
              <w:jc w:val="center"/>
              <w:rPr>
                <w:noProof/>
                <w:sz w:val="22"/>
              </w:rPr>
            </w:pPr>
            <w:r>
              <w:rPr>
                <w:noProof/>
                <w:sz w:val="22"/>
              </w:rPr>
              <w:t>Многогод.</w:t>
            </w:r>
          </w:p>
        </w:tc>
        <w:tc>
          <w:tcPr>
            <w:tcW w:w="1044" w:type="dxa"/>
            <w:vAlign w:val="center"/>
          </w:tcPr>
          <w:p>
            <w:pPr>
              <w:jc w:val="center"/>
              <w:rPr>
                <w:noProof/>
                <w:sz w:val="22"/>
              </w:rPr>
            </w:pPr>
            <w:r>
              <w:rPr>
                <w:noProof/>
                <w:sz w:val="22"/>
              </w:rPr>
              <w:t>Не</w:t>
            </w:r>
          </w:p>
        </w:tc>
        <w:tc>
          <w:tcPr>
            <w:tcW w:w="1134" w:type="dxa"/>
            <w:vAlign w:val="center"/>
          </w:tcPr>
          <w:p>
            <w:pPr>
              <w:jc w:val="center"/>
              <w:rPr>
                <w:noProof/>
                <w:sz w:val="22"/>
              </w:rPr>
            </w:pPr>
            <w:r>
              <w:rPr>
                <w:noProof/>
                <w:sz w:val="22"/>
              </w:rPr>
              <w:t>Не</w:t>
            </w:r>
          </w:p>
        </w:tc>
        <w:tc>
          <w:tcPr>
            <w:tcW w:w="814"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rPr>
            </w:pPr>
          </w:p>
        </w:tc>
        <w:tc>
          <w:tcPr>
            <w:tcW w:w="3960" w:type="dxa"/>
            <w:vAlign w:val="center"/>
          </w:tcPr>
          <w:p>
            <w:pPr>
              <w:rPr>
                <w:b/>
                <w:noProof/>
              </w:rPr>
            </w:pPr>
            <w:r>
              <w:rPr>
                <w:b/>
                <w:noProof/>
                <w:sz w:val="20"/>
              </w:rPr>
              <w:t>Функция 6 Съседните региони и светът</w:t>
            </w:r>
          </w:p>
        </w:tc>
        <w:tc>
          <w:tcPr>
            <w:tcW w:w="1080" w:type="dxa"/>
            <w:vAlign w:val="center"/>
          </w:tcPr>
          <w:p>
            <w:pPr>
              <w:jc w:val="center"/>
              <w:rPr>
                <w:noProof/>
              </w:rPr>
            </w:pPr>
            <w:r>
              <w:rPr>
                <w:noProof/>
                <w:sz w:val="18"/>
                <w:szCs w:val="18"/>
              </w:rPr>
              <w:t>Многогод./едногод.</w:t>
            </w:r>
            <w:r>
              <w:rPr>
                <w:rStyle w:val="FootnoteReference"/>
                <w:noProof/>
              </w:rPr>
              <w:footnoteReference w:id="12"/>
            </w:r>
            <w:r>
              <w:rPr>
                <w:noProof/>
              </w:rPr>
              <w:t>.</w:t>
            </w:r>
          </w:p>
        </w:tc>
        <w:tc>
          <w:tcPr>
            <w:tcW w:w="1044" w:type="dxa"/>
            <w:vAlign w:val="center"/>
          </w:tcPr>
          <w:p>
            <w:pPr>
              <w:jc w:val="center"/>
              <w:rPr>
                <w:noProof/>
              </w:rPr>
            </w:pPr>
            <w:r>
              <w:rPr>
                <w:noProof/>
                <w:sz w:val="18"/>
                <w:szCs w:val="18"/>
              </w:rPr>
              <w:t>от държави от ЕАСТ</w:t>
            </w:r>
            <w:r>
              <w:rPr>
                <w:rStyle w:val="FootnoteReference"/>
                <w:noProof/>
              </w:rPr>
              <w:footnoteReference w:id="13"/>
            </w:r>
          </w:p>
          <w:p>
            <w:pPr>
              <w:spacing w:before="0" w:after="0"/>
              <w:jc w:val="center"/>
              <w:rPr>
                <w:b/>
                <w:noProof/>
                <w:sz w:val="18"/>
              </w:rPr>
            </w:pPr>
          </w:p>
        </w:tc>
        <w:tc>
          <w:tcPr>
            <w:tcW w:w="1134" w:type="dxa"/>
            <w:vAlign w:val="center"/>
          </w:tcPr>
          <w:p>
            <w:pPr>
              <w:jc w:val="center"/>
              <w:rPr>
                <w:noProof/>
              </w:rPr>
            </w:pPr>
            <w:r>
              <w:rPr>
                <w:noProof/>
                <w:sz w:val="18"/>
                <w:szCs w:val="18"/>
              </w:rPr>
              <w:t>от държави кандидатки</w:t>
            </w:r>
            <w:r>
              <w:rPr>
                <w:rStyle w:val="FootnoteReference"/>
                <w:noProof/>
              </w:rPr>
              <w:footnoteReference w:id="14"/>
            </w:r>
          </w:p>
          <w:p>
            <w:pPr>
              <w:spacing w:before="0" w:after="0"/>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01 01 Разходи за подкрепа за Инструмента за съседство, сътрудничество за развитие и международно сътрудничество</w:t>
            </w:r>
          </w:p>
          <w:p>
            <w:pPr>
              <w:spacing w:after="60"/>
              <w:rPr>
                <w:noProof/>
              </w:rPr>
            </w:pPr>
          </w:p>
        </w:tc>
        <w:tc>
          <w:tcPr>
            <w:tcW w:w="1080" w:type="dxa"/>
            <w:vAlign w:val="center"/>
          </w:tcPr>
          <w:p>
            <w:pPr>
              <w:jc w:val="center"/>
              <w:rPr>
                <w:noProof/>
                <w:color w:val="0000FF"/>
              </w:rPr>
            </w:pPr>
            <w:r>
              <w:rPr>
                <w:noProof/>
                <w:sz w:val="22"/>
              </w:rPr>
              <w:t>Едногод.</w:t>
            </w:r>
          </w:p>
        </w:tc>
        <w:tc>
          <w:tcPr>
            <w:tcW w:w="1044" w:type="dxa"/>
            <w:vAlign w:val="center"/>
          </w:tcPr>
          <w:p>
            <w:pPr>
              <w:jc w:val="center"/>
              <w:rPr>
                <w:noProof/>
              </w:rPr>
            </w:pPr>
            <w:r>
              <w:rPr>
                <w:noProof/>
                <w:sz w:val="22"/>
              </w:rPr>
              <w:t>НЕ</w:t>
            </w:r>
          </w:p>
        </w:tc>
        <w:tc>
          <w:tcPr>
            <w:tcW w:w="1134" w:type="dxa"/>
            <w:vAlign w:val="center"/>
          </w:tcPr>
          <w:p>
            <w:pPr>
              <w:jc w:val="center"/>
              <w:rPr>
                <w:noProof/>
              </w:rPr>
            </w:pPr>
            <w:r>
              <w:rPr>
                <w:noProof/>
                <w:sz w:val="22"/>
              </w:rPr>
              <w:t>НЕ</w:t>
            </w:r>
          </w:p>
        </w:tc>
        <w:tc>
          <w:tcPr>
            <w:tcW w:w="814"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02 01 07 Обезпечаване на Гаранцията за външна дейност от ИЕСВ</w:t>
            </w:r>
          </w:p>
        </w:tc>
        <w:tc>
          <w:tcPr>
            <w:tcW w:w="1080" w:type="dxa"/>
            <w:vAlign w:val="center"/>
          </w:tcPr>
          <w:p>
            <w:pPr>
              <w:jc w:val="center"/>
              <w:rPr>
                <w:noProof/>
                <w:sz w:val="22"/>
              </w:rPr>
            </w:pPr>
            <w:r>
              <w:rPr>
                <w:noProof/>
                <w:sz w:val="22"/>
              </w:rPr>
              <w:t>Многогод.</w:t>
            </w:r>
          </w:p>
        </w:tc>
        <w:tc>
          <w:tcPr>
            <w:tcW w:w="1044" w:type="dxa"/>
            <w:vAlign w:val="center"/>
          </w:tcPr>
          <w:p>
            <w:pPr>
              <w:jc w:val="center"/>
              <w:rPr>
                <w:noProof/>
                <w:sz w:val="22"/>
              </w:rPr>
            </w:pPr>
            <w:r>
              <w:rPr>
                <w:noProof/>
                <w:sz w:val="22"/>
              </w:rPr>
              <w:t>ДА</w:t>
            </w:r>
          </w:p>
        </w:tc>
        <w:tc>
          <w:tcPr>
            <w:tcW w:w="1134" w:type="dxa"/>
            <w:vAlign w:val="center"/>
          </w:tcPr>
          <w:p>
            <w:pPr>
              <w:jc w:val="center"/>
              <w:rPr>
                <w:noProof/>
                <w:sz w:val="22"/>
              </w:rPr>
            </w:pPr>
            <w:r>
              <w:rPr>
                <w:noProof/>
                <w:sz w:val="22"/>
              </w:rPr>
              <w:t>ДА</w:t>
            </w:r>
          </w:p>
        </w:tc>
        <w:tc>
          <w:tcPr>
            <w:tcW w:w="814" w:type="dxa"/>
            <w:vAlign w:val="center"/>
          </w:tcPr>
          <w:p>
            <w:pPr>
              <w:jc w:val="center"/>
              <w:rPr>
                <w:noProof/>
                <w:sz w:val="22"/>
              </w:rPr>
            </w:pPr>
            <w:r>
              <w:rPr>
                <w:noProof/>
                <w:sz w:val="22"/>
              </w:rPr>
              <w:t>ДА</w:t>
            </w:r>
          </w:p>
        </w:tc>
        <w:tc>
          <w:tcPr>
            <w:tcW w:w="1448" w:type="dxa"/>
            <w:vAlign w:val="center"/>
          </w:tcPr>
          <w:p>
            <w:pPr>
              <w:jc w:val="center"/>
              <w:rPr>
                <w:noProof/>
                <w:sz w:val="22"/>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keepNext/>
        <w:outlineLvl w:val="1"/>
        <w:rPr>
          <w:rFonts w:eastAsiaTheme="majorEastAsia"/>
          <w:b/>
          <w:noProof/>
          <w:szCs w:val="24"/>
        </w:rPr>
      </w:pPr>
      <w:bookmarkStart w:id="52" w:name="_Toc514941991"/>
      <w:bookmarkStart w:id="53" w:name="_Toc40376077"/>
      <w:r>
        <w:rPr>
          <w:b/>
          <w:bCs/>
          <w:noProof/>
          <w:szCs w:val="26"/>
        </w:rPr>
        <w:lastRenderedPageBreak/>
        <w:t>Очаквано отражение върху разходите</w:t>
      </w:r>
      <w:bookmarkEnd w:id="52"/>
      <w:bookmarkEnd w:id="53"/>
      <w:r>
        <w:rPr>
          <w:b/>
          <w:bCs/>
          <w:noProof/>
          <w:szCs w:val="26"/>
        </w:rPr>
        <w:t xml:space="preserve"> </w:t>
      </w:r>
    </w:p>
    <w:p>
      <w:pPr>
        <w:keepNext/>
        <w:outlineLvl w:val="2"/>
        <w:rPr>
          <w:rFonts w:eastAsiaTheme="majorEastAsia"/>
          <w:bCs/>
          <w:i/>
          <w:noProof/>
          <w:u w:val="single"/>
        </w:rPr>
      </w:pPr>
      <w:bookmarkStart w:id="54" w:name="_Toc514941992"/>
      <w:bookmarkStart w:id="55" w:name="_Toc40376078"/>
      <w:r>
        <w:rPr>
          <w:bCs/>
          <w:i/>
          <w:noProof/>
        </w:rPr>
        <w:t>Обобщение на очакваното отражение върху разходите</w:t>
      </w:r>
      <w:bookmarkEnd w:id="54"/>
      <w:bookmarkEnd w:id="55"/>
      <w:r>
        <w:rPr>
          <w:bCs/>
          <w:i/>
          <w:noProof/>
        </w:rPr>
        <w:t xml:space="preserve"> </w:t>
      </w:r>
    </w:p>
    <w:p>
      <w:pPr>
        <w:jc w:val="right"/>
        <w:rPr>
          <w:noProof/>
          <w:sz w:val="20"/>
        </w:rPr>
      </w:pPr>
      <w:r>
        <w:rPr>
          <w:noProof/>
          <w:sz w:val="20"/>
        </w:rPr>
        <w:t>млн. EUR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b/>
                <w:noProof/>
                <w:sz w:val="22"/>
              </w:rPr>
              <w:t xml:space="preserve">Функция от многогодишната финансова </w:t>
            </w:r>
            <w:r>
              <w:rPr>
                <w:noProof/>
              </w:rPr>
              <w:t xml:space="preserve"> </w:t>
            </w:r>
            <w:r>
              <w:rPr>
                <w:noProof/>
              </w:rPr>
              <w:br/>
            </w:r>
            <w:r>
              <w:rPr>
                <w:b/>
                <w:noProof/>
                <w:sz w:val="22"/>
              </w:rPr>
              <w:t xml:space="preserve">рамка </w:t>
            </w:r>
          </w:p>
        </w:tc>
        <w:tc>
          <w:tcPr>
            <w:tcW w:w="1080" w:type="dxa"/>
            <w:vAlign w:val="center"/>
          </w:tcPr>
          <w:p>
            <w:pPr>
              <w:spacing w:before="60" w:after="60"/>
              <w:jc w:val="center"/>
              <w:rPr>
                <w:noProof/>
              </w:rPr>
            </w:pPr>
            <w:r>
              <w:rPr>
                <w:b/>
                <w:noProof/>
                <w:sz w:val="22"/>
              </w:rPr>
              <w:t>&lt; 1, 3 &amp; 6 &gt;</w:t>
            </w:r>
          </w:p>
        </w:tc>
        <w:tc>
          <w:tcPr>
            <w:tcW w:w="7817" w:type="dxa"/>
            <w:vAlign w:val="center"/>
          </w:tcPr>
          <w:p>
            <w:pPr>
              <w:spacing w:before="60" w:after="60"/>
              <w:jc w:val="left"/>
              <w:rPr>
                <w:noProof/>
              </w:rPr>
            </w:pPr>
            <w:r>
              <w:rPr>
                <w:noProof/>
                <w:color w:val="0000FF"/>
                <w:sz w:val="22"/>
              </w:rPr>
              <w:t xml:space="preserve"> </w:t>
            </w:r>
            <w:r>
              <w:rPr>
                <w:noProof/>
                <w:sz w:val="22"/>
              </w:rPr>
              <w:t>[Функция 1 — Единен пазар, иновации и цифрова сфера, Функция 3 — Природни ресурси и околна среда, Функция 6 — Съседните региони и светът]</w:t>
            </w:r>
          </w:p>
        </w:tc>
      </w:tr>
    </w:tbl>
    <w:p>
      <w:pPr>
        <w:rPr>
          <w:i/>
          <w:iCs/>
          <w:noProof/>
        </w:rPr>
      </w:pPr>
    </w:p>
    <w:p>
      <w:pPr>
        <w:rPr>
          <w:i/>
          <w:noProof/>
        </w:rPr>
      </w:pPr>
      <w:r>
        <w:rPr>
          <w:i/>
          <w:noProof/>
        </w:rPr>
        <w:t>В допълнение към финансовия пакет, определен в член 9 от предложения Регламент COM (2018) 435 (Регламент за Рамковата програма „Хоризонт Европа“) и член 4 от предложеното Решение относно специфичната програма за „Хоризонт Европа“, 14 647 милиона евро (по текущи цени) ще бъдат на разположение като външни целеви приходи по смисъла на член 21, параграф 5 от Финансовия регламент като финансиране от Инструмента на Европейския съюз за възстановяване.</w:t>
      </w:r>
      <w:r>
        <w:rPr>
          <w:i/>
          <w:iCs/>
          <w:noProof/>
        </w:rPr>
        <w:t xml:space="preserve"> От тях до 689,160 милиона евро могат да бъдат предназначени за административни разходи, включително разходи за външен персонал.</w:t>
      </w:r>
    </w:p>
    <w:p>
      <w:pPr>
        <w:rPr>
          <w:i/>
          <w:noProof/>
        </w:rPr>
      </w:pPr>
      <w:r>
        <w:rPr>
          <w:i/>
          <w:noProof/>
        </w:rPr>
        <w:t>Индикативната разбивка на разходите от външни целеви приходи е както следва:</w:t>
      </w:r>
    </w:p>
    <w:p>
      <w:pPr>
        <w:rPr>
          <w:i/>
          <w:noProof/>
        </w:rPr>
      </w:pPr>
    </w:p>
    <w:p>
      <w:pPr>
        <w:rPr>
          <w:i/>
          <w:noProof/>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88"/>
        <w:gridCol w:w="540"/>
        <w:gridCol w:w="1049"/>
        <w:gridCol w:w="990"/>
        <w:gridCol w:w="990"/>
        <w:gridCol w:w="976"/>
        <w:gridCol w:w="1004"/>
        <w:gridCol w:w="990"/>
        <w:gridCol w:w="990"/>
        <w:gridCol w:w="1033"/>
        <w:gridCol w:w="1127"/>
      </w:tblGrid>
      <w:tr>
        <w:tc>
          <w:tcPr>
            <w:tcW w:w="3510" w:type="dxa"/>
            <w:vAlign w:val="center"/>
          </w:tcPr>
          <w:p>
            <w:pPr>
              <w:jc w:val="center"/>
              <w:rPr>
                <w:noProof/>
              </w:rPr>
            </w:pPr>
            <w:r>
              <w:rPr>
                <w:noProof/>
                <w:sz w:val="22"/>
              </w:rPr>
              <w:t>[„Хоризонт Европа“]</w:t>
            </w:r>
          </w:p>
        </w:tc>
        <w:tc>
          <w:tcPr>
            <w:tcW w:w="1388" w:type="dxa"/>
          </w:tcPr>
          <w:p>
            <w:pPr>
              <w:rPr>
                <w:noProof/>
                <w:sz w:val="20"/>
              </w:rPr>
            </w:pPr>
          </w:p>
        </w:tc>
        <w:tc>
          <w:tcPr>
            <w:tcW w:w="540" w:type="dxa"/>
          </w:tcPr>
          <w:p>
            <w:pPr>
              <w:jc w:val="center"/>
              <w:rPr>
                <w:noProof/>
                <w:sz w:val="20"/>
              </w:rPr>
            </w:pPr>
          </w:p>
        </w:tc>
        <w:tc>
          <w:tcPr>
            <w:tcW w:w="1049" w:type="dxa"/>
            <w:vAlign w:val="center"/>
          </w:tcPr>
          <w:p>
            <w:pPr>
              <w:jc w:val="center"/>
              <w:rPr>
                <w:noProof/>
                <w:sz w:val="20"/>
              </w:rPr>
            </w:pPr>
            <w:r>
              <w:rPr>
                <w:b/>
                <w:noProof/>
                <w:sz w:val="20"/>
              </w:rPr>
              <w:t>2021 г.</w:t>
            </w:r>
          </w:p>
        </w:tc>
        <w:tc>
          <w:tcPr>
            <w:tcW w:w="990" w:type="dxa"/>
            <w:vAlign w:val="center"/>
          </w:tcPr>
          <w:p>
            <w:pPr>
              <w:jc w:val="center"/>
              <w:rPr>
                <w:noProof/>
                <w:sz w:val="20"/>
              </w:rPr>
            </w:pPr>
            <w:r>
              <w:rPr>
                <w:b/>
                <w:noProof/>
                <w:sz w:val="20"/>
              </w:rPr>
              <w:t>2022 г.</w:t>
            </w:r>
          </w:p>
        </w:tc>
        <w:tc>
          <w:tcPr>
            <w:tcW w:w="990" w:type="dxa"/>
            <w:vAlign w:val="center"/>
          </w:tcPr>
          <w:p>
            <w:pPr>
              <w:jc w:val="center"/>
              <w:rPr>
                <w:noProof/>
                <w:sz w:val="20"/>
              </w:rPr>
            </w:pPr>
            <w:r>
              <w:rPr>
                <w:b/>
                <w:noProof/>
                <w:sz w:val="20"/>
              </w:rPr>
              <w:t>2023 г.</w:t>
            </w:r>
          </w:p>
        </w:tc>
        <w:tc>
          <w:tcPr>
            <w:tcW w:w="976" w:type="dxa"/>
            <w:vAlign w:val="center"/>
          </w:tcPr>
          <w:p>
            <w:pPr>
              <w:jc w:val="center"/>
              <w:rPr>
                <w:noProof/>
                <w:sz w:val="20"/>
              </w:rPr>
            </w:pPr>
            <w:r>
              <w:rPr>
                <w:b/>
                <w:noProof/>
                <w:sz w:val="20"/>
              </w:rPr>
              <w:t>2024 г.</w:t>
            </w:r>
          </w:p>
        </w:tc>
        <w:tc>
          <w:tcPr>
            <w:tcW w:w="1004" w:type="dxa"/>
            <w:vAlign w:val="center"/>
          </w:tcPr>
          <w:p>
            <w:pPr>
              <w:jc w:val="center"/>
              <w:rPr>
                <w:b/>
                <w:noProof/>
                <w:sz w:val="20"/>
              </w:rPr>
            </w:pPr>
            <w:r>
              <w:rPr>
                <w:b/>
                <w:noProof/>
                <w:sz w:val="20"/>
              </w:rPr>
              <w:t>2025 г.</w:t>
            </w:r>
          </w:p>
        </w:tc>
        <w:tc>
          <w:tcPr>
            <w:tcW w:w="990" w:type="dxa"/>
            <w:vAlign w:val="center"/>
          </w:tcPr>
          <w:p>
            <w:pPr>
              <w:jc w:val="center"/>
              <w:rPr>
                <w:b/>
                <w:noProof/>
                <w:sz w:val="20"/>
              </w:rPr>
            </w:pPr>
            <w:r>
              <w:rPr>
                <w:b/>
                <w:noProof/>
                <w:sz w:val="20"/>
              </w:rPr>
              <w:t>2026 г.</w:t>
            </w:r>
          </w:p>
        </w:tc>
        <w:tc>
          <w:tcPr>
            <w:tcW w:w="990" w:type="dxa"/>
            <w:vAlign w:val="center"/>
          </w:tcPr>
          <w:p>
            <w:pPr>
              <w:jc w:val="center"/>
              <w:rPr>
                <w:b/>
                <w:noProof/>
                <w:sz w:val="20"/>
              </w:rPr>
            </w:pPr>
            <w:r>
              <w:rPr>
                <w:b/>
                <w:noProof/>
                <w:sz w:val="20"/>
              </w:rPr>
              <w:t>2027 г.</w:t>
            </w:r>
          </w:p>
        </w:tc>
        <w:tc>
          <w:tcPr>
            <w:tcW w:w="1033" w:type="dxa"/>
          </w:tcPr>
          <w:p>
            <w:pPr>
              <w:jc w:val="center"/>
              <w:rPr>
                <w:b/>
                <w:noProof/>
                <w:sz w:val="20"/>
              </w:rPr>
            </w:pPr>
            <w:r>
              <w:rPr>
                <w:b/>
                <w:i/>
                <w:noProof/>
                <w:sz w:val="20"/>
              </w:rPr>
              <w:t>След 2027 г.</w:t>
            </w:r>
          </w:p>
        </w:tc>
        <w:tc>
          <w:tcPr>
            <w:tcW w:w="1127" w:type="dxa"/>
            <w:vAlign w:val="center"/>
          </w:tcPr>
          <w:p>
            <w:pPr>
              <w:jc w:val="center"/>
              <w:rPr>
                <w:b/>
                <w:noProof/>
                <w:sz w:val="20"/>
              </w:rPr>
            </w:pPr>
            <w:r>
              <w:rPr>
                <w:b/>
                <w:noProof/>
                <w:sz w:val="20"/>
              </w:rPr>
              <w:t>ОБЩО</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Оперативни разходи от външните целеви приходи от ИЕСВ</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4919,020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4739,320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2558,890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1740,610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433,668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3479,853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2708,187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2475,285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1978,160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1860,712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909,443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112. 532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Административни разходи от външните целеви приходи от ИЕСВ</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Поети задължения = Плащания</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126,980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197,680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132,110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106,390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689,160</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Общо външни целеви приходи</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5046,000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4937,000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2691,000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1847,000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560,648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3677,533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2840,297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2581,675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2029,160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1897,712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947,443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112. 532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bl>
    <w:p>
      <w:pPr>
        <w:rPr>
          <w:i/>
          <w:noProof/>
        </w:rPr>
      </w:pPr>
    </w:p>
    <w:p>
      <w:pPr>
        <w:rPr>
          <w:i/>
          <w:noProof/>
        </w:rPr>
      </w:pPr>
      <w:r>
        <w:rPr>
          <w:i/>
          <w:iCs/>
          <w:noProof/>
        </w:rPr>
        <w:t>В допълнение към финансовия пакет, определен в</w:t>
      </w:r>
      <w:r>
        <w:rPr>
          <w:i/>
          <w:noProof/>
        </w:rPr>
        <w:t xml:space="preserve"> член 83 от предложения Регламент COM (2018) 392 (интервенции по линия на ЕЗФРСР в рамките на стратегическите планове по ОСП ) </w:t>
      </w:r>
      <w:r>
        <w:rPr>
          <w:i/>
          <w:iCs/>
          <w:noProof/>
        </w:rPr>
        <w:t>, 16 483 милиона евро (по текущи цени) ще бъдат на разположение като външни целеви приходи за 2022 г., 2023 г. и 2024 г.</w:t>
      </w:r>
      <w:r>
        <w:rPr>
          <w:rStyle w:val="FootnoteReference"/>
          <w:i/>
          <w:iCs/>
          <w:noProof/>
        </w:rPr>
        <w:footnoteReference w:id="15"/>
      </w:r>
      <w:r>
        <w:rPr>
          <w:i/>
          <w:iCs/>
          <w:noProof/>
        </w:rPr>
        <w:t xml:space="preserve"> по смисъла на член 21, параграф 5 от Финансовия регламент като финансиране от Инструмента на Европейския съюз за възстановяване. От тях до 6000 милиона евро могат да бъдат предназначени за административни разходи, включително разходи за външен персонал. Оперативната техническа помощ е включена в сумата за оперативни разходи и ще бъде изчислена, когато разбивката на допълнителните средства, посочени в параграф 1, за всяка държава членка бъде определена в съответствие с член 83, параграф 3 от COM(2018) 392..</w:t>
      </w:r>
    </w:p>
    <w:p>
      <w:pPr>
        <w:rPr>
          <w:i/>
          <w:noProof/>
        </w:rPr>
      </w:pPr>
      <w:r>
        <w:rPr>
          <w:i/>
          <w:noProof/>
        </w:rPr>
        <w:t>Индикативната разбивка на разходите от външни целеви приходи е както следва:</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033"/>
        <w:gridCol w:w="1127"/>
      </w:tblGrid>
      <w:tr>
        <w:tc>
          <w:tcPr>
            <w:tcW w:w="3652" w:type="dxa"/>
            <w:vAlign w:val="center"/>
          </w:tcPr>
          <w:p>
            <w:pPr>
              <w:jc w:val="center"/>
              <w:rPr>
                <w:noProof/>
              </w:rPr>
            </w:pPr>
            <w:r>
              <w:rPr>
                <w:noProof/>
                <w:sz w:val="22"/>
              </w:rPr>
              <w:t>[ЕЗФРСР]</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szCs w:val="20"/>
              </w:rPr>
            </w:pPr>
            <w:r>
              <w:rPr>
                <w:b/>
                <w:noProof/>
                <w:sz w:val="20"/>
                <w:szCs w:val="20"/>
              </w:rPr>
              <w:t>2021 г.</w:t>
            </w:r>
          </w:p>
        </w:tc>
        <w:tc>
          <w:tcPr>
            <w:tcW w:w="990" w:type="dxa"/>
            <w:vAlign w:val="center"/>
          </w:tcPr>
          <w:p>
            <w:pPr>
              <w:jc w:val="center"/>
              <w:rPr>
                <w:noProof/>
                <w:sz w:val="20"/>
                <w:szCs w:val="20"/>
              </w:rPr>
            </w:pPr>
            <w:r>
              <w:rPr>
                <w:b/>
                <w:noProof/>
                <w:sz w:val="20"/>
                <w:szCs w:val="20"/>
              </w:rPr>
              <w:t>2022 г.</w:t>
            </w:r>
          </w:p>
        </w:tc>
        <w:tc>
          <w:tcPr>
            <w:tcW w:w="990" w:type="dxa"/>
            <w:vAlign w:val="center"/>
          </w:tcPr>
          <w:p>
            <w:pPr>
              <w:jc w:val="center"/>
              <w:rPr>
                <w:noProof/>
                <w:sz w:val="20"/>
                <w:szCs w:val="20"/>
              </w:rPr>
            </w:pPr>
            <w:r>
              <w:rPr>
                <w:b/>
                <w:noProof/>
                <w:sz w:val="20"/>
                <w:szCs w:val="20"/>
              </w:rPr>
              <w:t>2023 г.</w:t>
            </w:r>
          </w:p>
        </w:tc>
        <w:tc>
          <w:tcPr>
            <w:tcW w:w="976" w:type="dxa"/>
            <w:vAlign w:val="center"/>
          </w:tcPr>
          <w:p>
            <w:pPr>
              <w:jc w:val="center"/>
              <w:rPr>
                <w:noProof/>
                <w:sz w:val="20"/>
                <w:szCs w:val="20"/>
              </w:rPr>
            </w:pPr>
            <w:r>
              <w:rPr>
                <w:b/>
                <w:noProof/>
                <w:sz w:val="20"/>
                <w:szCs w:val="20"/>
              </w:rPr>
              <w:t>2024 г.</w:t>
            </w:r>
          </w:p>
        </w:tc>
        <w:tc>
          <w:tcPr>
            <w:tcW w:w="1004" w:type="dxa"/>
            <w:vAlign w:val="center"/>
          </w:tcPr>
          <w:p>
            <w:pPr>
              <w:jc w:val="center"/>
              <w:rPr>
                <w:b/>
                <w:noProof/>
                <w:sz w:val="20"/>
                <w:szCs w:val="20"/>
              </w:rPr>
            </w:pPr>
            <w:r>
              <w:rPr>
                <w:b/>
                <w:noProof/>
                <w:sz w:val="20"/>
                <w:szCs w:val="20"/>
              </w:rPr>
              <w:t>2025 г.</w:t>
            </w:r>
          </w:p>
        </w:tc>
        <w:tc>
          <w:tcPr>
            <w:tcW w:w="990" w:type="dxa"/>
            <w:vAlign w:val="center"/>
          </w:tcPr>
          <w:p>
            <w:pPr>
              <w:jc w:val="center"/>
              <w:rPr>
                <w:b/>
                <w:noProof/>
                <w:sz w:val="20"/>
                <w:szCs w:val="20"/>
              </w:rPr>
            </w:pPr>
            <w:r>
              <w:rPr>
                <w:b/>
                <w:noProof/>
                <w:sz w:val="20"/>
                <w:szCs w:val="20"/>
              </w:rPr>
              <w:t>2026 г.</w:t>
            </w:r>
          </w:p>
        </w:tc>
        <w:tc>
          <w:tcPr>
            <w:tcW w:w="990" w:type="dxa"/>
            <w:vAlign w:val="center"/>
          </w:tcPr>
          <w:p>
            <w:pPr>
              <w:jc w:val="center"/>
              <w:rPr>
                <w:b/>
                <w:noProof/>
                <w:sz w:val="20"/>
                <w:szCs w:val="20"/>
              </w:rPr>
            </w:pPr>
            <w:r>
              <w:rPr>
                <w:b/>
                <w:noProof/>
                <w:sz w:val="20"/>
                <w:szCs w:val="20"/>
              </w:rPr>
              <w:t>2027 г.</w:t>
            </w:r>
          </w:p>
        </w:tc>
        <w:tc>
          <w:tcPr>
            <w:tcW w:w="1033" w:type="dxa"/>
          </w:tcPr>
          <w:p>
            <w:pPr>
              <w:jc w:val="center"/>
              <w:rPr>
                <w:b/>
                <w:noProof/>
                <w:sz w:val="20"/>
                <w:szCs w:val="20"/>
              </w:rPr>
            </w:pPr>
            <w:r>
              <w:rPr>
                <w:b/>
                <w:i/>
                <w:noProof/>
                <w:sz w:val="20"/>
                <w:szCs w:val="20"/>
              </w:rPr>
              <w:t>След 2027 г.</w:t>
            </w:r>
          </w:p>
        </w:tc>
        <w:tc>
          <w:tcPr>
            <w:tcW w:w="1127" w:type="dxa"/>
            <w:vAlign w:val="center"/>
          </w:tcPr>
          <w:p>
            <w:pPr>
              <w:jc w:val="center"/>
              <w:rPr>
                <w:b/>
                <w:noProof/>
                <w:sz w:val="20"/>
                <w:szCs w:val="20"/>
              </w:rPr>
            </w:pPr>
            <w:r>
              <w:rPr>
                <w:b/>
                <w:noProof/>
                <w:sz w:val="20"/>
                <w:szCs w:val="20"/>
              </w:rPr>
              <w:t>ОБЩО</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Оперативни разходи, финансирани от външните целеви приходи от ИЕСВ</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8116,000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4139,000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4222,000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2029,000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3875,350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4938,950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3531,000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1680,500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val="restart"/>
            <w:tcBorders>
              <w:left w:val="single" w:sz="4" w:space="0" w:color="auto"/>
              <w:right w:val="single" w:sz="4" w:space="0" w:color="auto"/>
            </w:tcBorders>
            <w:vAlign w:val="center"/>
          </w:tcPr>
          <w:p>
            <w:pPr>
              <w:jc w:val="center"/>
              <w:rPr>
                <w:noProof/>
                <w:sz w:val="22"/>
              </w:rPr>
            </w:pPr>
            <w:r>
              <w:rPr>
                <w:noProof/>
                <w:sz w:val="22"/>
              </w:rPr>
              <w:t>ЕЗФРСР — Оперативната техническа помощ (принос от външните целеви приходи от ИЕСВ)</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Административни разходи за подкрепа (принос от външните целеви приходи от ИЕСВ)</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18"/>
                <w:szCs w:val="18"/>
              </w:rPr>
              <w:t>Поети задължения = Плащания</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14"/>
                <w:szCs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6,000</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Общо външни целеви приходи</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8117,000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4140,000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4223,000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2030,000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3876,350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4939,950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3532,000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1681,500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423,200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bl>
    <w:p>
      <w:pPr>
        <w:rPr>
          <w:i/>
          <w:noProof/>
        </w:rPr>
      </w:pPr>
      <w:r>
        <w:rPr>
          <w:i/>
          <w:iCs/>
          <w:noProof/>
        </w:rPr>
        <w:t xml:space="preserve">В допълнение към финансовия пакет, определен в член 6 от Регламент </w:t>
      </w:r>
      <w:r>
        <w:rPr>
          <w:noProof/>
          <w:color w:val="0000FF"/>
        </w:rPr>
        <w:t>COM(2018) 460 final</w:t>
      </w:r>
      <w:r>
        <w:rPr>
          <w:i/>
          <w:iCs/>
          <w:noProof/>
        </w:rPr>
        <w:t xml:space="preserve"> („ИСРМС“), 11 448,070 милиона евро (по текущи цени) ще бъдат на разположение като външни целеви приходи по смисъла на член 21, параграф 5 от Финансовия регламент като финансиране от Инструмента на Европейския съюз за възстановяване. От тях до 162,308 милиона евро могат да бъдат предназначени за административни разходи, включително разходи за външен персонал.</w:t>
      </w:r>
    </w:p>
    <w:p>
      <w:pPr>
        <w:rPr>
          <w:noProof/>
          <w:color w:val="0000FF"/>
        </w:rPr>
      </w:pPr>
    </w:p>
    <w:p>
      <w:pPr>
        <w:rPr>
          <w:i/>
          <w:noProof/>
        </w:rPr>
      </w:pPr>
      <w:r>
        <w:rPr>
          <w:i/>
          <w:noProof/>
        </w:rPr>
        <w:t>Индикативната разбивка на разходите от външни целеви приходи е както следва:</w:t>
      </w:r>
    </w:p>
    <w:p>
      <w:pPr>
        <w:rPr>
          <w:i/>
          <w:noProof/>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127"/>
      </w:tblGrid>
      <w:tr>
        <w:tc>
          <w:tcPr>
            <w:tcW w:w="3652" w:type="dxa"/>
            <w:vAlign w:val="center"/>
          </w:tcPr>
          <w:p>
            <w:pPr>
              <w:jc w:val="center"/>
              <w:rPr>
                <w:noProof/>
              </w:rPr>
            </w:pPr>
            <w:r>
              <w:rPr>
                <w:noProof/>
                <w:sz w:val="22"/>
              </w:rPr>
              <w:t>[Гаранция за външна дейност — ИСРМС]</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 г.</w:t>
            </w:r>
          </w:p>
        </w:tc>
        <w:tc>
          <w:tcPr>
            <w:tcW w:w="990" w:type="dxa"/>
            <w:vAlign w:val="center"/>
          </w:tcPr>
          <w:p>
            <w:pPr>
              <w:jc w:val="center"/>
              <w:rPr>
                <w:noProof/>
                <w:sz w:val="20"/>
              </w:rPr>
            </w:pPr>
            <w:r>
              <w:rPr>
                <w:b/>
                <w:noProof/>
                <w:sz w:val="20"/>
              </w:rPr>
              <w:t>2022 г.</w:t>
            </w:r>
          </w:p>
        </w:tc>
        <w:tc>
          <w:tcPr>
            <w:tcW w:w="990" w:type="dxa"/>
            <w:vAlign w:val="center"/>
          </w:tcPr>
          <w:p>
            <w:pPr>
              <w:jc w:val="center"/>
              <w:rPr>
                <w:noProof/>
                <w:sz w:val="20"/>
              </w:rPr>
            </w:pPr>
            <w:r>
              <w:rPr>
                <w:b/>
                <w:noProof/>
                <w:sz w:val="20"/>
              </w:rPr>
              <w:t>2023 г.</w:t>
            </w:r>
          </w:p>
        </w:tc>
        <w:tc>
          <w:tcPr>
            <w:tcW w:w="976" w:type="dxa"/>
            <w:vAlign w:val="center"/>
          </w:tcPr>
          <w:p>
            <w:pPr>
              <w:jc w:val="center"/>
              <w:rPr>
                <w:noProof/>
                <w:sz w:val="20"/>
              </w:rPr>
            </w:pPr>
            <w:r>
              <w:rPr>
                <w:b/>
                <w:noProof/>
                <w:sz w:val="20"/>
              </w:rPr>
              <w:t>2024 г.</w:t>
            </w:r>
          </w:p>
        </w:tc>
        <w:tc>
          <w:tcPr>
            <w:tcW w:w="1004" w:type="dxa"/>
            <w:vAlign w:val="center"/>
          </w:tcPr>
          <w:p>
            <w:pPr>
              <w:jc w:val="center"/>
              <w:rPr>
                <w:b/>
                <w:noProof/>
                <w:sz w:val="20"/>
              </w:rPr>
            </w:pPr>
            <w:r>
              <w:rPr>
                <w:b/>
                <w:noProof/>
                <w:sz w:val="20"/>
              </w:rPr>
              <w:t>2025 г.</w:t>
            </w:r>
          </w:p>
        </w:tc>
        <w:tc>
          <w:tcPr>
            <w:tcW w:w="990" w:type="dxa"/>
            <w:vAlign w:val="center"/>
          </w:tcPr>
          <w:p>
            <w:pPr>
              <w:jc w:val="center"/>
              <w:rPr>
                <w:b/>
                <w:noProof/>
                <w:sz w:val="20"/>
              </w:rPr>
            </w:pPr>
            <w:r>
              <w:rPr>
                <w:b/>
                <w:noProof/>
                <w:sz w:val="20"/>
              </w:rPr>
              <w:t>2026 г.</w:t>
            </w:r>
          </w:p>
        </w:tc>
        <w:tc>
          <w:tcPr>
            <w:tcW w:w="990" w:type="dxa"/>
            <w:vAlign w:val="center"/>
          </w:tcPr>
          <w:p>
            <w:pPr>
              <w:jc w:val="center"/>
              <w:rPr>
                <w:b/>
                <w:noProof/>
                <w:sz w:val="20"/>
              </w:rPr>
            </w:pPr>
            <w:r>
              <w:rPr>
                <w:b/>
                <w:noProof/>
                <w:sz w:val="20"/>
              </w:rPr>
              <w:t>2027 г.</w:t>
            </w:r>
          </w:p>
        </w:tc>
        <w:tc>
          <w:tcPr>
            <w:tcW w:w="1127" w:type="dxa"/>
            <w:vAlign w:val="center"/>
          </w:tcPr>
          <w:p>
            <w:pPr>
              <w:jc w:val="center"/>
              <w:rPr>
                <w:b/>
                <w:noProof/>
                <w:sz w:val="20"/>
              </w:rPr>
            </w:pPr>
            <w:r>
              <w:rPr>
                <w:b/>
                <w:noProof/>
                <w:sz w:val="20"/>
              </w:rPr>
              <w:t>ОБЩО</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Оперативни разходи от външните целеви приходи от ИЕСВ</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3265,383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3331,093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2274,063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2320,063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27,383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34,389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23,133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1883,383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1883,383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1888,389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1840,709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Административни разходи от външните целеви приходи от ИЕСВ</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Поети задължения = Плащания</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162,308 </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Общо външни целеви приходи</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3290,000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3355,710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2298,680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2344,680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52,000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53,000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54,000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47,750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1908,000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1908,000 </w:t>
            </w:r>
          </w:p>
        </w:tc>
        <w:tc>
          <w:tcPr>
            <w:tcW w:w="1004"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1908,000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1860,320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rPr>
              <w:t xml:space="preserve"> </w:t>
            </w:r>
            <w:r>
              <w:rPr>
                <w:noProof/>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left"/>
        <w:rPr>
          <w:noProof/>
          <w:color w:val="0000FF"/>
        </w:rPr>
      </w:pPr>
    </w:p>
    <w:p>
      <w:pPr>
        <w:jc w:val="left"/>
        <w:rPr>
          <w:noProof/>
        </w:rPr>
      </w:pPr>
    </w:p>
    <w:p>
      <w:pPr>
        <w:jc w:val="right"/>
        <w:rPr>
          <w:noProof/>
          <w:sz w:val="20"/>
        </w:rPr>
      </w:pPr>
      <w:r>
        <w:rPr>
          <w:noProof/>
          <w:sz w:val="20"/>
        </w:rPr>
        <w:t>млн. EUR (до 3-тия знак след десетичната запетая)</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oбщо плащания)</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keepNext/>
        <w:outlineLvl w:val="2"/>
        <w:rPr>
          <w:rFonts w:eastAsiaTheme="majorEastAsia"/>
          <w:i/>
          <w:noProof/>
          <w:szCs w:val="24"/>
        </w:rPr>
      </w:pPr>
      <w:bookmarkStart w:id="56" w:name="_Toc514941993"/>
      <w:bookmarkStart w:id="57" w:name="_Toc40376079"/>
      <w:r>
        <w:rPr>
          <w:bCs/>
          <w:i/>
          <w:noProof/>
        </w:rPr>
        <w:lastRenderedPageBreak/>
        <w:t>Резюме на очаквано отражение върху бюджетните кредити за административни разходи</w:t>
      </w:r>
      <w:bookmarkEnd w:id="56"/>
      <w:bookmarkEnd w:id="57"/>
    </w:p>
    <w:p>
      <w:pPr>
        <w:rPr>
          <w:rFonts w:eastAsia="Times New Roman"/>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rPr>
          <w:rFonts w:eastAsia="Times New Roman"/>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before="60" w:after="60" w:line="200" w:lineRule="exact"/>
              <w:jc w:val="center"/>
              <w:rPr>
                <w:b/>
                <w:noProof/>
                <w:sz w:val="20"/>
              </w:rPr>
            </w:pPr>
            <w:r>
              <w:rPr>
                <w:b/>
                <w:noProof/>
                <w:sz w:val="20"/>
              </w:rPr>
              <w:t>2025 г.</w:t>
            </w:r>
          </w:p>
        </w:tc>
        <w:tc>
          <w:tcPr>
            <w:tcW w:w="1080" w:type="dxa"/>
            <w:vAlign w:val="center"/>
          </w:tcPr>
          <w:p>
            <w:pPr>
              <w:spacing w:before="60" w:after="60" w:line="200" w:lineRule="exact"/>
              <w:jc w:val="center"/>
              <w:rPr>
                <w:b/>
                <w:noProof/>
                <w:sz w:val="20"/>
              </w:rPr>
            </w:pPr>
            <w:r>
              <w:rPr>
                <w:b/>
                <w:noProof/>
                <w:sz w:val="20"/>
              </w:rPr>
              <w:t>2026 г.</w:t>
            </w:r>
          </w:p>
        </w:tc>
        <w:tc>
          <w:tcPr>
            <w:tcW w:w="1080" w:type="dxa"/>
            <w:vAlign w:val="center"/>
          </w:tcPr>
          <w:p>
            <w:pPr>
              <w:spacing w:before="60" w:after="60" w:line="200" w:lineRule="exact"/>
              <w:jc w:val="center"/>
              <w:rPr>
                <w:b/>
                <w:noProof/>
                <w:sz w:val="20"/>
              </w:rPr>
            </w:pPr>
            <w:r>
              <w:rPr>
                <w:b/>
                <w:noProof/>
                <w:sz w:val="20"/>
              </w:rPr>
              <w:t>2027 г.</w:t>
            </w:r>
          </w:p>
        </w:tc>
        <w:tc>
          <w:tcPr>
            <w:tcW w:w="1080" w:type="dxa"/>
            <w:vAlign w:val="center"/>
          </w:tcPr>
          <w:p>
            <w:pPr>
              <w:spacing w:before="60" w:after="60" w:line="200" w:lineRule="exact"/>
              <w:jc w:val="center"/>
              <w:rPr>
                <w:b/>
                <w:noProof/>
                <w:sz w:val="16"/>
                <w:szCs w:val="16"/>
              </w:rPr>
            </w:pPr>
            <w:r>
              <w:rPr>
                <w:b/>
                <w:noProof/>
                <w:sz w:val="20"/>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Извън ФУНКЦИЯ 7</w:t>
            </w:r>
            <w:r>
              <w:rPr>
                <w:rStyle w:val="FootnoteReference"/>
                <w:noProof/>
              </w:rPr>
              <w:footnoteReference w:id="16"/>
            </w:r>
            <w:r>
              <w:rPr>
                <w:noProof/>
              </w:rPr>
              <w:t xml:space="preserve"> </w:t>
            </w:r>
            <w:r>
              <w:rPr>
                <w:noProof/>
              </w:rPr>
              <w:br/>
            </w:r>
            <w:r>
              <w:rPr>
                <w:b/>
                <w:noProof/>
                <w:sz w:val="16"/>
                <w:szCs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Човешки ресурси — външни целеви приходи (научни изследвания) </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4,800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1,600</w:t>
            </w:r>
          </w:p>
        </w:tc>
        <w:tc>
          <w:tcPr>
            <w:tcW w:w="1080" w:type="dxa"/>
            <w:vAlign w:val="center"/>
          </w:tcPr>
          <w:p>
            <w:pPr>
              <w:spacing w:before="60" w:after="60" w:line="200" w:lineRule="exact"/>
              <w:jc w:val="right"/>
              <w:rPr>
                <w:b/>
                <w:noProof/>
                <w:sz w:val="16"/>
                <w:szCs w:val="16"/>
              </w:rPr>
            </w:pPr>
            <w:r>
              <w:rPr>
                <w:noProof/>
                <w:sz w:val="16"/>
                <w:szCs w:val="16"/>
              </w:rPr>
              <w:t>1,200</w:t>
            </w:r>
          </w:p>
        </w:tc>
        <w:tc>
          <w:tcPr>
            <w:tcW w:w="1080" w:type="dxa"/>
            <w:vAlign w:val="center"/>
          </w:tcPr>
          <w:p>
            <w:pPr>
              <w:spacing w:before="60" w:after="60" w:line="200" w:lineRule="exact"/>
              <w:jc w:val="right"/>
              <w:rPr>
                <w:b/>
                <w:noProof/>
                <w:sz w:val="16"/>
                <w:szCs w:val="16"/>
              </w:rPr>
            </w:pPr>
            <w:r>
              <w:rPr>
                <w:noProof/>
                <w:sz w:val="16"/>
                <w:szCs w:val="16"/>
              </w:rPr>
              <w:t>28,000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Други разходи с административен характер — външни целеви приходи (научни изследвания) </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120,980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191,680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126,110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101,590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48,600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35,400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36,800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661,160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Междинен сбор на външните целеви приходи (научни изследвания)</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126,980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197,680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132,110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106,390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51,000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37,000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38,000</w:t>
            </w:r>
          </w:p>
        </w:tc>
        <w:tc>
          <w:tcPr>
            <w:tcW w:w="1080" w:type="dxa"/>
            <w:vAlign w:val="center"/>
          </w:tcPr>
          <w:p>
            <w:pPr>
              <w:spacing w:before="60" w:after="60" w:line="200" w:lineRule="exact"/>
              <w:jc w:val="right"/>
              <w:rPr>
                <w:noProof/>
                <w:sz w:val="16"/>
                <w:szCs w:val="16"/>
              </w:rPr>
            </w:pPr>
            <w:r>
              <w:rPr>
                <w:b/>
                <w:noProof/>
                <w:sz w:val="18"/>
                <w:szCs w:val="18"/>
              </w:rPr>
              <w:t>689,160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Човешки ресурси — външни целеви приходи (без връзка с научните изследвания) — ИСРМС</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105,068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Други разходи с административен характер — външни целеви приходи (без връзка с научните изследвания) — </w:t>
            </w:r>
            <w:r>
              <w:rPr>
                <w:noProof/>
                <w:sz w:val="16"/>
                <w:szCs w:val="16"/>
              </w:rPr>
              <w:lastRenderedPageBreak/>
              <w:t>ИСРМС</w:t>
            </w:r>
          </w:p>
        </w:tc>
        <w:tc>
          <w:tcPr>
            <w:tcW w:w="1080" w:type="dxa"/>
          </w:tcPr>
          <w:p>
            <w:pPr>
              <w:spacing w:before="60" w:after="60" w:line="200" w:lineRule="exact"/>
              <w:jc w:val="right"/>
              <w:rPr>
                <w:noProof/>
                <w:sz w:val="16"/>
                <w:szCs w:val="16"/>
              </w:rPr>
            </w:pPr>
            <w:r>
              <w:rPr>
                <w:noProof/>
                <w:sz w:val="16"/>
                <w:szCs w:val="16"/>
              </w:rPr>
              <w:lastRenderedPageBreak/>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57,240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lastRenderedPageBreak/>
              <w:t xml:space="preserve">Човешки ресурси — външни целеви приходи (без връзка с научните изследвания) — ЕЗФРСР </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3,600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Други разходи с административен характер — външни целеви приходи (без връзка с научните изследвания) — ЕЗФРСР </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1,000</w:t>
            </w:r>
          </w:p>
        </w:tc>
        <w:tc>
          <w:tcPr>
            <w:tcW w:w="1080" w:type="dxa"/>
            <w:vAlign w:val="center"/>
          </w:tcPr>
          <w:p>
            <w:pPr>
              <w:spacing w:before="60" w:after="60" w:line="200" w:lineRule="exact"/>
              <w:jc w:val="right"/>
              <w:rPr>
                <w:noProof/>
                <w:sz w:val="16"/>
                <w:szCs w:val="16"/>
              </w:rPr>
            </w:pPr>
            <w:r>
              <w:rPr>
                <w:noProof/>
                <w:sz w:val="16"/>
                <w:szCs w:val="16"/>
              </w:rPr>
              <w:t>2,400</w:t>
            </w:r>
          </w:p>
        </w:tc>
      </w:tr>
      <w:tr>
        <w:trPr>
          <w:trHeight w:val="585"/>
        </w:trPr>
        <w:tc>
          <w:tcPr>
            <w:tcW w:w="1980" w:type="dxa"/>
            <w:vAlign w:val="center"/>
          </w:tcPr>
          <w:p>
            <w:pPr>
              <w:spacing w:before="60" w:after="60" w:line="200" w:lineRule="exact"/>
              <w:ind w:left="72"/>
              <w:jc w:val="left"/>
              <w:rPr>
                <w:noProof/>
                <w:sz w:val="16"/>
              </w:rPr>
            </w:pPr>
            <w:r>
              <w:rPr>
                <w:noProof/>
                <w:sz w:val="16"/>
              </w:rPr>
              <w:t>Междинен сбор на външните целеви приходи (без връзка с научните изследвания)</w:t>
            </w:r>
          </w:p>
        </w:tc>
        <w:tc>
          <w:tcPr>
            <w:tcW w:w="1080" w:type="dxa"/>
            <w:vAlign w:val="bottom"/>
          </w:tcPr>
          <w:p>
            <w:pPr>
              <w:spacing w:before="60" w:after="60" w:line="200" w:lineRule="exact"/>
              <w:rPr>
                <w:noProof/>
                <w:sz w:val="16"/>
                <w:szCs w:val="16"/>
              </w:rPr>
            </w:pPr>
            <w:r>
              <w:rPr>
                <w:rFonts w:ascii="Calibri" w:hAnsi="Calibri"/>
                <w:noProof/>
                <w:color w:val="000000"/>
                <w:sz w:val="22"/>
              </w:rPr>
              <w:t>24,617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168,307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rPr>
              <w:t xml:space="preserve"> </w:t>
            </w:r>
            <w:r>
              <w:rPr>
                <w:noProof/>
              </w:rPr>
              <w:br/>
            </w:r>
            <w:r>
              <w:rPr>
                <w:b/>
                <w:noProof/>
                <w:sz w:val="16"/>
              </w:rPr>
              <w:t>извън ФУНКЦИЯ 7</w:t>
            </w:r>
            <w:r>
              <w:rPr>
                <w:noProof/>
              </w:rPr>
              <w:t xml:space="preserve"> </w:t>
            </w:r>
            <w:r>
              <w:rPr>
                <w:noProof/>
              </w:rPr>
              <w:br/>
            </w:r>
            <w:r>
              <w:rPr>
                <w:b/>
                <w:noProof/>
                <w:sz w:val="16"/>
              </w:rPr>
              <w:t xml:space="preserve">от многогодишната финансова рамка </w:t>
            </w:r>
          </w:p>
        </w:tc>
        <w:tc>
          <w:tcPr>
            <w:tcW w:w="1080" w:type="dxa"/>
            <w:vAlign w:val="bottom"/>
          </w:tcPr>
          <w:p>
            <w:pPr>
              <w:spacing w:before="60" w:after="60" w:line="200" w:lineRule="exact"/>
              <w:jc w:val="right"/>
              <w:rPr>
                <w:noProof/>
                <w:sz w:val="16"/>
                <w:szCs w:val="16"/>
              </w:rPr>
            </w:pPr>
            <w:r>
              <w:rPr>
                <w:rFonts w:ascii="Calibri" w:hAnsi="Calibri"/>
                <w:noProof/>
                <w:color w:val="000000"/>
                <w:sz w:val="22"/>
              </w:rPr>
              <w:t>151,597</w:t>
            </w:r>
          </w:p>
        </w:tc>
        <w:tc>
          <w:tcPr>
            <w:tcW w:w="1080" w:type="dxa"/>
            <w:vAlign w:val="bottom"/>
          </w:tcPr>
          <w:p>
            <w:pPr>
              <w:spacing w:before="60" w:after="60" w:line="200" w:lineRule="exact"/>
              <w:rPr>
                <w:noProof/>
                <w:sz w:val="16"/>
                <w:szCs w:val="16"/>
              </w:rPr>
            </w:pPr>
            <w:r>
              <w:rPr>
                <w:rFonts w:ascii="Calibri" w:hAnsi="Calibri"/>
                <w:noProof/>
                <w:color w:val="000000"/>
                <w:sz w:val="22"/>
              </w:rPr>
              <w:t>223,297</w:t>
            </w:r>
          </w:p>
        </w:tc>
        <w:tc>
          <w:tcPr>
            <w:tcW w:w="1080" w:type="dxa"/>
            <w:vAlign w:val="bottom"/>
          </w:tcPr>
          <w:p>
            <w:pPr>
              <w:spacing w:before="60" w:after="60" w:line="200" w:lineRule="exact"/>
              <w:rPr>
                <w:noProof/>
                <w:sz w:val="16"/>
                <w:szCs w:val="16"/>
              </w:rPr>
            </w:pPr>
            <w:r>
              <w:rPr>
                <w:rFonts w:ascii="Calibri" w:hAnsi="Calibri"/>
                <w:noProof/>
                <w:color w:val="000000"/>
                <w:sz w:val="22"/>
              </w:rPr>
              <w:t>157,727</w:t>
            </w:r>
          </w:p>
        </w:tc>
        <w:tc>
          <w:tcPr>
            <w:tcW w:w="1080" w:type="dxa"/>
            <w:vAlign w:val="bottom"/>
          </w:tcPr>
          <w:p>
            <w:pPr>
              <w:spacing w:before="60" w:after="60" w:line="200" w:lineRule="exact"/>
              <w:rPr>
                <w:noProof/>
                <w:sz w:val="16"/>
                <w:szCs w:val="16"/>
              </w:rPr>
            </w:pPr>
            <w:r>
              <w:rPr>
                <w:rFonts w:ascii="Calibri" w:hAnsi="Calibri"/>
                <w:noProof/>
                <w:color w:val="000000"/>
                <w:sz w:val="22"/>
              </w:rPr>
              <w:t>132,007</w:t>
            </w:r>
          </w:p>
        </w:tc>
        <w:tc>
          <w:tcPr>
            <w:tcW w:w="1080" w:type="dxa"/>
            <w:vAlign w:val="bottom"/>
          </w:tcPr>
          <w:p>
            <w:pPr>
              <w:spacing w:before="60" w:after="60" w:line="200" w:lineRule="exact"/>
              <w:rPr>
                <w:noProof/>
                <w:sz w:val="16"/>
                <w:szCs w:val="16"/>
              </w:rPr>
            </w:pPr>
            <w:r>
              <w:rPr>
                <w:rFonts w:ascii="Calibri" w:hAnsi="Calibri"/>
                <w:noProof/>
                <w:color w:val="000000"/>
                <w:sz w:val="22"/>
              </w:rPr>
              <w:t>76,617</w:t>
            </w:r>
          </w:p>
        </w:tc>
        <w:tc>
          <w:tcPr>
            <w:tcW w:w="1080" w:type="dxa"/>
            <w:vAlign w:val="bottom"/>
          </w:tcPr>
          <w:p>
            <w:pPr>
              <w:spacing w:before="60" w:after="60" w:line="200" w:lineRule="exact"/>
              <w:rPr>
                <w:noProof/>
                <w:sz w:val="16"/>
                <w:szCs w:val="16"/>
              </w:rPr>
            </w:pPr>
            <w:r>
              <w:rPr>
                <w:rFonts w:ascii="Calibri" w:hAnsi="Calibri"/>
                <w:noProof/>
                <w:color w:val="000000"/>
                <w:sz w:val="22"/>
              </w:rPr>
              <w:t>57,611</w:t>
            </w:r>
          </w:p>
        </w:tc>
        <w:tc>
          <w:tcPr>
            <w:tcW w:w="1080" w:type="dxa"/>
            <w:vAlign w:val="bottom"/>
          </w:tcPr>
          <w:p>
            <w:pPr>
              <w:spacing w:before="60" w:after="60" w:line="200" w:lineRule="exact"/>
              <w:jc w:val="right"/>
              <w:rPr>
                <w:b/>
                <w:noProof/>
                <w:sz w:val="16"/>
                <w:szCs w:val="16"/>
              </w:rPr>
            </w:pPr>
            <w:r>
              <w:rPr>
                <w:rFonts w:ascii="Calibri" w:hAnsi="Calibri"/>
                <w:noProof/>
                <w:color w:val="000000"/>
                <w:sz w:val="22"/>
              </w:rPr>
              <w:t>58,611</w:t>
            </w:r>
          </w:p>
        </w:tc>
        <w:tc>
          <w:tcPr>
            <w:tcW w:w="1080" w:type="dxa"/>
            <w:vAlign w:val="bottom"/>
          </w:tcPr>
          <w:p>
            <w:pPr>
              <w:spacing w:before="60" w:after="60" w:line="200" w:lineRule="exact"/>
              <w:rPr>
                <w:b/>
                <w:noProof/>
                <w:sz w:val="16"/>
                <w:szCs w:val="16"/>
              </w:rPr>
            </w:pPr>
            <w:r>
              <w:rPr>
                <w:rFonts w:ascii="Calibri" w:hAnsi="Calibri"/>
                <w:noProof/>
                <w:color w:val="000000"/>
                <w:sz w:val="22"/>
              </w:rPr>
              <w:t>857,467</w:t>
            </w:r>
          </w:p>
        </w:tc>
      </w:tr>
    </w:tbl>
    <w:p>
      <w:pPr>
        <w:spacing w:line="200" w:lineRule="exact"/>
        <w:rPr>
          <w:noProof/>
          <w:sz w:val="16"/>
          <w:szCs w:val="16"/>
        </w:rPr>
      </w:pPr>
    </w:p>
    <w:p>
      <w:pPr>
        <w:rPr>
          <w:noProof/>
          <w:sz w:val="18"/>
          <w:szCs w:val="18"/>
        </w:rPr>
      </w:pPr>
      <w:r>
        <w:rPr>
          <w:noProof/>
          <w:sz w:val="18"/>
          <w:szCs w:val="18"/>
        </w:rPr>
        <w:t>Бюджетните кредити, необходими за човешки ресурси и други разходи с административен характер, ще бъдат покрити от бюджетните кредити на ГД, които вече са определени за управлението на действието и/или които са преразпределени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 Допълнителният персонал ще бъде само външен персонал и ще се финансира единствено от целеви приходи.</w:t>
      </w:r>
    </w:p>
    <w:p>
      <w:pPr>
        <w:keepNext/>
        <w:outlineLvl w:val="3"/>
        <w:rPr>
          <w:rFonts w:eastAsiaTheme="majorEastAsia"/>
          <w:iCs/>
          <w:noProof/>
          <w:szCs w:val="24"/>
        </w:rPr>
      </w:pPr>
      <w:r>
        <w:rPr>
          <w:noProof/>
        </w:rPr>
        <w:t>Очаквани нужди от човешки ресурси</w:t>
      </w:r>
    </w:p>
    <w:p>
      <w:pPr>
        <w:rPr>
          <w:rFonts w:eastAsia="Times New Roman"/>
          <w:noProof/>
        </w:rPr>
      </w:pPr>
      <w:r>
        <w:rPr>
          <w:noProof/>
        </w:rPr>
        <w:sym w:font="Wingdings" w:char="F0A8"/>
      </w:r>
      <w:r>
        <w:rPr>
          <w:noProof/>
        </w:rPr>
        <w:tab/>
        <w:t xml:space="preserve">Предложението/инициативата не налага използване на човешки ресурси </w:t>
      </w:r>
    </w:p>
    <w:p>
      <w:pPr>
        <w:rPr>
          <w:rFonts w:eastAsia="Times New Roman"/>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2" w:type="pct"/>
            <w:gridSpan w:val="2"/>
          </w:tcPr>
          <w:p>
            <w:pPr>
              <w:spacing w:beforeLines="20" w:before="48" w:afterLines="20" w:after="48"/>
              <w:ind w:left="134"/>
              <w:jc w:val="left"/>
              <w:rPr>
                <w:b/>
                <w:noProof/>
                <w:sz w:val="16"/>
                <w:szCs w:val="16"/>
              </w:rPr>
            </w:pPr>
            <w:r>
              <w:rPr>
                <w:noProof/>
                <w:sz w:val="16"/>
                <w:szCs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szCs w:val="16"/>
              </w:rPr>
              <w:t xml:space="preserve"> Външен персонал (в еквивалент на пълно работно време: ЕПРВ) — ДНП, МП, КНЕ, ПНА и МЕД</w:t>
            </w:r>
            <w:r>
              <w:rPr>
                <w:noProof/>
                <w:sz w:val="16"/>
                <w:szCs w:val="16"/>
              </w:rPr>
              <w:t xml:space="preserve"> </w:t>
            </w:r>
            <w:r>
              <w:rPr>
                <w:rStyle w:val="FootnoteReference"/>
                <w:noProof/>
              </w:rPr>
              <w:footnoteReference w:id="17"/>
            </w:r>
          </w:p>
          <w:p>
            <w:pPr>
              <w:spacing w:before="0" w:after="0"/>
              <w:jc w:val="left"/>
              <w:rPr>
                <w:noProof/>
                <w:sz w:val="16"/>
                <w:szCs w:val="16"/>
              </w:rPr>
            </w:pPr>
            <w:r>
              <w:rPr>
                <w:noProof/>
                <w:sz w:val="16"/>
                <w:szCs w:val="16"/>
              </w:rPr>
              <w:t>Функция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r>
              <w:rPr>
                <w:b/>
                <w:noProof/>
                <w:sz w:val="16"/>
                <w:szCs w:val="16"/>
              </w:rPr>
              <w:t xml:space="preserve"> </w:t>
            </w:r>
          </w:p>
        </w:tc>
        <w:tc>
          <w:tcPr>
            <w:tcW w:w="737" w:type="pct"/>
            <w:vAlign w:val="center"/>
          </w:tcPr>
          <w:p>
            <w:pPr>
              <w:spacing w:beforeLines="20" w:before="48" w:afterLines="20" w:after="48"/>
              <w:ind w:left="136"/>
              <w:jc w:val="left"/>
              <w:rPr>
                <w:b/>
                <w:noProof/>
                <w:sz w:val="16"/>
                <w:szCs w:val="16"/>
              </w:rPr>
            </w:pPr>
            <w:r>
              <w:rPr>
                <w:noProof/>
                <w:sz w:val="16"/>
                <w:szCs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szCs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 xml:space="preserve">Финансирани от </w:t>
            </w:r>
            <w:r>
              <w:rPr>
                <w:noProof/>
                <w:sz w:val="16"/>
                <w:szCs w:val="16"/>
              </w:rPr>
              <w:lastRenderedPageBreak/>
              <w:t>финансовия пакет на програмата</w:t>
            </w:r>
            <w:r>
              <w:rPr>
                <w:b/>
                <w:noProof/>
                <w:sz w:val="16"/>
                <w:szCs w:val="16"/>
              </w:rPr>
              <w:t xml:space="preserve"> </w:t>
            </w:r>
            <w:r>
              <w:rPr>
                <w:rStyle w:val="FootnoteReference"/>
                <w:noProof/>
              </w:rPr>
              <w:footnoteReference w:id="18"/>
            </w: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lastRenderedPageBreak/>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lastRenderedPageBreak/>
              <w:t>Други: външни целеви приходи (научни изследвания)</w:t>
            </w:r>
            <w:r>
              <w:rPr>
                <w:rStyle w:val="FootnoteReference"/>
                <w:noProof/>
                <w:sz w:val="16"/>
                <w:szCs w:val="16"/>
              </w:rPr>
              <w:footnoteReference w:id="19"/>
            </w:r>
            <w:r>
              <w:rPr>
                <w:noProof/>
                <w:sz w:val="16"/>
                <w:szCs w:val="16"/>
              </w:rPr>
              <w:t xml:space="preserve">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60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Други: външни целеви приходи (без връзка с научните изследвания) — ИСРМС</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Други: външни целеви приходи (без връзка с научните изследвания) — ЕЗФРСР</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szCs w:val="16"/>
              </w:rPr>
              <w:t>ОБЩО</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225</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219</w:t>
            </w:r>
          </w:p>
        </w:tc>
        <w:tc>
          <w:tcPr>
            <w:tcW w:w="533" w:type="pct"/>
            <w:tcBorders>
              <w:top w:val="double" w:sz="4" w:space="0" w:color="auto"/>
            </w:tcBorders>
            <w:shd w:val="clear" w:color="auto" w:fill="auto"/>
          </w:tcPr>
          <w:p>
            <w:pPr>
              <w:spacing w:beforeLines="20" w:before="48" w:afterLines="20" w:after="48"/>
              <w:rPr>
                <w:b/>
                <w:noProof/>
                <w:sz w:val="16"/>
                <w:szCs w:val="16"/>
              </w:rPr>
            </w:pPr>
            <w:r>
              <w:rPr>
                <w:noProof/>
              </w:rPr>
              <w:t>189</w:t>
            </w:r>
          </w:p>
        </w:tc>
        <w:tc>
          <w:tcPr>
            <w:tcW w:w="468" w:type="pct"/>
            <w:tcBorders>
              <w:top w:val="double" w:sz="4" w:space="0" w:color="auto"/>
            </w:tcBorders>
            <w:shd w:val="clear" w:color="auto" w:fill="auto"/>
          </w:tcPr>
          <w:p>
            <w:pPr>
              <w:spacing w:beforeLines="20" w:before="48" w:afterLines="20" w:after="48"/>
              <w:rPr>
                <w:b/>
                <w:noProof/>
                <w:sz w:val="16"/>
                <w:szCs w:val="16"/>
              </w:rPr>
            </w:pPr>
            <w:r>
              <w:rPr>
                <w:noProof/>
              </w:rPr>
              <w:t>134</w:t>
            </w:r>
          </w:p>
        </w:tc>
        <w:tc>
          <w:tcPr>
            <w:tcW w:w="527" w:type="pct"/>
            <w:tcBorders>
              <w:top w:val="double" w:sz="4" w:space="0" w:color="auto"/>
            </w:tcBorders>
            <w:shd w:val="clear" w:color="auto" w:fill="auto"/>
          </w:tcPr>
          <w:p>
            <w:pPr>
              <w:spacing w:beforeLines="20" w:before="48" w:afterLines="20" w:after="48"/>
              <w:rPr>
                <w:b/>
                <w:noProof/>
                <w:sz w:val="16"/>
                <w:szCs w:val="16"/>
              </w:rPr>
            </w:pPr>
            <w:r>
              <w:rPr>
                <w:noProof/>
              </w:rPr>
              <w:t>120</w:t>
            </w:r>
          </w:p>
        </w:tc>
      </w:tr>
    </w:tbl>
    <w:p>
      <w:pPr>
        <w:ind w:left="850"/>
        <w:rPr>
          <w:noProof/>
          <w:sz w:val="18"/>
          <w:szCs w:val="18"/>
        </w:rPr>
      </w:pPr>
      <w:r>
        <w:rPr>
          <w:noProof/>
          <w:sz w:val="18"/>
          <w:szCs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 xml:space="preserve"> </w:t>
      </w:r>
      <w:r>
        <w:rPr>
          <w:noProof/>
          <w:sz w:val="18"/>
          <w:szCs w:val="18"/>
        </w:rPr>
        <w:t>Допълнителният персонал ще бъде само външен персонал и ще се финансира единствено от целеви приходи.</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spacing w:before="60" w:after="60"/>
              <w:rPr>
                <w:noProof/>
                <w:sz w:val="20"/>
              </w:rPr>
            </w:pPr>
            <w:r>
              <w:rPr>
                <w:noProof/>
                <w:sz w:val="20"/>
              </w:rPr>
              <w:t>Външен персонал</w:t>
            </w:r>
          </w:p>
        </w:tc>
        <w:tc>
          <w:tcPr>
            <w:tcW w:w="7392" w:type="dxa"/>
          </w:tcPr>
          <w:p>
            <w:pPr>
              <w:rPr>
                <w:noProof/>
                <w:sz w:val="20"/>
              </w:rPr>
            </w:pPr>
            <w:r>
              <w:rPr>
                <w:noProof/>
                <w:sz w:val="20"/>
              </w:rPr>
              <w:t xml:space="preserve">Външният персонал ще подпомага длъжностните лица и срочно наетите служители да допринасят за изпълнението на мерките, посочени в Регламента за Европейски инструмент за възстановяване, като те бъдат осъществявани по линия на съответните програми. </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keepNext/>
        <w:outlineLvl w:val="1"/>
        <w:rPr>
          <w:rFonts w:eastAsiaTheme="majorEastAsia"/>
          <w:b/>
          <w:noProof/>
          <w:szCs w:val="24"/>
        </w:rPr>
      </w:pPr>
      <w:bookmarkStart w:id="58" w:name="_Toc514941995"/>
      <w:bookmarkStart w:id="59" w:name="_Toc40376080"/>
      <w:r>
        <w:rPr>
          <w:b/>
          <w:bCs/>
          <w:noProof/>
          <w:szCs w:val="26"/>
        </w:rPr>
        <w:t>Очаквано отражение върху приходите</w:t>
      </w:r>
      <w:bookmarkEnd w:id="58"/>
      <w:bookmarkEnd w:id="59"/>
      <w:r>
        <w:rPr>
          <w:b/>
          <w:bCs/>
          <w:noProof/>
          <w:szCs w:val="26"/>
        </w:rPr>
        <w:t xml:space="preserve"> </w:t>
      </w:r>
    </w:p>
    <w:p>
      <w:pPr>
        <w:rPr>
          <w:rFonts w:eastAsia="Times New Roman"/>
          <w:noProof/>
        </w:rPr>
      </w:pPr>
      <w:r>
        <w:rPr>
          <w:noProof/>
        </w:rPr>
        <w:t>X</w:t>
      </w:r>
      <w:r>
        <w:rPr>
          <w:noProof/>
        </w:rPr>
        <w:tab/>
        <w:t>Предложението/инициативата няма финансово отражение върху приходите.</w:t>
      </w:r>
    </w:p>
    <w:p>
      <w:pPr>
        <w:rPr>
          <w:rFonts w:eastAsia="Times New Roman"/>
          <w:noProof/>
        </w:rPr>
      </w:pPr>
      <w:r>
        <w:rPr>
          <w:noProof/>
        </w:rPr>
        <w:sym w:font="Wingdings" w:char="F0A8"/>
      </w:r>
      <w:r>
        <w:rPr>
          <w:noProof/>
        </w:rPr>
        <w:tab/>
        <w:t>Предложението/инициативата има следното финансово отражение:</w:t>
      </w:r>
    </w:p>
    <w:p>
      <w:pPr>
        <w:ind w:left="2126" w:hanging="709"/>
        <w:rPr>
          <w:rFonts w:eastAsia="Times New Roman"/>
          <w:noProof/>
        </w:rPr>
      </w:pPr>
      <w:r>
        <w:rPr>
          <w:noProof/>
        </w:rPr>
        <w:sym w:font="Wingdings" w:char="F0A8"/>
      </w:r>
      <w:r>
        <w:rPr>
          <w:noProof/>
        </w:rPr>
        <w:tab/>
        <w:t xml:space="preserve">върху собствените ресурси </w:t>
      </w:r>
    </w:p>
    <w:p>
      <w:pPr>
        <w:ind w:left="2126" w:hanging="709"/>
        <w:rPr>
          <w:rFonts w:eastAsia="Times New Roman"/>
          <w:noProof/>
        </w:rPr>
      </w:pPr>
      <w:r>
        <w:rPr>
          <w:noProof/>
        </w:rPr>
        <w:sym w:font="Wingdings" w:char="F0A8"/>
      </w:r>
      <w:r>
        <w:rPr>
          <w:noProof/>
        </w:rPr>
        <w:tab/>
        <w:t>върху разните приходи</w:t>
      </w:r>
    </w:p>
    <w:p>
      <w:pPr>
        <w:rPr>
          <w:noProof/>
        </w:rPr>
      </w:pPr>
      <w:r>
        <w:rPr>
          <w:noProof/>
        </w:rPr>
        <w:t>Моля, посочете дали приходите са записани по разходни бюджетни редове.</w:t>
      </w:r>
      <w:r>
        <w:rPr>
          <w:noProof/>
        </w:rPr>
        <w:tab/>
      </w:r>
    </w:p>
    <w:p>
      <w:pPr>
        <w:jc w:val="right"/>
        <w:rPr>
          <w:i/>
          <w:noProof/>
          <w:sz w:val="20"/>
        </w:rPr>
      </w:pPr>
      <w:r>
        <w:rPr>
          <w:noProof/>
        </w:rPr>
        <w:t>млн. EUR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2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szCs w:val="20"/>
        </w:rPr>
      </w:pPr>
      <w:r>
        <w:rPr>
          <w:noProof/>
          <w:sz w:val="20"/>
          <w:szCs w:val="20"/>
        </w:rPr>
        <w:t>За целевите приходи да се посочат съответните разходни бюджетни редове.</w:t>
      </w:r>
    </w:p>
    <w:p>
      <w:pPr>
        <w:ind w:left="850"/>
        <w:rPr>
          <w:noProof/>
        </w:rPr>
      </w:pPr>
      <w:r>
        <w:rPr>
          <w:noProof/>
          <w:color w:val="0000FF"/>
        </w:rPr>
        <w:t>[...]</w:t>
      </w:r>
    </w:p>
    <w:p>
      <w:pPr>
        <w:ind w:left="850"/>
        <w:rPr>
          <w:noProof/>
          <w:sz w:val="16"/>
          <w:szCs w:val="16"/>
        </w:rPr>
      </w:pPr>
      <w:r>
        <w:rPr>
          <w:noProof/>
          <w:sz w:val="20"/>
          <w:szCs w:val="20"/>
        </w:rPr>
        <w:t>Други забележки (например метод/формула за изчисляване на отражението върху приходите или друга информация).</w:t>
      </w:r>
      <w:r>
        <w:rPr>
          <w:noProof/>
          <w:sz w:val="16"/>
          <w:szCs w:val="16"/>
        </w:rPr>
        <w:t xml:space="preserve"> </w:t>
      </w:r>
    </w:p>
    <w:p>
      <w:pPr>
        <w:ind w:left="850"/>
        <w:rPr>
          <w:noProof/>
        </w:rPr>
      </w:pPr>
      <w:r>
        <w:rPr>
          <w:noProof/>
          <w:color w:val="0000FF"/>
        </w:rPr>
        <w:t>[...]</w:t>
      </w:r>
    </w:p>
    <w:p>
      <w:pPr>
        <w:ind w:left="850"/>
        <w:rPr>
          <w:noProof/>
        </w:rPr>
      </w:pPr>
    </w:p>
    <w:p>
      <w:pPr>
        <w:keepNext/>
        <w:rPr>
          <w:noProof/>
        </w:rPr>
      </w:pPr>
    </w:p>
    <w:p>
      <w:pPr>
        <w:rPr>
          <w:noProof/>
        </w:rPr>
      </w:pPr>
    </w:p>
    <w:sectPr>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Европейска икономическа прогноза, Институционален документ № 125, май 2020 г.</w:t>
      </w:r>
    </w:p>
  </w:footnote>
  <w:footnote w:id="3">
    <w:p>
      <w:pPr>
        <w:pStyle w:val="FootnoteText"/>
        <w:rPr>
          <w:szCs w:val="24"/>
        </w:rPr>
      </w:pPr>
      <w:r>
        <w:rPr>
          <w:rStyle w:val="FootnoteReference"/>
        </w:rPr>
        <w:footnoteRef/>
      </w:r>
      <w:r>
        <w:tab/>
        <w:t>Съгласно член 58, параграф 2, буква а) или б) от Финансовия регламент.</w:t>
      </w:r>
    </w:p>
  </w:footnote>
  <w:footnote w:id="4">
    <w:p>
      <w:pPr>
        <w:pStyle w:val="FootnoteText"/>
      </w:pPr>
      <w:r>
        <w:rPr>
          <w:rStyle w:val="FootnoteReference"/>
        </w:rPr>
        <w:footnoteRef/>
      </w:r>
      <w:r>
        <w:tab/>
        <w:t>COM(2017) 720 final</w:t>
      </w:r>
    </w:p>
  </w:footnote>
  <w:footnote w:id="5">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r>
        <w:t xml:space="preserve"> </w:t>
      </w:r>
    </w:p>
  </w:footnote>
  <w:footnote w:id="6">
    <w:p>
      <w:pPr>
        <w:pStyle w:val="FootnoteText"/>
        <w:rPr>
          <w:szCs w:val="24"/>
        </w:rPr>
      </w:pPr>
      <w:r>
        <w:rPr>
          <w:rStyle w:val="FootnoteReference"/>
        </w:rPr>
        <w:footnoteRef/>
      </w:r>
      <w:r>
        <w:tab/>
        <w:t>Многогод.= многогодишни бюджетни кредити / едногод. = едногодишни бюджетни кредити.</w:t>
      </w:r>
    </w:p>
  </w:footnote>
  <w:footnote w:id="7">
    <w:p>
      <w:pPr>
        <w:pStyle w:val="FootnoteText"/>
        <w:rPr>
          <w:szCs w:val="24"/>
        </w:rPr>
      </w:pPr>
      <w:r>
        <w:rPr>
          <w:rStyle w:val="FootnoteReference"/>
        </w:rPr>
        <w:footnoteRef/>
      </w:r>
      <w:r>
        <w:tab/>
        <w:t xml:space="preserve">ЕАСТ: Европейска асоциация за свободна търговия. </w:t>
      </w:r>
    </w:p>
  </w:footnote>
  <w:footnote w:id="8">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9">
    <w:p>
      <w:pPr>
        <w:pStyle w:val="FootnoteText"/>
        <w:rPr>
          <w:szCs w:val="24"/>
        </w:rPr>
      </w:pPr>
      <w:r>
        <w:rPr>
          <w:rStyle w:val="FootnoteReference"/>
        </w:rPr>
        <w:footnoteRef/>
      </w:r>
      <w:r>
        <w:tab/>
        <w:t>Многогод.= многогодишни бюджетни кредити / едногод. = едногодишни бюджетни кредити.</w:t>
      </w:r>
    </w:p>
  </w:footnote>
  <w:footnote w:id="10">
    <w:p>
      <w:pPr>
        <w:pStyle w:val="FootnoteText"/>
        <w:rPr>
          <w:szCs w:val="24"/>
        </w:rPr>
      </w:pPr>
      <w:r>
        <w:rPr>
          <w:rStyle w:val="FootnoteReference"/>
        </w:rPr>
        <w:footnoteRef/>
      </w:r>
      <w:r>
        <w:tab/>
        <w:t xml:space="preserve">ЕАСТ: Европейска асоциация за свободна търговия. </w:t>
      </w:r>
    </w:p>
  </w:footnote>
  <w:footnote w:id="11">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12">
    <w:p>
      <w:pPr>
        <w:pStyle w:val="FootnoteText"/>
        <w:rPr>
          <w:szCs w:val="24"/>
        </w:rPr>
      </w:pPr>
      <w:r>
        <w:rPr>
          <w:rStyle w:val="FootnoteReference"/>
        </w:rPr>
        <w:footnoteRef/>
      </w:r>
      <w:r>
        <w:tab/>
        <w:t>Многогод.= многогодишни бюджетни кредити / едногод. = едногодишни бюджетни кредити.</w:t>
      </w:r>
    </w:p>
  </w:footnote>
  <w:footnote w:id="13">
    <w:p>
      <w:pPr>
        <w:pStyle w:val="FootnoteText"/>
        <w:rPr>
          <w:szCs w:val="24"/>
        </w:rPr>
      </w:pPr>
      <w:r>
        <w:rPr>
          <w:rStyle w:val="FootnoteReference"/>
        </w:rPr>
        <w:footnoteRef/>
      </w:r>
      <w:r>
        <w:tab/>
        <w:t xml:space="preserve">ЕАСТ: Европейска асоциация за свободна търговия. </w:t>
      </w:r>
    </w:p>
  </w:footnote>
  <w:footnote w:id="14">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15">
    <w:p>
      <w:pPr>
        <w:pStyle w:val="FootnoteText"/>
      </w:pPr>
      <w:r>
        <w:rPr>
          <w:rStyle w:val="FootnoteReference"/>
        </w:rPr>
        <w:footnoteRef/>
      </w:r>
      <w:r>
        <w:tab/>
      </w:r>
      <w:r>
        <w:rPr>
          <w:i/>
        </w:rPr>
        <w:t>За финансирани от административните разходи дейности, като например мониторинг на изпълнението, включително одит и финансово управление, участие в процеса на приключване на програми, задължения могат да се поемат до 2027 г. (за подробности вж. таблицата по-горе).</w:t>
      </w:r>
    </w:p>
  </w:footnote>
  <w:footnote w:id="1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7">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8">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9">
    <w:p>
      <w:pPr>
        <w:pStyle w:val="FootnoteText"/>
      </w:pPr>
      <w:r>
        <w:rPr>
          <w:rStyle w:val="FootnoteReference"/>
        </w:rPr>
        <w:footnoteRef/>
      </w:r>
      <w:r>
        <w:tab/>
        <w:t>Тези оценки не засягат допълнителния персонал, необходим в изпълнителните агенции и финансиран от външните целеви приходи въз основа на цялостна преценка на отражението върху ресурсите.</w:t>
      </w:r>
    </w:p>
  </w:footnote>
  <w:footnote w:id="20">
    <w:p>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485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C2B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4A51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F2EB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C6B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085E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DEA1D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16"/>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14"/>
    <w:lvlOverride w:ilvl="0">
      <w:startOverride w:val="1"/>
    </w:lvlOverride>
  </w:num>
  <w:num w:numId="21">
    <w:abstractNumId w:val="20"/>
    <w:lvlOverride w:ilvl="0">
      <w:startOverride w:val="1"/>
    </w:lvlOverride>
  </w:num>
  <w:num w:numId="22">
    <w:abstractNumId w:val="20"/>
  </w:num>
  <w:num w:numId="23">
    <w:abstractNumId w:val="12"/>
  </w:num>
  <w:num w:numId="24">
    <w:abstractNumId w:val="22"/>
  </w:num>
  <w:num w:numId="25">
    <w:abstractNumId w:val="11"/>
  </w:num>
  <w:num w:numId="26">
    <w:abstractNumId w:val="13"/>
  </w:num>
  <w:num w:numId="27">
    <w:abstractNumId w:val="9"/>
  </w:num>
  <w:num w:numId="28">
    <w:abstractNumId w:val="21"/>
  </w:num>
  <w:num w:numId="29">
    <w:abstractNumId w:val="8"/>
  </w:num>
  <w:num w:numId="30">
    <w:abstractNumId w:val="14"/>
  </w:num>
  <w:num w:numId="31">
    <w:abstractNumId w:val="18"/>
  </w:num>
  <w:num w:numId="32">
    <w:abstractNumId w:val="19"/>
  </w:num>
  <w:num w:numId="33">
    <w:abstractNumId w:val="10"/>
  </w:num>
  <w:num w:numId="34">
    <w:abstractNumId w:val="17"/>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6:12: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312A925-628D-4487-8F96-A2467C08F275"/>
    <w:docVar w:name="LW_COVERPAGE_TYPE" w:val="1"/>
    <w:docVar w:name="LW_CROSSREFERENCE" w:val="&lt;UNUSED&gt;"/>
    <w:docVar w:name="LW_DocType" w:val="COM"/>
    <w:docVar w:name="LW_EMISSION" w:val="29.5.2020"/>
    <w:docVar w:name="LW_EMISSION_ISODATE" w:val="2020-05-29"/>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0)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48?\u1079?\u1084?\u1077?\u1085?\u1077?\u1085?\u1086? \u1087?\u1088?\u1077?\u1076?\u1083?\u1086?\u1078?\u1077?\u1085?\u1080?\u1077? \u1079?\u1072?"/>
    <w:docVar w:name="LW_SUPERTITRE" w:val="&lt;UNUSED&gt;"/>
    <w:docVar w:name="LW_TITRE.OBJ.CP" w:val="\u1079?\u1072? \u1089?\u1098?\u1079?\u1076?\u1072?\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u1080? \u1079?\u1072? \u1086?\u1087?\u1088?\u1077?\u1076?\u1077?\u1083?\u1103?\u1085?\u1077? \u1085?\u1072? \u1085?\u1077?\u1081?\u1085?\u1080?\u1090?\u1077? \u1087?\u1088?\u1072?\u1074?\u1080?\u1083?\u1072? \u1079?\u1072? \u1091?\u1095?\u1072?\u1089?\u1090?\u1080?\u1077? \u1080? \u1088?\u1072?\u1079?\u1087?\u1088?\u1086?\u1089?\u1090?\u1088?\u1072?\u1085?\u1077?\u1085?\u1080?\u1077? \u1085?\u1072? \u1088?\u1077?\u1079?\u1091?\u1083?\u1090?\u1072?\u1090?\u1080?\u1090?\u1077?, _x000b_  _x000b_\u1056?\u1045?\u1064?\u1045?\u1053?\u1048?\u1045? \u1053?\u1040? \u1045?\u1042?\u1056?\u1054?\u1055?\u1045?\u1049?\u1057?\u1050?\u1048?\u1071? \u1055?\u1040?\u1056?\u1051?\u1040?\u1052?\u1045?\u1053?\u1058? \u1048? \u1053?\u1040? \u1057?\u1066?\u1042?\u1045?\u1058?\u1040? _x000b_\u1079?\u1072? \u1089?\u1098?\u1079?\u1076?\u1072?\u1074?\u1072?\u1085?\u1077? \u1085?\u1072? \u1089?\u1087?\u1077?\u1094?\u1080?\u1092?\u1080?\u1095?\u1085?\u1072? \u1087?\u1088?\u1086?\u1075?\u1088?\u1072?\u1084?\u1072? \u1079?\u1072? \u1086?\u1089?\u1098?\u1097?\u1077?\u1089?\u1090?\u1074?\u1103?\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_x000b_  _x000b_\u1056?\u1045?\u1043?\u1051?\u1040?\u1052?\u1045?\u1053?\u1058? \u1053?\u1040? \u1045?\u1042?\u1056?\u1054?\u1055?\u1045?\u1049?\u1057?\u1050?\u1048?\u1071? \u1055?\u1040?\u1056?\u1051?\u1040?\u1052?\u1045?\u1053?\u1058? \u1048? \u1053?\u1040? \u1057?\u1066?\u1042?\u1045?\u1058?\u1040? \u1079?\u1072? \u1089?\u1098?\u1079?\u1076?\u1072?\u1074?\u1072?\u1085?\u1077? \u1085?\u1072? \u1048?\u1085?\u1089?\u1090?\u1088?\u1091?\u1084?\u1077?\u1085?\u1090?\u1072? \u1079?\u1072? \u1089?\u1098?\u1089?\u1077?\u1076?\u1089?\u1090?\u1074?\u1086?, \u1089?\u1098?\u1090?\u1088?\u1091?\u1076?\u1085?\u1080?\u1095?\u1077?\u1089?\u1090?\u1074?\u1086? \u1079?\u1072? \u1088?\u1072?\u1079?\u1074?\u1080?\u1090?\u1080?\u1077? \u1080? \u1084?\u1077?\u1078?\u1076?\u1091?\u1085?\u1072?\u1088?\u1086?\u1076?\u1085?\u1086? \u1089?\u1098?\u1090?\u1088?\u1091?\u1076?\u1085?\u1080?\u1095?\u1077?\u1089?\u1090?\u1074?\u1086?, _x000b_ _x000b_\u1056?\u1045?\u1043?\u1051?\u1040?\u1052?\u1045?\u1053?\u1058? \u1053?\u1040? \u1045?\u1042?\u1056?\u1054?\u1055?\u1045?\u1049?\u1057?\u1050?\u1048?\u1071? \u1055?\u1040?\u1056?\u1051?\u1040?\u1052?\u1045?\u1053?\u1058? \u1048? \u1053?\u1040? \u1057?\u1066?\u1042?\u1045?\u1058?\u1040? \u1079?\u1072? \u1091?\u1089?\u1090?\u1072?\u1085?\u1086?\u1074?\u1103?\u1074?\u1072?\u1085?\u1077? \u1085?\u1072? \u1087?\u1088?\u1072?\u1074?\u1080?\u1083?\u1072? \u1079?\u1072? \u1087?\u1086?\u1076?\u1087?\u1086?\u1084?\u1072?\u1075?\u1072?\u1085?\u1077? \u1085?\u1072? \u1089?\u1090?\u1088?\u1072?\u1090?\u1077?\u1075?\u1080?\u1095?\u1077?\u1089?\u1082?\u1080?\u1090?\u1077? \u1087?\u1083?\u1072?\u1085?\u1086?\u1074?\u1077?, \u1082?\u1086?\u1080?\u1090?\u1086? \u1090?\u1088?\u1103?\u1073?\u1074?\u1072? \u1076?\u1072? \u1073?\u1098?\u1076?\u1072?\u1090? \u1080?\u1079?\u1075?\u1086?\u1090?\u1074?\u1077?\u1085?\u1080? \u1086?\u1090? \u1076?\u1098?\u1088?\u1078?\u1072?\u1074?\u1080?\u1090?\u1077? \u1095?\u1083?\u1077?\u1085?\u1082?\u1080? \u1087?\u1086? \u1083?\u1080?\u1085?\u1080?\u1103? \u1085?\u1072? \u1054?\u1073?\u1097?\u1072?\u1090?\u1072? \u1089?\u1077?\u1083?\u1089?\u1082?\u1086?\u1089?\u1090?\u1086?\u1087?\u1072?\u1085?\u1089?\u1082?\u1072? \u1087?\u1086?\u1083?\u1080?\u1090?\u1080?\u1082?\u1072? (\u1089?\u1090?\u1088?\u1072?\u1090?\u1077?\u1075?\u1080?\u1095?\u1077?\u1089?\u1082?\u1080?\u1090?\u1077? \u1087?\u1083?\u1072?\u1085?\u1086?\u1074?\u1077? \u1087?\u1086? \u1054?\u1057?\u1055?) \u1080? \u1092?\u1080?\u1085?\u1072?\u1085?\u1089?\u1080?\u1088?\u1072?\u1085?\u1080? \u1086?\u1090? \u1045?\u1074?\u1088?\u1086?\u1087?\u1077?\u1081?\u1089?\u1082?\u1080?\u1103? \u1092?\u1086?\u1085?\u1076? \u1079?\u1072? \u1075?\u1072?\u1088?\u1072?\u1085?\u1090?\u1080?\u1088?\u1072?\u1085?\u1077? \u1085?\u1072? \u1079?\u1077?\u1084?\u1077?\u1076?\u1077?\u1083?\u1080?\u1077?\u1090?\u1086? (\u1045?\u1060?\u1043?\u1047?) \u1080? \u1086?\u1090? \u1045?\u1074?\u1088?\u1086?\u1087?\u1077?\u1081?\u1089?\u1082?\u1080?\u1103? \u1079?\u1077?\u1084?\u1077?\u1076?\u1077?\u1083?\u1089?\u1082?\u1080? \u1092?\u1086?\u1085?\u1076? \u1079?\u1072? \u1088?\u1072?\u1079?\u1074?\u1080?\u1090?\u1080?\u1077? \u1085?\u1072? \u1089?\u1077?\u1083?\u1089?\u1082?\u1080?\u1090?\u1077? \u1088?\u1072?\u1081?\u1086?\u1085?\u1080? (\u1045?\u1047?\u1060?\u1056?\u1057?\u1056?), \u1080? \u1079?\u1072? \u1086?\u1090?\u1084?\u1103?\u1085?\u1072? \u1085?\u1072? \u1056?\u1077?\u1075?\u1083?\u1072?\u1084?\u1077?\u1085?\u1090? (\u1045?\u1057?) \u8470? 1305/2013 \u1085?\u1072? \u1045?\u1074?\u1088?\u1086?\u1087?\u1077?\u1081?\u1089?\u1082?\u1080?\u1103? \u1087?\u1072?\u1088?\u1083?\u1072?\u1084?\u1077?\u1085?\u1090? \u1080? \u1085?\u1072? \u1057?\u1098?\u1074?\u1077?\u1090?\u1072? \u1080? \u1056?\u1077?\u1075?\u1083?\u1072?\u1084?\u1077?\u1085?\u1090? (\u1045?\u1057?) \u8470? 1307/2013 \u1085?\u1072? \u1045?\u1074?\u1088?\u1086?\u1087?\u1077?\u1081?\u1089?\u1082?\u1080?\u1103? \u1087?\u1072?\u1088?\u1083?\u1072?\u1084?\u1077?\u1085?\u1090? \u1080? \u1085?\u1072? \u1057?\u1098?\u1074?\u1077?\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245">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21110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1CADAE-DF96-4BB8-8D36-1B66A72A3F82}">
  <ds:schemaRefs>
    <ds:schemaRef ds:uri="http://schemas.microsoft.com/sharepoint/v3/contenttype/forms"/>
  </ds:schemaRefs>
</ds:datastoreItem>
</file>

<file path=customXml/itemProps2.xml><?xml version="1.0" encoding="utf-8"?>
<ds:datastoreItem xmlns:ds="http://schemas.openxmlformats.org/officeDocument/2006/customXml" ds:itemID="{5457D9B3-4F7E-4805-9A84-0F90B7F0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2F9AB1-4B86-47BF-BE60-053414D77EE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CC10341-F957-44A2-9DCE-DC576C41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26</Pages>
  <Words>6701</Words>
  <Characters>39201</Characters>
  <Application>Microsoft Office Word</Application>
  <DocSecurity>0</DocSecurity>
  <Lines>1507</Lines>
  <Paragraphs>805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2020-05-29T09:55:00Z</dcterms:created>
  <dcterms:modified xsi:type="dcterms:W3CDTF">2020-05-29T14:12:00Z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ies>
</file>