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7770FF2-FB16-45CC-843A-BA712640CD29" style="width:450.4pt;height:338.4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rPr>
          <w:rFonts w:eastAsia="Arial Unicode MS"/>
          <w:noProof/>
        </w:rPr>
      </w:pPr>
      <w:r>
        <w:rPr>
          <w:noProof/>
        </w:rPr>
        <w:t>Избухването на пандемията от COVID-19 промени икономическите перспективи за следващите години както в Съюза, така и по света. Краткосрочното въздействие на кризата, предизвикана от COVID-19, в отделните държави членки ще зависи от продължителността и строгостта на ограничителните мерки, от структурата на производството и от мерките на икономическата политика, предприети за смекчаване на непосредственото въздействие на кризата. Средносрочните и дългосрочните последици от кризата ще зависят от устойчивостта на техните икономики. Предвид разликите в краткосрочното икономическо въздействие и наличните възможности за провеждане на политики съществува реален риск, че при липсата на решителни политически действия кризата с COVID-19 ще доведе до допълнително задълбочаване на различията в Съюза.</w:t>
      </w:r>
    </w:p>
    <w:p>
      <w:pPr>
        <w:spacing w:before="0" w:after="200"/>
        <w:rPr>
          <w:rFonts w:eastAsia="Arial Unicode MS"/>
          <w:noProof/>
        </w:rPr>
      </w:pPr>
      <w:r>
        <w:rPr>
          <w:noProof/>
        </w:rPr>
        <w:t>Постепенната отмяна на противоепидемичните мерки следва да бъде съпътствана от стратегическо планиране на възстановяването с цел съживяване на икономиката и продължаване на курса към устойчив растеж. Това изисква подкрепа за публичните и частните инвестиции, но също така и увеличаване на усилията на държавите членки за реформи, за да преодолеят основните социални и икономически слабости на своите икономики, да се подобри тяхната устойчивост и да се улесни възобновяването на устойчивия растеж. В тази връзка от решаващо значение е да се продължат усилията на държавите членки за реформи, като им се предостави значителна техническа подкрепа за укрепване на административния им капацитет за подготовка и осъществяване на реформите, които ще насърчат устойчивостта и ще подкрепят възстановяването.</w:t>
      </w:r>
    </w:p>
    <w:p>
      <w:pPr>
        <w:pBdr>
          <w:top w:val="nil"/>
          <w:left w:val="nil"/>
          <w:bottom w:val="nil"/>
          <w:right w:val="nil"/>
          <w:between w:val="nil"/>
          <w:bar w:val="nil"/>
        </w:pBdr>
        <w:spacing w:before="0" w:after="240"/>
        <w:rPr>
          <w:rFonts w:eastAsia="Arial Unicode MS"/>
          <w:noProof/>
        </w:rPr>
      </w:pPr>
      <w:r>
        <w:rPr>
          <w:noProof/>
        </w:rPr>
        <w:t>С настоящия регламент се предлага да се създаде самостоятелен инструмент за техническа подкрепа, който да е на разположение на всички държави членки, като приемник на Програмата за подкрепа на структурните реформи (ППСР)</w:t>
      </w:r>
      <w:r>
        <w:rPr>
          <w:rStyle w:val="FootnoteReference"/>
          <w:noProof/>
        </w:rPr>
        <w:footnoteReference w:id="2"/>
      </w:r>
      <w:r>
        <w:rPr>
          <w:noProof/>
        </w:rPr>
        <w:t xml:space="preserve">. Инструментът за техническа подкрепа ще гарантира, че Комисията ще продължи да предоставя съобразено с нуждите експертно съдействие  на място, за да се гарантира, че държавите членки имат необходимия институционален и административен капацитет за разработване и прилагане на реформи за стимулиране на растежа и са в състояние да укрепят устойчивостта на европейските икономики чрез ефикасни и добре функциониращи административни структури. В този смисъл, както и при Програмата за подкрепа на структурните реформи, инструментът ще има за цел да съдейства на националните органи на отправилите такова искане държави членки в целия процес на реформи. </w:t>
      </w:r>
    </w:p>
    <w:p>
      <w:pPr>
        <w:pBdr>
          <w:top w:val="nil"/>
          <w:left w:val="nil"/>
          <w:bottom w:val="nil"/>
          <w:right w:val="nil"/>
          <w:between w:val="nil"/>
          <w:bar w:val="nil"/>
        </w:pBdr>
        <w:spacing w:before="0" w:after="240"/>
        <w:rPr>
          <w:rFonts w:eastAsia="Arial Unicode MS"/>
          <w:noProof/>
        </w:rPr>
      </w:pPr>
      <w:r>
        <w:rPr>
          <w:noProof/>
        </w:rPr>
        <w:t xml:space="preserve">От съображения за целесъобразност и с оглед на постигането на споразумение между съзаконодателите във възможно най-кратък срок, настоящото предложение за регламент се основава на най-новия текст относно инструмента за техническа подкрепа, съдържащ се в предложението на Комисията за създаване на Програма за </w:t>
      </w:r>
      <w:r>
        <w:rPr>
          <w:noProof/>
        </w:rPr>
        <w:lastRenderedPageBreak/>
        <w:t>подкрепа на реформите (ППР)</w:t>
      </w:r>
      <w:r>
        <w:rPr>
          <w:rStyle w:val="FootnoteReference"/>
          <w:noProof/>
        </w:rPr>
        <w:footnoteReference w:id="3"/>
      </w:r>
      <w:r>
        <w:rPr>
          <w:noProof/>
        </w:rPr>
        <w:t xml:space="preserve">, обсъден от съзаконодателите през последните месеци. Предложението за Програмата за подкрепа на реформите е оттеглено. </w:t>
      </w:r>
    </w:p>
    <w:p>
      <w:pPr>
        <w:pBdr>
          <w:top w:val="nil"/>
          <w:left w:val="nil"/>
          <w:bottom w:val="nil"/>
          <w:right w:val="nil"/>
          <w:between w:val="nil"/>
          <w:bar w:val="nil"/>
        </w:pBdr>
        <w:spacing w:before="0" w:after="240"/>
        <w:rPr>
          <w:rFonts w:eastAsia="Arial Unicode MS"/>
          <w:noProof/>
        </w:rPr>
      </w:pPr>
      <w:r>
        <w:rPr>
          <w:noProof/>
        </w:rPr>
        <w:t xml:space="preserve">На 31 май 2018 г. Комисията предложи Програмата за подкрепа на реформите в рамките на предложенията за секторните програми на Многогодишната финансова рамка (МФР) за периода 2021—2027 г. Това предложение включваше инструмент за техническа подкрепа, чиято цел беше да се подкрепят усилията на държавите членки за подобряване на изпълнението на структурните реформи в контекста на европейския семестър. Текстът на това предложение беше обсъден в Съвета по време на финландското и на хърватското председателство, като Съветът постигна принципно съгласие по този инструмент. Едновременно с това Европейският парламент работи по предложението на Комисията за Програмата за подкрепа на реформите и на 20 април 2020 г. представи проектодоклада си. </w:t>
      </w:r>
    </w:p>
    <w:p>
      <w:pPr>
        <w:pBdr>
          <w:top w:val="nil"/>
          <w:left w:val="nil"/>
          <w:bottom w:val="nil"/>
          <w:right w:val="nil"/>
          <w:between w:val="nil"/>
          <w:bar w:val="nil"/>
        </w:pBdr>
        <w:spacing w:before="0" w:after="240"/>
        <w:rPr>
          <w:rFonts w:eastAsia="Arial Unicode MS"/>
          <w:noProof/>
        </w:rPr>
      </w:pPr>
      <w:r>
        <w:rPr>
          <w:noProof/>
        </w:rPr>
        <w:t>Успоредно с настоящото предложение, за да отговори на новите предизвикателства, породени от кризата с COVID-19, Комисията предложи също така регламент за Механизъм за възстановяване и устойчивост</w:t>
      </w:r>
      <w:r>
        <w:rPr>
          <w:rStyle w:val="FootnoteReference"/>
          <w:noProof/>
        </w:rPr>
        <w:footnoteReference w:id="4"/>
      </w:r>
      <w:r>
        <w:rPr>
          <w:noProof/>
        </w:rPr>
        <w:t xml:space="preserve">, който ще осигури мащабна финансова подкрепа за публични инвестиции и реформи, които ще направят икономиките на държавите членки по-устойчиви и по-добре подготвени за бъдещето. Инструментът за техническа подкрепа може да подпомага държавите членки при изготвянето и изпълнението на планове за възстановяване и устойчивост по Механизма за възстановяване и устойчивост.  </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spacing w:after="240"/>
        <w:rPr>
          <w:rFonts w:eastAsia="Arial Unicode MS"/>
          <w:noProof/>
        </w:rPr>
      </w:pPr>
      <w:r>
        <w:rPr>
          <w:noProof/>
        </w:rPr>
        <w:t>Инструментът за техническа подкрепа позволява на Комисията да подкрепи органите на държавите членки в усилията им за изготвяне на реформи в съответствие с техните собствени приоритети и за увеличаване на капацитета им за разработване и прилагане на политики и стратегии за реформи, както и за възползване от добрите практики и примери на техните партньори. Техническата подкрепа ще бъде особено необходима в периода след кризата. Ето защо настоящото предложение допълва по подходящ начин предложените от Комисията пакети от мерки за справяне с икономическите последици от пандемията от COVID-19, а именно Механизма за възстановяване и устойчивост, REACT-EU</w:t>
      </w:r>
      <w:r>
        <w:rPr>
          <w:rStyle w:val="FootnoteReference"/>
          <w:noProof/>
        </w:rPr>
        <w:footnoteReference w:id="5"/>
      </w:r>
      <w:r>
        <w:rPr>
          <w:noProof/>
        </w:rPr>
        <w:t xml:space="preserve"> в рамките на структурните фондове и Кохезионния фонд, изменените предложения за Европейския фонд за стратегически инвестиции (ЕФСИ) и програмата InvestEU, както и набора от мерки, разработени в отговор на настоящата пандемия от COVID-19, като „инвестиционната инициатива в отговор на коронавируса“</w:t>
      </w:r>
      <w:r>
        <w:rPr>
          <w:rStyle w:val="FootnoteReference"/>
          <w:noProof/>
        </w:rPr>
        <w:footnoteReference w:id="6"/>
      </w:r>
      <w:r>
        <w:rPr>
          <w:noProof/>
        </w:rPr>
        <w:t xml:space="preserve">. </w:t>
      </w:r>
    </w:p>
    <w:p>
      <w:pPr>
        <w:spacing w:before="0" w:after="0"/>
        <w:rPr>
          <w:rFonts w:eastAsia="Arial Unicode MS"/>
          <w:noProof/>
        </w:rPr>
      </w:pPr>
      <w:r>
        <w:rPr>
          <w:noProof/>
        </w:rPr>
        <w:t xml:space="preserve">Инструментът за техническа подкрепа се основава на успеха на ППСР, която получи радушен прием от държавите членки бенефициери, като търсенето по програмата надхвърли значително наличните бюджетни средства в предишните кръгове на подбор (например за 2019 г. бяха подадени 508 искания на стойност 194 млн. евро, като от тях можеше да бъдат избрани 263, възлизащи на 79,3 милиона евро; за 2020 г. бяха подадени 609 искания на стойност 250 млн. евро, като от тях можеше да бъдат избрани 228, възлизащи на 84,7 милиона евро). Инструментът за техническа подкрепа е разработен като продължение на съществуващата ППСР и е съгласуван, </w:t>
      </w:r>
      <w:r>
        <w:rPr>
          <w:noProof/>
        </w:rPr>
        <w:lastRenderedPageBreak/>
        <w:t xml:space="preserve">последователен и допълва съществуващите ресурси за изграждане на капацитет и техническа подкрепа, осигурявани от други програми за финансиране от Съюза. Техническата помощ, предоставяна по линия на политиката на сближаване, има за цел да помогне на заинтересованите страни да осъществят финансираните от Съюза програми и проекти под формата на финансова подкрепа за подготовка, управление, оценка, мониторинг, одит и контрол, предоставена чрез Европейския фонд за регионално развитие (ЕФРР), Европейския социален фонд (ЕСФ) и Кохезионния фонд. Следователно наличната в този контекст техническа помощ е насочена към изграждане на капацитет за управляване на фондовете на Съюза и към подпомагане на прилагането на проектите, съфинансирани със средства на Съюза, като по този начин се улеснява усвояването на тези средства. Фокусът на центъра за техническа помощ по линия на „InvestEU“ са големите (частни) инвестиционни проекти, а не структурните реформи. За разлика от тях, фокусът на инструмента за техническа подкрепа са административния капацитет и дългосрочните структурни реформи, като по този начин се допълва по подходящ начин и добавя стойност към съществуващата подкрепа, предоставяна по различните секторни програми на Съюза, и към дейностите, провеждани в рамките на фондовете на Съюза. </w:t>
      </w:r>
    </w:p>
    <w:p>
      <w:pPr>
        <w:spacing w:before="0" w:after="240"/>
        <w:rPr>
          <w:rFonts w:eastAsia="Arial Unicode MS"/>
          <w:noProof/>
        </w:rPr>
      </w:pPr>
      <w:r>
        <w:rPr>
          <w:noProof/>
        </w:rPr>
        <w:t xml:space="preserve">Освен това този инструмент съответства на политическите насоки, предоставяни в рамките на европейския семестър, като осигурява техническа подкрепа за насърчаване на изпълнението на специфичните за всяка държава препоръки, отправени в този контекст към държавите членки. </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spacing w:after="240"/>
        <w:rPr>
          <w:noProof/>
        </w:rPr>
      </w:pPr>
      <w:r>
        <w:rPr>
          <w:noProof/>
        </w:rPr>
        <w:t xml:space="preserve">Предложението е съгласувано с останалите политики на Съюза, като ги допълва и действа в синергия с тях. </w:t>
      </w:r>
    </w:p>
    <w:p>
      <w:pPr>
        <w:spacing w:before="0" w:after="240"/>
        <w:rPr>
          <w:rFonts w:eastAsia="Arial Unicode MS"/>
          <w:noProof/>
        </w:rPr>
      </w:pPr>
      <w:r>
        <w:rPr>
          <w:noProof/>
        </w:rPr>
        <w:t xml:space="preserve">С предложението за създаване на Механизъм за възстановяване и устойчивост се цели да се предложи финансова подкрепа на публичните инвестиции и реформи, по-специално в областта на прехода към зелени и цифрови технологии, които ще направят икономиките по-устойчиви и по-добре подготвени за бъдещето. </w:t>
      </w:r>
    </w:p>
    <w:p>
      <w:pPr>
        <w:spacing w:before="0" w:after="240"/>
        <w:rPr>
          <w:noProof/>
        </w:rPr>
      </w:pPr>
      <w:r>
        <w:rPr>
          <w:noProof/>
        </w:rPr>
        <w:t xml:space="preserve">Инструментът за техническа подкрепа ще допълва предложението за създаване на Механизъм за възстановяване и устойчивост, като осигурява подкрепа за укрепване на административния капацитет на държавите членки и в тази връзка — подкрепа за изготвянето и изпълнението на планове за възстановяване и устойчивост, в които се определят реформите и инвестициите, финансирани в рамките на Механизма за възстановяване и устойчивост, и в по-общ план, като предоставя подкрепа за националните действия за реформи, свързани с прехода към зелени и цифрови технологии.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after="240"/>
        <w:rPr>
          <w:noProof/>
        </w:rPr>
      </w:pPr>
      <w:r>
        <w:rPr>
          <w:noProof/>
        </w:rPr>
        <w:t>Правно основание на предложението са член 175, трета алинея и член 197, параграф 2 от Договора за функционирането на Европейския съюз.</w:t>
      </w:r>
    </w:p>
    <w:p>
      <w:pPr>
        <w:pBdr>
          <w:top w:val="nil"/>
          <w:left w:val="nil"/>
          <w:bottom w:val="nil"/>
          <w:right w:val="nil"/>
          <w:between w:val="nil"/>
          <w:bar w:val="nil"/>
        </w:pBdr>
        <w:spacing w:before="0" w:after="240"/>
        <w:rPr>
          <w:noProof/>
        </w:rPr>
      </w:pPr>
      <w:r>
        <w:rPr>
          <w:noProof/>
        </w:rPr>
        <w:t xml:space="preserve">В член 175, трета алинея от ДФЕС се предвижда, че ако се окажат необходими специфични действия извън рамките на тези фондове, и без да се накърняват мерките, за които е взето решение в рамките на друга политика на Съюза, тези действия могат да бъдат одобрени от Европейския парламент и Съвета в съответствие с обикновената </w:t>
      </w:r>
      <w:r>
        <w:rPr>
          <w:noProof/>
        </w:rPr>
        <w:lastRenderedPageBreak/>
        <w:t>законодателна процедура и след консултация с Икономическия и социален комитет и с Комитета на регионите.</w:t>
      </w:r>
    </w:p>
    <w:p>
      <w:pPr>
        <w:pBdr>
          <w:top w:val="nil"/>
          <w:left w:val="nil"/>
          <w:bottom w:val="nil"/>
          <w:right w:val="nil"/>
          <w:between w:val="nil"/>
          <w:bar w:val="nil"/>
        </w:pBdr>
        <w:spacing w:before="0" w:after="240"/>
        <w:rPr>
          <w:rFonts w:eastAsia="Arial Unicode MS"/>
          <w:noProof/>
        </w:rPr>
      </w:pPr>
      <w:r>
        <w:rPr>
          <w:noProof/>
        </w:rPr>
        <w:t xml:space="preserve">В член 197, параграф 2 от ДФЕС се предвижда, че Съюзът може да подкрепи усилията на държавите членки за подобряване на техния административен капацитет за прилагане на правото на Съюза, </w:t>
      </w:r>
      <w:r>
        <w:rPr>
          <w:i/>
          <w:noProof/>
        </w:rPr>
        <w:t>inter alia</w:t>
      </w:r>
      <w:r>
        <w:rPr>
          <w:noProof/>
        </w:rPr>
        <w:t>, чрез улесняване на обмена на информация и подкрепа за програми за обучение. Никоя държава членка няма задължение да използва тази подкрепа. Европейският парламент и Съветът, като действат чрез обикновената законодателна процедура, установяват необходимите за тази цел мерки, като се изключва всякакво хармонизиране на законовите и подзаконовите разпоредби на държавите членки.</w:t>
      </w:r>
    </w:p>
    <w:p>
      <w:pPr>
        <w:pBdr>
          <w:top w:val="nil"/>
          <w:left w:val="nil"/>
          <w:bottom w:val="nil"/>
          <w:right w:val="nil"/>
          <w:between w:val="nil"/>
          <w:bar w:val="nil"/>
        </w:pBdr>
        <w:spacing w:before="0" w:after="240"/>
        <w:rPr>
          <w:noProof/>
        </w:rPr>
      </w:pPr>
      <w:r>
        <w:rPr>
          <w:noProof/>
        </w:rPr>
        <w:t xml:space="preserve">С оглед на членове 175 и 197 от ДФЕС регламентът цели засилване на сближаването чрез мерки, които дават възможност за възстановяване, устойчивост и сближаване във/на съответните държави членки.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spacing w:after="240"/>
        <w:rPr>
          <w:noProof/>
        </w:rPr>
      </w:pPr>
      <w:r>
        <w:rPr>
          <w:noProof/>
        </w:rPr>
        <w:t>Финансирането на предложените дейности чрез предвидения регламент спазва принципите на европейска добавена стойност и субсидиарност. Финансирането от бюджета на Съюза се съсредоточава върху дейности, чиито цели не могат да бъдат постигнати в достатъчна степен самостоятелно от държавите членки („критерий за необходимост“), когато намесата на Съюза може да придаде допълнителна стойност в сравнение със самостоятелните действия на държавите членки.</w:t>
      </w:r>
    </w:p>
    <w:p>
      <w:pPr>
        <w:spacing w:before="0" w:after="240"/>
        <w:rPr>
          <w:noProof/>
        </w:rPr>
      </w:pPr>
      <w:r>
        <w:rPr>
          <w:noProof/>
        </w:rPr>
        <w:t xml:space="preserve">С регламента се цели да се насърчи сближаването в Съюза чрез подкрепа на усилията на държавите членки както за провеждане на необходимите реформи за икономическо и социално възстановяване, постигане на устойчивост и сближаване, така и за укрепване на техния административен капацитет за прилагане на правото на Съюза предвид предизвикателствата, пред които са изправени институциите, управленските структури, публичната администрация и икономическите и социалните сектори. </w:t>
      </w:r>
    </w:p>
    <w:p>
      <w:pPr>
        <w:spacing w:before="0" w:after="240"/>
        <w:rPr>
          <w:rFonts w:eastAsia="Arial Unicode MS"/>
          <w:noProof/>
        </w:rPr>
      </w:pPr>
      <w:r>
        <w:rPr>
          <w:noProof/>
        </w:rPr>
        <w:t xml:space="preserve">Логиката, залегнала в основата на регламента, е предоставянето на техническа подкрепа по отправено на доброволна основа искане от съответната държава членка. Следователно всяка държава членка решава дали са необходими действия на равнището на ЕС с оглед на възможностите, които съществуват на национално, регионално или местно равнище. Изпълнението на мерки за техническа подкрепа, свързани с икономическото и социалното възстановяване, устойчивостта и сближаването, както и с укрепването на административния капацитет на държавите членки за прилагане на правото на Съюза, е въпрос от общ интерес за Съюза. </w:t>
      </w:r>
    </w:p>
    <w:p>
      <w:pPr>
        <w:pBdr>
          <w:top w:val="nil"/>
          <w:left w:val="nil"/>
          <w:bottom w:val="nil"/>
          <w:right w:val="nil"/>
          <w:between w:val="nil"/>
          <w:bar w:val="nil"/>
        </w:pBdr>
        <w:spacing w:before="0" w:after="240"/>
        <w:rPr>
          <w:rFonts w:eastAsia="Arial Unicode MS"/>
          <w:noProof/>
        </w:rPr>
      </w:pPr>
      <w:r>
        <w:rPr>
          <w:noProof/>
        </w:rPr>
        <w:t>Инструментът за техническа подкрепа заменя текущата ППСР и освен това е част от инициативите, предприети от Комисията в отговор на избухването на пандемията от COVID-19, за да се помогне на държавите членки да смекчат огромните икономически и социални последици. Поради това са необходими действия на равнището на Съюза за постигане на бързо и трайно икономическо възстановяване в Съюза. Тази цел не може да бъде постигната в достатъчна степен чрез самостоятелни действия на държавите членки, докато намесата на Съюза може да придаде допълнителна стойност чрез въвеждането на нормативна уредба, с която се създава инструмент, предлагащ засилена техническа подкрепа по отношение на разработването и осъществяването на така необходимите структурни реформи. Тази подкрепа ще допринесе и за смекчаване на въздействието върху обществото, причинено от настоящата криза с COVID-19.</w:t>
      </w:r>
    </w:p>
    <w:p>
      <w:pPr>
        <w:pStyle w:val="ManualHeading2"/>
        <w:rPr>
          <w:rFonts w:eastAsia="Arial Unicode MS"/>
          <w:noProof/>
          <w:u w:color="000000"/>
          <w:bdr w:val="nil"/>
        </w:rPr>
      </w:pPr>
      <w:r>
        <w:rPr>
          <w:noProof/>
          <w:u w:color="000000"/>
          <w:bdr w:val="nil"/>
        </w:rPr>
        <w:lastRenderedPageBreak/>
        <w:t>•</w:t>
      </w:r>
      <w:r>
        <w:rPr>
          <w:noProof/>
          <w:u w:color="000000"/>
          <w:bdr w:val="nil"/>
        </w:rPr>
        <w:tab/>
        <w:t>Пропорционалност</w:t>
      </w:r>
    </w:p>
    <w:p>
      <w:pPr>
        <w:pBdr>
          <w:top w:val="nil"/>
          <w:left w:val="nil"/>
          <w:bottom w:val="nil"/>
          <w:right w:val="nil"/>
          <w:between w:val="nil"/>
          <w:bar w:val="nil"/>
        </w:pBdr>
        <w:spacing w:after="240"/>
        <w:rPr>
          <w:rFonts w:eastAsia="Arial Unicode MS"/>
          <w:noProof/>
        </w:rPr>
      </w:pPr>
      <w:r>
        <w:rPr>
          <w:noProof/>
        </w:rPr>
        <w:t>Предложението е в съответствие с принципа на пропорционалност, тъй като не излиза извън минимума, необходим за постигането на заявената цел на европейско равнище, и на необходимото за тази цел. Доброволният характер на инструмента за техническа подкрепа и консенсусният характер на сътрудничеството през целия процес представляват допълнителна гаранция за спазване на принципа на пропорционалност и за развитието на взаимно доверие и сътрудничество между държавите членки и Комисията.</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after="240"/>
        <w:rPr>
          <w:rFonts w:eastAsia="Arial Unicode MS"/>
          <w:noProof/>
        </w:rPr>
      </w:pPr>
      <w:r>
        <w:rPr>
          <w:noProof/>
        </w:rPr>
        <w:t>Целите, описани в предходните раздели, не могат да бъдат постигнати чрез хармонизация на законодателствата или чрез доброволни действия на държавите членки. Единствено регламент би позволил те да бъдат постигнати. Регламент, приложим за всички държави членки, е също най-подходящият правен инструмент за организиране на предоставянето на техническа подкрепа с цел осигуряване на равно третиране на държавите членки.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after="240"/>
        <w:rPr>
          <w:noProof/>
        </w:rPr>
      </w:pPr>
      <w:r>
        <w:rPr>
          <w:noProof/>
        </w:rPr>
        <w:t>Инструментът за техническа подкрепа е продължение на съществуващата ППСР за периода 2017—2020 г., основана на Регламент (ЕС) 2017/825, изменен с Регламент (ЕС) № 2018/1671</w:t>
      </w:r>
      <w:r>
        <w:rPr>
          <w:rStyle w:val="FootnoteReference"/>
          <w:noProof/>
        </w:rPr>
        <w:footnoteReference w:id="7"/>
      </w:r>
      <w:r>
        <w:rPr>
          <w:noProof/>
        </w:rPr>
        <w:t>. Изпълнението на ППСР започна с приемането на годишната работна програма за 2017 г.</w:t>
      </w:r>
      <w:r>
        <w:rPr>
          <w:rStyle w:val="FootnoteReference"/>
          <w:noProof/>
        </w:rPr>
        <w:footnoteReference w:id="8"/>
      </w:r>
      <w:r>
        <w:rPr>
          <w:noProof/>
        </w:rPr>
        <w:t xml:space="preserve"> през септември 2017 г. и продължи с приемането на последващите годишни работни програми</w:t>
      </w:r>
      <w:r>
        <w:rPr>
          <w:rStyle w:val="FootnoteReference"/>
          <w:noProof/>
        </w:rPr>
        <w:footnoteReference w:id="9"/>
      </w:r>
      <w:r>
        <w:rPr>
          <w:noProof/>
        </w:rPr>
        <w:t>. В съответствие с член 16 от Регламента за ППСР Комисията ще предостави на Европейския парламент и Съвета годишни мониторингови доклади относно изпълнението на програмата</w:t>
      </w:r>
      <w:r>
        <w:rPr>
          <w:rStyle w:val="FootnoteReference"/>
          <w:noProof/>
        </w:rPr>
        <w:footnoteReference w:id="10"/>
      </w:r>
      <w:r>
        <w:rPr>
          <w:noProof/>
        </w:rPr>
        <w:t xml:space="preserve">, независим доклад за междинна оценка и независим доклад за последваща оценка. </w:t>
      </w:r>
    </w:p>
    <w:p>
      <w:pPr>
        <w:autoSpaceDE w:val="0"/>
        <w:autoSpaceDN w:val="0"/>
        <w:adjustRightInd w:val="0"/>
        <w:spacing w:before="0" w:after="240"/>
        <w:rPr>
          <w:rFonts w:eastAsia="Arial Unicode MS"/>
          <w:noProof/>
        </w:rPr>
      </w:pPr>
      <w:r>
        <w:rPr>
          <w:noProof/>
        </w:rPr>
        <w:t xml:space="preserve">В работния документ на службите на Комисията, който предстои скоро да бъде приет и който придружава независимия доклад за междинна оценка, резултатите от ППСР се съпоставят с критериите за оценка (на целесъобразността, ефективността, ефикасността, съгласуваността и добавената стойност от действията на равнище ЕС), като се извличат редица поуки. Въпреки че програмата беше приета наскоро и много от проектите за техническа подкрепа са все още в началната фаза на изпълнение, констатациите показват, че ППСР отбелязва добър напредък към постигане на своите цели. Конкретно оценката показвам че параметрите на ППСР са добре съобразени с реалните потребности на държавите членки и служат като подходящ инструмент в подкрепа на засилването на административния и институционалния им капацитет. </w:t>
      </w:r>
      <w:r>
        <w:rPr>
          <w:noProof/>
        </w:rPr>
        <w:lastRenderedPageBreak/>
        <w:t>Значителната гъвкавост, както и отсъствието на изисквания за съфинансиране позволяват на държавите членки да въплътят потребностите си в осъществими действия, които отговарят на техните очаквания, с реалистични срокове. Също така според оценката обменът на добри практики между държавите членки притежава значителна добавена стойност. Освен това ППСР е добре интегрирана в процеса на икономическо управление на Съюза. Годишните цикли на ППСР и Европейският семестър преливат подходящо един в друг, което позволява цялостен и координиран подход към структурните реформи в държавите членки. Силната ангажираност на всички заинтересовани страни, значителният експертен опит на доставчика на техническа подкрепа и благоприятните политически обстоятелства се смятат за фактори с положително влияние за постигането на заложените в проектите по ППСР цели. Липсата на сътрудничество между заинтересованите страни и променящите се или несигурните политически обстоятелства се смята, че възпрепятстват успешното изпълнение на проектите за техническа подкрепа.</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rPr>
          <w:noProof/>
        </w:rPr>
      </w:pPr>
      <w:r>
        <w:rPr>
          <w:noProof/>
        </w:rPr>
        <w:t>Тъй като предложението трябваше да се изготви спешно, за да може да се приеме своевременно от съзаконодателите, нямаше възможност за провеждане на консултация със заинтересованите страни. Становищата на заинтересованите страни бяха взети предвид в хода на законодателния процес по предложението за Програмата за подкрепа на реформите.</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keepNext/>
        <w:tabs>
          <w:tab w:val="left" w:pos="0"/>
        </w:tabs>
        <w:outlineLvl w:val="1"/>
        <w:rPr>
          <w:noProof/>
        </w:rPr>
      </w:pPr>
      <w:r>
        <w:rPr>
          <w:noProof/>
        </w:rPr>
        <w:t xml:space="preserve">Поради спешния характер на предложението не беше направена нова оценка на въздействието. Настоящото предложение за регламент се основава на последния наличен текст на работната група на Съвета по предложението за ППР по отношение на инструмента за техническа подкрепа и е в съответствие със съвместния проект на доклад на Комисията по бюджети и на Комисията по икономически и парични въпроси на Европейския парламент относно инструментите за техническа подкрепа в предложението за ППР, публикуван на 20 април 2020 г. Настоящото предложение заменя отчасти първоначалното предложение на Комисията за ППР (COD...), основаващо се на оценка на въздействието, основните констатации по която остават валидни </w:t>
      </w:r>
      <w:r>
        <w:rPr>
          <w:i/>
          <w:iCs/>
          <w:noProof/>
        </w:rPr>
        <w:t>mutatis mutandis</w:t>
      </w:r>
      <w:r>
        <w:rPr>
          <w:noProof/>
        </w:rPr>
        <w:t>.</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spacing w:after="360"/>
        <w:rPr>
          <w:noProof/>
        </w:rPr>
      </w:pPr>
      <w:r>
        <w:rPr>
          <w:noProof/>
        </w:rPr>
        <w:t>Предложението ще има положителен ефект за запазването и развитието на политиката на Съюза в областта на основните права, като се предполага, че държавите членки искат и получават помощ в съответните области. Например, помощта в области като пазара на труда и социалното осигуряване, здравеопазването, образованието, околната среда, собствеността, публичната администрация и съдебната система може да е от полза за основните права в Съюза, като например правото на достойнство, свобода, равенство, солидарност, граждански права и правосъдие.</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after="240"/>
        <w:rPr>
          <w:rFonts w:eastAsia="Arial Unicode MS"/>
          <w:noProof/>
        </w:rPr>
      </w:pPr>
      <w:r>
        <w:rPr>
          <w:noProof/>
        </w:rPr>
        <w:t xml:space="preserve">Финансовият пакет за изпълнението на инструмента за техническа подкрепа от 1 януари 2021 г. до 31 декември 2027 г. възлиза на 864 406 000 евро (по текущи цени). </w:t>
      </w:r>
    </w:p>
    <w:p>
      <w:pPr>
        <w:pBdr>
          <w:top w:val="nil"/>
          <w:left w:val="nil"/>
          <w:bottom w:val="nil"/>
          <w:right w:val="nil"/>
          <w:between w:val="nil"/>
          <w:bar w:val="nil"/>
        </w:pBdr>
        <w:spacing w:before="0" w:after="360"/>
        <w:rPr>
          <w:noProof/>
        </w:rPr>
      </w:pPr>
      <w:r>
        <w:rPr>
          <w:noProof/>
        </w:rPr>
        <w:t xml:space="preserve">Законодателната финансова обосновка дава необходимите разяснения относно финансовия пакет. </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spacing w:after="240"/>
        <w:rPr>
          <w:noProof/>
        </w:rPr>
      </w:pPr>
      <w:r>
        <w:rPr>
          <w:noProof/>
        </w:rPr>
        <w:t xml:space="preserve">За да се осъществява мониторинг на постигнатите от настоящия регламент резултати за изпълнението на целите на инструмента за техническа подкрепа, бяха определени някои ключови показатели за изпълнение, за които ще бъдат събирани периодично данни. Ще бъдат определени специфичните показатели за резултатите и въздействията във връзка с конкретните проекти, с основните параметри и целите, за да се осъществи мониторинг на напредъка, постигнат по отношение на крайните цели, и да се оцени въздействието на изпълнените реформи. </w:t>
      </w:r>
    </w:p>
    <w:p>
      <w:pPr>
        <w:spacing w:before="0" w:after="240"/>
        <w:rPr>
          <w:noProof/>
        </w:rPr>
      </w:pPr>
      <w:r>
        <w:rPr>
          <w:noProof/>
        </w:rPr>
        <w:t>Ще бъде извършена междинна оценка и последваща оценка с цел установяване на ефективността, ефикасността, целесъобразността и съгласуваността на инструмента. Оценките ще се извършват в съответствие с Междуинституционалното споразумение от 13 април 2016 г</w:t>
      </w:r>
      <w:r>
        <w:rPr>
          <w:rStyle w:val="FootnoteReference"/>
          <w:noProof/>
        </w:rPr>
        <w:footnoteReference w:id="11"/>
      </w:r>
      <w:r>
        <w:rPr>
          <w:noProof/>
        </w:rPr>
        <w:t xml:space="preserve">. Оценките ще включват извлечени поуки, за да се установят недостатъците и/или проблемите или потенциалът за допълнително подобряване на действията или резултатите от тях, както и да се подпомогне да се увеличат в най-голяма степен тяхното използване и въздействие. </w:t>
      </w:r>
    </w:p>
    <w:p>
      <w:pPr>
        <w:spacing w:before="0" w:after="240"/>
        <w:rPr>
          <w:noProof/>
        </w:rPr>
      </w:pPr>
      <w:r>
        <w:rPr>
          <w:noProof/>
        </w:rPr>
        <w:t>Междинната оценка на регламента ще се извършва, след като за нейното изпълнение се натрупа достатъчно информация, но не по-късно от четири години след започване на изпълнението. Не по-късно от три години след края на периода на прилагане на регламента Комисията ще извърши окончателна последваща оценка. Комисията ще представи заключенията от оценките и своите наблюдения на Европейския парламент, Съвета, Европейския икономически и социален комитет и Комитета на регионите.</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отделните разпоредби на предложението</w:t>
      </w:r>
    </w:p>
    <w:p>
      <w:pPr>
        <w:spacing w:after="240"/>
        <w:rPr>
          <w:noProof/>
        </w:rPr>
      </w:pPr>
      <w:r>
        <w:rPr>
          <w:noProof/>
        </w:rPr>
        <w:t>С регламента се създава инструмент за техническа подкрепа, който ще подкрепя с технически мерки държавите членки, за да провеждат институционални, административни и поддържащи растежа и повишаващи устойчивостта структурни реформи (член 1).</w:t>
      </w:r>
    </w:p>
    <w:p>
      <w:pPr>
        <w:spacing w:before="0" w:after="240"/>
        <w:rPr>
          <w:noProof/>
        </w:rPr>
      </w:pPr>
      <w:r>
        <w:rPr>
          <w:noProof/>
        </w:rPr>
        <w:t>Общата цел на инструмента за техническа подкрепа е да се насърчи сближаването в Съюза чрез подкрепа на усилията на държавите членки както за провеждане на необходимите реформи за икономическо и социално възстановяване, постигане на устойчивост и сближаване, така и за укрепване на техния административен капацитет за прилагане на правото на Съюза предвид предизвикателствата, пред които са изправени институциите, управленските структури, публичната администрация и икономическите и социалните сектори. (член 3)</w:t>
      </w:r>
    </w:p>
    <w:p>
      <w:pPr>
        <w:spacing w:before="0" w:after="240"/>
        <w:rPr>
          <w:noProof/>
        </w:rPr>
      </w:pPr>
      <w:r>
        <w:rPr>
          <w:noProof/>
        </w:rPr>
        <w:t>Определени са конкретни цели на инструмента (член 4) като оказване на подкрепа на националните органи за подобряване на капацитета им за разработване, развитие и изпълнение на реформи, включително чрез обмен на добри практики, подходящи процеси и методики и по-ефективно и по-ефикасно управление на човешките ресурси. Тези цели се преследват в тясно сътрудничество със съответните държави членки.</w:t>
      </w:r>
    </w:p>
    <w:p>
      <w:pPr>
        <w:spacing w:before="0" w:after="240"/>
        <w:rPr>
          <w:noProof/>
        </w:rPr>
      </w:pPr>
      <w:r>
        <w:rPr>
          <w:noProof/>
        </w:rPr>
        <w:lastRenderedPageBreak/>
        <w:t>В обхвата на приложение попада широк кръг от области на политиката, в т.ч. свързани с управлението на публичните финанси и активи, институционалните и административните реформи, бизнес средата, пазарите на стоки, услуги и труд, образованието и обучението, устойчивото развитие, общественото здраве, образованието и сектора на финансите (член 5). Специално внимание е обърнато на действията, които насърчават прехода към зелени и цифрови технологии.</w:t>
      </w:r>
    </w:p>
    <w:p>
      <w:pPr>
        <w:spacing w:before="0" w:after="240"/>
        <w:rPr>
          <w:noProof/>
        </w:rPr>
      </w:pPr>
      <w:r>
        <w:rPr>
          <w:noProof/>
        </w:rPr>
        <w:t>Общият финансов пакет за изпълнението на инструмента за периода 2021—2027 г. възлиза на 864 406 000 евро по текущи цени (член 6). В допълнение към този финансов пакет държавите членки могат на доброволна основа да прехвърлят в съответствие с член 21 от Регламента [приемник на РОР]</w:t>
      </w:r>
      <w:r>
        <w:rPr>
          <w:rStyle w:val="FootnoteReference"/>
          <w:noProof/>
        </w:rPr>
        <w:footnoteReference w:id="12"/>
      </w:r>
      <w:r>
        <w:rPr>
          <w:noProof/>
        </w:rPr>
        <w:t xml:space="preserve"> ресурси за техническа помощ по програмите за споделено управление към инструмента за техническа подкрепа. Прехвърлените средства се изпълняват съгласно правилата на този инструмент и се използват изключително в полза на съответната държава членка (член 6, параграф 3 и член 10).</w:t>
      </w:r>
    </w:p>
    <w:p>
      <w:pPr>
        <w:spacing w:before="0" w:after="200"/>
        <w:rPr>
          <w:noProof/>
        </w:rPr>
      </w:pPr>
      <w:r>
        <w:rPr>
          <w:noProof/>
        </w:rPr>
        <w:t>Предложенията на Комисията за многогодишната финансова рамка за периода 2021—2027 г. определиха по-амбициозна цел за интегриране на действията по климата във всички програми на ЕС, с обща цел от 25 % от разходите на ЕС, допринасящи за целите, свързани с изменението на климата. Приносът на този инструмент за постигане на посочената обща целева стойност ще бъде следен чрез система на ЕС от маркери за климата на подходящо ниво на разбивка, включително използване на по-точни методики, когато има такива (съображение 10).</w:t>
      </w:r>
    </w:p>
    <w:p>
      <w:pPr>
        <w:spacing w:before="0" w:after="240"/>
        <w:rPr>
          <w:noProof/>
        </w:rPr>
      </w:pPr>
      <w:r>
        <w:rPr>
          <w:noProof/>
        </w:rPr>
        <w:t xml:space="preserve">Инструментът за техническа подкрепа следва да подпомага изпълнението на поддържащи растежа и повишаващи устойчивостта реформи, предприети по инициатива на държавите членки, реформи в контекста на процесите на икономическо управление или действията, свързани с изпълнението на правото на Съюза и политическите приоритети на Съюза, както и реформи във връзка с изпълнението на програмите за икономически корекции. Инструментът следва също така да предоставя техническа подкрепа за подготовката и изпълнението на реформи, които трябва да се предприемат в рамките на новия Механизъм за възстановяване и устойчивост (член 8). </w:t>
      </w:r>
    </w:p>
    <w:p>
      <w:pPr>
        <w:spacing w:before="0" w:after="240"/>
        <w:rPr>
          <w:noProof/>
        </w:rPr>
      </w:pPr>
      <w:r>
        <w:rPr>
          <w:noProof/>
        </w:rPr>
        <w:t>Комисията ще анализира исканията за подкрепа въз основа на неотложността, обхвата и дълбочината на установените проблеми, нуждите от подкрепа по отношение на съответните области на политиката, анализа на социално-икономически показатели и общия административен капацитет на държавата членка. Въз основа на този анализ и като вземе предвид съществуващите мерки и действия, финансирани от други фондове на Съюза или по програми на Съюза, Комисията ще постигне споразумение с държавата членка относно приоритетните области за подкрепа, целите, препоръчителния график, обхвата на мерките за подкрепа, които трябва да се предоставят, и прогнозната обща финансова вноска, които трябва да бъдат определени в план за сътрудничество и подкрепа (член 8).</w:t>
      </w:r>
    </w:p>
    <w:p>
      <w:pPr>
        <w:spacing w:before="0" w:after="240"/>
        <w:rPr>
          <w:noProof/>
        </w:rPr>
      </w:pPr>
      <w:r>
        <w:rPr>
          <w:noProof/>
        </w:rPr>
        <w:t xml:space="preserve">Видът на действията, които отговарят на условията за финансиране в рамките на инструмента за техническа подкрепа, ще включва, наред с другото, предоставяне на експертни познания, свързани с насоки за политиките и/или промяна на политиките, формулиране на стратегии и пътни карти за реформи, както и със законодателни, </w:t>
      </w:r>
      <w:r>
        <w:rPr>
          <w:noProof/>
        </w:rPr>
        <w:lastRenderedPageBreak/>
        <w:t>институционални, структурни и административни реформи; предоставяне на експерти, включително експерти на място; изграждане на капацитет, както и осъществяване на свързани с него поддържащи действия на всички равнища на управление, които също така по целесъобразност допринасят за овластяването на гражданското общество (член 7). Действията, финансирани в рамките на инструмента за техническа подкрепа, могат да получат подкрепа от други програми, инструменти или фондове на Съюза, финансирани от бюджета на Съюза, при условие че такава подкрепа не покрива едни и същи разходи (член 11).</w:t>
      </w:r>
    </w:p>
    <w:p>
      <w:pPr>
        <w:spacing w:before="0" w:after="200"/>
        <w:rPr>
          <w:noProof/>
        </w:rPr>
      </w:pPr>
      <w:r>
        <w:rPr>
          <w:noProof/>
        </w:rPr>
        <w:t>Комисията приема работни програми за изпълнението на инструмента за техническа подкрепа посредством актове за изпълнение, в които се определят мерките за предоставяне на техническа подкрепа и всички елементи, изисквани съгласно Финансовия регламент</w:t>
      </w:r>
      <w:r>
        <w:rPr>
          <w:rStyle w:val="FootnoteReference"/>
          <w:noProof/>
        </w:rPr>
        <w:footnoteReference w:id="13"/>
      </w:r>
      <w:r>
        <w:rPr>
          <w:noProof/>
        </w:rPr>
        <w:t xml:space="preserve"> (член 12).</w:t>
      </w:r>
    </w:p>
    <w:p>
      <w:pPr>
        <w:spacing w:before="0" w:after="200"/>
        <w:rPr>
          <w:noProof/>
        </w:rPr>
      </w:pPr>
      <w:r>
        <w:rPr>
          <w:noProof/>
        </w:rPr>
        <w:t>Предвидени са разпоредби относно дейностите по комуникация по отношение на Европейския парламент и Съвета, както и по отношение на широката общественост (членове 9 и 17), както и разпоредби относно взаимното допълване (член 13), мониторинга (член 14), годишните доклади (член 15) и оценката (член 16).</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2020/0103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инструмент за техническа подкрепа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175, трета алинея и член 197,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4"/>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15"/>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 xml:space="preserve">В съответствие с членове 120 и 121 от Договора за функционирането на Европейския съюз („Договора“) държавите членки трябва да провеждат своите икономически политики с цел да допринасят за постигането на целите на Съюза и в контекста на общите насоки, които Съветът формулира. Съгласно член 148 от Договора държавите членки прилагат политики по заетостта, при които са взети предвид насоките за заетостта. Следователно координацията на икономическите политики на държавите членки представлява въпрос от общ интерес. </w:t>
      </w:r>
    </w:p>
    <w:p>
      <w:pPr>
        <w:pStyle w:val="ManualConsidrant"/>
        <w:rPr>
          <w:noProof/>
        </w:rPr>
      </w:pPr>
      <w:r>
        <w:rPr>
          <w:noProof/>
        </w:rPr>
        <w:t>(2)</w:t>
      </w:r>
      <w:r>
        <w:rPr>
          <w:noProof/>
        </w:rPr>
        <w:tab/>
        <w:t xml:space="preserve">Член 175 от Договора предвижда, </w:t>
      </w:r>
      <w:r>
        <w:rPr>
          <w:i/>
          <w:noProof/>
        </w:rPr>
        <w:t>inter alia</w:t>
      </w:r>
      <w:r>
        <w:rPr>
          <w:noProof/>
        </w:rPr>
        <w:t>, че държавите членки следва да координират своята икономическа политика по такъв начин, че да постигнат целите за икономическо, социално и териториално сближаване, предвидени в член 174.</w:t>
      </w:r>
    </w:p>
    <w:p>
      <w:pPr>
        <w:pStyle w:val="ManualConsidrant"/>
        <w:rPr>
          <w:noProof/>
        </w:rPr>
      </w:pPr>
      <w:r>
        <w:rPr>
          <w:noProof/>
        </w:rPr>
        <w:t>(3)</w:t>
      </w:r>
      <w:r>
        <w:rPr>
          <w:noProof/>
        </w:rPr>
        <w:tab/>
        <w:t xml:space="preserve">Избухването на пандемията от COVID-19 в началото на 2020 г. промени икономическите перспективи за следващите години както в ЕС, така и по света. Вследствие на кризата се появиха нови приоритети в Съюза, свързани по-специално с възстановяването и устойчивостта. Те изискват спешни и координирани действия от страна на Съюза с цел преодоляване на икономическите последици за държавите членки, както и за намаляване на социалните и икономическите загуби. Настоящата пандемия от COVID-19, както и икономическата и финансова криза показаха, че развитието на надеждни и устойчиви икономики и финансови системи, изградени върху силни икономически и социални структури, помага на държавите членки да реагират по-ефикасно на сътресенията и да се възстановяват по-бързо от тях. Поради това </w:t>
      </w:r>
      <w:r>
        <w:rPr>
          <w:noProof/>
        </w:rPr>
        <w:lastRenderedPageBreak/>
        <w:t>реформите за стимулиране на растежа и инвестициите за преодоляване на структурните слабости на икономиките и за укрепване на тяхната устойчивост ще бъдат от съществено значение за връщането на нашите икономики и общества по пътя на устойчивото възстановяване и за преодоляване на икономическите, социалните и териториалните различия в Съюза.</w:t>
      </w:r>
    </w:p>
    <w:p>
      <w:pPr>
        <w:pStyle w:val="ManualConsidrant"/>
        <w:rPr>
          <w:noProof/>
        </w:rPr>
      </w:pPr>
      <w:r>
        <w:rPr>
          <w:noProof/>
        </w:rPr>
        <w:t>(4)</w:t>
      </w:r>
      <w:r>
        <w:rPr>
          <w:noProof/>
        </w:rPr>
        <w:tab/>
        <w:t xml:space="preserve">На равнището на Съюза европейският семестър за координация на икономическите политики е рамката, чрез която се определят националните приоритети в областта на реформите и се наблюдава тяхното изпълнение. Държавите членки изготвят собствени национални многогодишни инвестиционни стратегии в подкрепа на тези приоритети на реформите. Тези стратегии са представени заедно с годишните национални програми за реформи като начин за определяне и координиране на приоритетите, които трябва да бъдат подкрепяни с финансиране от държавите членки и/или Съюза. Те следва също така да осигурят съгласуваното използване на финансирането от Съюза и да увеличат максимално добавената стойност на финансовото подпомагане, което получават по-специално по програмите, подкрепяни от Съюза в рамките на структурните фондове и Кохезионния фонд, както и от други програми. </w:t>
      </w:r>
    </w:p>
    <w:p>
      <w:pPr>
        <w:pStyle w:val="ManualConsidrant"/>
        <w:rPr>
          <w:noProof/>
        </w:rPr>
      </w:pPr>
      <w:r>
        <w:rPr>
          <w:noProof/>
        </w:rPr>
        <w:t>(5)</w:t>
      </w:r>
      <w:r>
        <w:rPr>
          <w:noProof/>
        </w:rPr>
        <w:tab/>
        <w:t>С Регламент (ЕС) 2017/825 на Европейския парламент и на Съвета</w:t>
      </w:r>
      <w:r>
        <w:rPr>
          <w:rStyle w:val="FootnoteReference"/>
          <w:noProof/>
        </w:rPr>
        <w:footnoteReference w:id="16"/>
      </w:r>
      <w:r>
        <w:rPr>
          <w:noProof/>
        </w:rPr>
        <w:t xml:space="preserve"> бе създадена Програмата за подкрепа на структурните реформи (ППСР) за периода 2017—2020 г., с бюджет в размер на 142 800 000 евро. ППСР бе създадена с цел укрепване на капацитета на държавите членки за изготвяне и изпълнение на поддържащите растежа административни и структурни реформи, включително чрез помощ за ефикасното и ефективно използване на фондовете на Съюза. Техническата подкрепа по тази Програма се предоставя от Комисията по искане на държава членка и може да обхваща широк кръг области. Целта на настоящия регламент е да се продължи програмата, получила положителна оценка от държавите членки. </w:t>
      </w:r>
    </w:p>
    <w:p>
      <w:pPr>
        <w:pStyle w:val="ManualConsidrant"/>
        <w:rPr>
          <w:noProof/>
        </w:rPr>
      </w:pPr>
      <w:r>
        <w:rPr>
          <w:noProof/>
        </w:rPr>
        <w:t>(6)</w:t>
      </w:r>
      <w:r>
        <w:rPr>
          <w:noProof/>
        </w:rPr>
        <w:tab/>
        <w:t xml:space="preserve">В миналото държавите членки все по-често използваха техническата подкрепа по ППСР, ето защо чрез настоящия регламент следва да бъде създаден инструмент за техническа подкрепа, за се продължи подпомагането на държавите членки при изпълнението на реформите. </w:t>
      </w:r>
    </w:p>
    <w:p>
      <w:pPr>
        <w:pStyle w:val="ManualConsidrant"/>
        <w:rPr>
          <w:noProof/>
        </w:rPr>
      </w:pPr>
      <w:r>
        <w:rPr>
          <w:noProof/>
        </w:rPr>
        <w:t>(7)</w:t>
      </w:r>
      <w:r>
        <w:rPr>
          <w:noProof/>
        </w:rPr>
        <w:tab/>
        <w:t xml:space="preserve">С оглед на Европейски зелен пакт като стратегия на Европа за растеж и следвайки ангажиментите на Съюза за изпълнение на Парижкото споразумение и постигане на целите на ООН за устойчиво развитие, инструментът за техническа подкрепа ще допринася за интегрирането на действията в областта на изменението на климата и за постигането на общата цел 25 % от бюджетните разходи на ЕС да са в подкрепа на целите в областта на климата. Съответните действия следва да бъдат определени по време на подготовката и изпълнението на инструмента и да бъдат преразгледани в рамките на съответните прегледи и оценки. Те следва също да се справят с по-широките екологични и социални предизвикателства в рамките на Съюза, включително защитата на природния капитал и подкрепата за кръговата икономика, и да са в съответствие с Програмата до 2030 г. за устойчиво развитие. </w:t>
      </w:r>
    </w:p>
    <w:p>
      <w:pPr>
        <w:pStyle w:val="ManualConsidrant"/>
        <w:rPr>
          <w:noProof/>
        </w:rPr>
      </w:pPr>
      <w:r>
        <w:rPr>
          <w:noProof/>
        </w:rPr>
        <w:lastRenderedPageBreak/>
        <w:t>(8)</w:t>
      </w:r>
      <w:r>
        <w:rPr>
          <w:noProof/>
        </w:rPr>
        <w:tab/>
        <w:t xml:space="preserve">Общата цел на инструмента за техническа подкрепа следва да бъде насърчаването на икономическото, социалното и териториалното сближаване в Съюза чрез подкрепа на усилията на държавите членки за осъществяване на реформи, необходими за постигане на икономическо и социално възстановяване, устойчивост и сближаване. В тази връзка той следва да допринася за укрепване на административния капацитет на държавите членки за прилагане на правото на Съюза във връзка с предизвикателствата, пред които са изправени институциите, управленските структури, публичната администрация и икономическите и социалните сектори. </w:t>
      </w:r>
    </w:p>
    <w:p>
      <w:pPr>
        <w:pStyle w:val="ManualConsidrant"/>
        <w:rPr>
          <w:noProof/>
        </w:rPr>
      </w:pPr>
      <w:r>
        <w:rPr>
          <w:noProof/>
        </w:rPr>
        <w:t>(9)</w:t>
      </w:r>
      <w:r>
        <w:rPr>
          <w:noProof/>
        </w:rPr>
        <w:tab/>
        <w:t>Конкретните цели на инструмента за техническа подкрепа следва да бъдат оказване на подкрепа на националните органи в усилията им за разработване, развитие и изпълнение на реформи, включително чрез обмен на добри практики, подходящи процеси и методики и по-ефективно и по-ефикасно управление на човешките ресурси.</w:t>
      </w:r>
    </w:p>
    <w:p>
      <w:pPr>
        <w:pStyle w:val="ManualConsidrant"/>
        <w:rPr>
          <w:noProof/>
        </w:rPr>
      </w:pPr>
      <w:r>
        <w:rPr>
          <w:noProof/>
        </w:rPr>
        <w:t>(10)</w:t>
      </w:r>
      <w:r>
        <w:rPr>
          <w:noProof/>
        </w:rPr>
        <w:tab/>
        <w:t xml:space="preserve">За да се подпомогнат държавите членки при провеждането на необходимите реформи във всички ключови икономически и социални области, Комисията следва да продължи да оказва техническа подкрепа по искане на държава членка в широк кръг от области на политиката, в т.ч. свързани с управлението на публичните финанси и активи, институционалните и административните реформи, бизнес средата, сектора на финансите, пазарите на стоки, услуги и труд, образованието и обучението, устойчивото развитие, общественото здраве и социалното подпомагане. Специално внимание следва да се обърне на действията, които насърчават прехода към зелени и цифрови технологии. </w:t>
      </w:r>
    </w:p>
    <w:p>
      <w:pPr>
        <w:pStyle w:val="ManualConsidrant"/>
        <w:rPr>
          <w:noProof/>
        </w:rPr>
      </w:pPr>
      <w:r>
        <w:rPr>
          <w:noProof/>
        </w:rPr>
        <w:t>(11)</w:t>
      </w:r>
      <w:r>
        <w:rPr>
          <w:noProof/>
        </w:rPr>
        <w:tab/>
        <w:t>С настоящия регламент се определя финансов пакет за инструмента за техническа подкрепа, който представлява основната референтна сума по смисъла на Междуинституционалното споразумение относно бюджетната дисциплина, сътрудничеството по бюджетни въпроси и доброто финансово управление</w:t>
      </w:r>
      <w:r>
        <w:rPr>
          <w:rStyle w:val="FootnoteReference"/>
          <w:noProof/>
        </w:rPr>
        <w:footnoteReference w:id="17"/>
      </w:r>
      <w:r>
        <w:rPr>
          <w:noProof/>
        </w:rPr>
        <w:t xml:space="preserve"> за Европейския парламент и за Съвета в рамките на годишната бюджетна процедура. </w:t>
      </w:r>
    </w:p>
    <w:p>
      <w:pPr>
        <w:pStyle w:val="ManualConsidrant"/>
        <w:rPr>
          <w:noProof/>
        </w:rPr>
      </w:pPr>
      <w:r>
        <w:rPr>
          <w:noProof/>
        </w:rPr>
        <w:t>(12)</w:t>
      </w:r>
      <w:r>
        <w:rPr>
          <w:noProof/>
        </w:rPr>
        <w:tab/>
        <w:t>За да се отговори на допълнителните потребности по инструмента за техническа подкрепа, държавите членки следва да имат възможността да прехвърлят към бюджета на този инструмент планирани средства при споделено управление в рамките на фондовете на Съюза съгласно съответната процедура. Прехвърлените средства следва да се изпълняват съгласно правилата на този инструмент и следва да се използват изключително в полза на съответната държава членка. Комисията следва да предоставя на съответната държава членка обратна информация относно използването на допълнителен доброволен принос.</w:t>
      </w:r>
    </w:p>
    <w:p>
      <w:pPr>
        <w:pStyle w:val="ManualConsidrant"/>
        <w:rPr>
          <w:noProof/>
        </w:rPr>
      </w:pPr>
      <w:r>
        <w:rPr>
          <w:noProof/>
        </w:rPr>
        <w:t>(13)</w:t>
      </w:r>
      <w:r>
        <w:rPr>
          <w:noProof/>
        </w:rPr>
        <w:tab/>
        <w:t>Инструментът за техническа подкрепа следва да се предоставя при поискване в подкрепа на изпълнението на реформи, предприети по инициатива на държавите членки, реформи в контекста на процесите на икономическо управление или действията, свързани с изпълнението на правото на Съюза, както и реформи във връзка с изпълнението на програмите за икономически корекции. Той следва също така да предоставя техническа подкрепа за подготовката и изпълнението на планове за възстановяване, предприети по Регламент (ЕС) № YYY/XX.</w:t>
      </w:r>
    </w:p>
    <w:p>
      <w:pPr>
        <w:pStyle w:val="ManualConsidrant"/>
        <w:rPr>
          <w:noProof/>
        </w:rPr>
      </w:pPr>
      <w:r>
        <w:rPr>
          <w:noProof/>
        </w:rPr>
        <w:lastRenderedPageBreak/>
        <w:t>(14)</w:t>
      </w:r>
      <w:r>
        <w:rPr>
          <w:noProof/>
        </w:rPr>
        <w:tab/>
        <w:t>В съответствие с правилата и практиките, които вече съществуват по предишната програма — ППСР, представянето на искания за техническа подкрепа следва да става чрез олекотена процедура. По тази причина исканията на държавите членки следва да се подават до 31 октомври на календарната година.</w:t>
      </w:r>
      <w:r>
        <w:rPr>
          <w:i/>
          <w:noProof/>
        </w:rPr>
        <w:t xml:space="preserve"> </w:t>
      </w:r>
      <w:r>
        <w:rPr>
          <w:noProof/>
        </w:rPr>
        <w:t>Като се спазва основополагащият принцип на равно третиране, добро финансово управление и прозрачност следва да се определят подходящи критерии за анализ на исканията, представени от държавите членки. Тези критерии следва да се основават на неотложността, сериозността и обхвата на проблемите, както и на нуждите от подкрепа, определени по отношение на областите на политиката, в които се предвижда техническа подкрепа.</w:t>
      </w:r>
    </w:p>
    <w:p>
      <w:pPr>
        <w:pStyle w:val="ManualConsidrant"/>
        <w:rPr>
          <w:noProof/>
        </w:rPr>
      </w:pPr>
      <w:r>
        <w:rPr>
          <w:noProof/>
        </w:rPr>
        <w:t>(15)</w:t>
      </w:r>
      <w:r>
        <w:rPr>
          <w:noProof/>
        </w:rPr>
        <w:tab/>
        <w:t xml:space="preserve">Следва да се посочи съдържанието на плановете за сътрудничество и подкрепа, в които подробно са описани мерките за предоставянето на техническа подкрепа на държавите членки. За тази цел в предвидените мерки за техническа подкрепа и свързаната прогнозна обща финансова вноска следва да се вземат предвид действията и дейностите, финансирани от фондовете на Съюза или програмите на Съюза. </w:t>
      </w:r>
    </w:p>
    <w:p>
      <w:pPr>
        <w:pStyle w:val="ManualConsidrant"/>
        <w:rPr>
          <w:noProof/>
        </w:rPr>
      </w:pPr>
      <w:r>
        <w:rPr>
          <w:noProof/>
        </w:rPr>
        <w:t>(16)</w:t>
      </w:r>
      <w:r>
        <w:rPr>
          <w:noProof/>
        </w:rPr>
        <w:tab/>
        <w:t xml:space="preserve">За целите на отчетността, прозрачността и за да се гарантира видимостта на действията на Съюза, при определени условия, които защитават чувствителната информация, плановете за сътрудничество и подкрепа следва да се предоставят на Европейския парламент и Съвета, а дейностите по комуникация следва да се извършват по целесъобразност от Комисията. </w:t>
      </w:r>
    </w:p>
    <w:p>
      <w:pPr>
        <w:pStyle w:val="ManualConsidrant"/>
        <w:rPr>
          <w:noProof/>
        </w:rPr>
      </w:pPr>
      <w:r>
        <w:rPr>
          <w:noProof/>
        </w:rPr>
        <w:t>(17)</w:t>
      </w:r>
      <w:r>
        <w:rPr>
          <w:noProof/>
        </w:rPr>
        <w:tab/>
        <w:t xml:space="preserve">Следва да се определят разпоредбите относно изпълнението на инструмента за техническа подкрепа, по-специално методите на управление, формите на финансиране за мерките за техническа подкрепа и съдържанието на работните програми, които следва да се приемат посредством актове за изпълнение. С оглед на важността да се продължат усилията на държавите членки за планиране и изпълнение на реформи, е необходимо да се разреши съфинансиране на безвъзмездни средства в размер до 100 % от допустимите разходи. За да се позволи бързото мобилизиране на техническа подкрепа в случай на неотложност, следва да се изготвят разпоредби за приемането на специални мерки за ограничен период от време. За тази цел ограничена сума от бюджета в рамките на работната програма на инструмента за техническа подкрепа следва да се отдели за специални мерки. </w:t>
      </w:r>
    </w:p>
    <w:p>
      <w:pPr>
        <w:pStyle w:val="ManualConsidrant"/>
        <w:rPr>
          <w:noProof/>
        </w:rPr>
      </w:pPr>
      <w:r>
        <w:rPr>
          <w:noProof/>
        </w:rPr>
        <w:t>(18)</w:t>
      </w:r>
      <w:r>
        <w:rPr>
          <w:noProof/>
        </w:rPr>
        <w:tab/>
        <w:t>За да се гарантира ефикасно и съгласувано разпределение на средства от бюджета на Съюза и спазване на принципа на добро финансово управление, действията по настоящия регламент следва да бъдат съгласувани със и да допълват текущите програми на Съюза, като същевременно се избягва двойно финансиране за едни и същи разходи. По-специално Комисията и държавите членки следва да осигурят във всички етапи от процеса ефективна координация, така че да се гарантира последователност, съгласуваност, взаимно допълване и полезно взаимодействие между източниците на финансиране, включително техническа помощ в тази връзка.</w:t>
      </w:r>
    </w:p>
    <w:p>
      <w:pPr>
        <w:pStyle w:val="ManualConsidrant"/>
        <w:rPr>
          <w:noProof/>
        </w:rPr>
      </w:pPr>
      <w:r>
        <w:rPr>
          <w:noProof/>
        </w:rPr>
        <w:t>(19)</w:t>
      </w:r>
      <w:r>
        <w:rPr>
          <w:noProof/>
        </w:rPr>
        <w:tab/>
        <w:t xml:space="preserve">В съответствие с точки 22 и 23 от Междуинституционалното споразумение за по-добро законотворчество от 13 април 2016 г. е необходимо създаденият с настоящия регламент инструмент да се подложи на оценка въз основа на информацията, събрана посредством специфични изисквания за мониторинг, като същевременно се избягват свръхрегулирането и административната тежест, по-специално за държавите членки. По целесъобразност тези изисквания следва </w:t>
      </w:r>
      <w:r>
        <w:rPr>
          <w:noProof/>
        </w:rPr>
        <w:lastRenderedPageBreak/>
        <w:t xml:space="preserve">да включват измерими показатели като основа за оценка на практическото въздействие на инструмента. </w:t>
      </w:r>
    </w:p>
    <w:p>
      <w:pPr>
        <w:pStyle w:val="ManualConsidrant"/>
        <w:rPr>
          <w:noProof/>
        </w:rPr>
      </w:pPr>
      <w:r>
        <w:rPr>
          <w:noProof/>
        </w:rPr>
        <w:t>(20)</w:t>
      </w:r>
      <w:r>
        <w:rPr>
          <w:noProof/>
        </w:rPr>
        <w:tab/>
        <w:t xml:space="preserve">Целесъобразно е Комисията да представи на Европейския парламент и Съвета годишен доклад относно изпълнението на настоящия регламент. Следва да се извърши независима междинна оценка на изпълнението на целите на създадения с настоящия регламент инструмент, на ефикасността на използването на неговите ресурси и на добавената му стойност. В допълнение, в независимата последваща оценка следва да се разгледа дългосрочното въздействие на инструмента. </w:t>
      </w:r>
    </w:p>
    <w:p>
      <w:pPr>
        <w:pStyle w:val="ManualConsidrant"/>
        <w:rPr>
          <w:noProof/>
        </w:rPr>
      </w:pPr>
      <w:r>
        <w:rPr>
          <w:noProof/>
        </w:rPr>
        <w:t>(21)</w:t>
      </w:r>
      <w:r>
        <w:rPr>
          <w:noProof/>
        </w:rPr>
        <w:tab/>
        <w:t>Следва да бъдат създадени работни програми за изпълнението на техническата подкрепа. За да се гарантират еднакви условия за изпълнение на настоящия регламент, на Комисията следва да бъдат предоставени изпълнителни правомощия. По отношение на настоящия регламент се прилагат хоризонталните финансови правила, приети от Европейския парламент и от Съвета на основание член 322 от Договора. Тези правила са установени в Регламент (ЕС, Евратом) 2018/1046 на Европейския парламент и на Съвета (Финансовия регламент)</w:t>
      </w:r>
      <w:r>
        <w:rPr>
          <w:rStyle w:val="FootnoteReference"/>
          <w:noProof/>
        </w:rPr>
        <w:footnoteReference w:id="18"/>
      </w:r>
      <w:r>
        <w:rPr>
          <w:noProof/>
        </w:rPr>
        <w:t xml:space="preserve"> и определят по-специално реда и условията за изготвяне и изпълнение на бюджета чрез безвъзмездни средства, обществени поръчки, награди, непряко управление, а също и контрола върху отговорността на финансовите оператори. Правилата, приети на основание на член 322 от ДФЕС, се отнасят и до защитата на бюджета на Съюза в случай на всеобщи слабости по отношение на прилагането на принципите на правовата държава в държавите членки, тъй като зачитането на принципите на правовата държава е съществена предпоставка за добро финансово управление и ефективно финансиране от ЕС.</w:t>
      </w:r>
    </w:p>
    <w:p>
      <w:pPr>
        <w:pStyle w:val="ManualConsidrant"/>
        <w:rPr>
          <w:noProof/>
        </w:rPr>
      </w:pPr>
      <w:r>
        <w:rPr>
          <w:noProof/>
        </w:rPr>
        <w:t>(22)</w:t>
      </w:r>
      <w:r>
        <w:rPr>
          <w:noProof/>
        </w:rPr>
        <w:tab/>
        <w:t>В съответствие с Финансовия регламент, Регламент (ЕС, Евратом) № 883/2013 на Европейския парламент и на Съвета</w:t>
      </w:r>
      <w:r>
        <w:rPr>
          <w:rStyle w:val="FootnoteReference"/>
          <w:noProof/>
        </w:rPr>
        <w:footnoteReference w:id="19"/>
      </w:r>
      <w:r>
        <w:rPr>
          <w:noProof/>
        </w:rPr>
        <w:t>, Регламент (ЕО, Евратом) № 2988/95 на Съвета</w:t>
      </w:r>
      <w:r>
        <w:rPr>
          <w:rStyle w:val="FootnoteReference"/>
          <w:noProof/>
        </w:rPr>
        <w:footnoteReference w:id="20"/>
      </w:r>
      <w:r>
        <w:rPr>
          <w:noProof/>
        </w:rPr>
        <w:t>, Регламент (Евратом, ЕО) № 2185/96 на Съвета</w:t>
      </w:r>
      <w:r>
        <w:rPr>
          <w:rStyle w:val="FootnoteReference"/>
          <w:noProof/>
        </w:rPr>
        <w:footnoteReference w:id="21"/>
      </w:r>
      <w:r>
        <w:rPr>
          <w:noProof/>
        </w:rPr>
        <w:t xml:space="preserve"> и Регламент (ЕС) 2017/1939 на Съвета</w:t>
      </w:r>
      <w:r>
        <w:rPr>
          <w:rStyle w:val="FootnoteReference"/>
          <w:noProof/>
        </w:rPr>
        <w:footnoteReference w:id="22"/>
      </w:r>
      <w:r>
        <w:rPr>
          <w:noProof/>
        </w:rPr>
        <w:t xml:space="preserve"> финансовите интереси на Съюза се защитават посредством пропорционални мерки, включително посредством предотвратяване, разкриване, коригиране и разследване на нередности и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(ЕС, Евратом) № 883/2013 и Регламент </w:t>
      </w:r>
      <w:r>
        <w:rPr>
          <w:noProof/>
        </w:rPr>
        <w:lastRenderedPageBreak/>
        <w:t>(Евратом, ЕО) № 2185/96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престъпления, засягащи финансовите интереси на Съюза, както е предвидено в Директива (ЕС) 2017/1371 на Европейския парламент и на Съвета</w:t>
      </w:r>
      <w:r>
        <w:rPr>
          <w:rStyle w:val="FootnoteReference"/>
          <w:noProof/>
        </w:rPr>
        <w:footnoteReference w:id="23"/>
      </w:r>
      <w:r>
        <w:rPr>
          <w:noProof/>
        </w:rPr>
        <w:t>. В съответствие с Финансовия регламент всички лица или субекти, получаващи средства от Съюза, оказват пълно сътрудничество за защита на финансовите интереси на Съюза, предоставят необходимите права и достъп на Комисията, OLAF, Европейската прокуратура и Европейската сметна палата и гарантират, че всички трети страни, участващи в изпълнението на средства на Съюза, предоставят равностойни права на Комисията, OLAF, Европейската прокуратура и Европейската сметна палата.</w:t>
      </w:r>
    </w:p>
    <w:p>
      <w:pPr>
        <w:pStyle w:val="ManualConsidrant"/>
        <w:rPr>
          <w:noProof/>
        </w:rPr>
      </w:pPr>
      <w:r>
        <w:rPr>
          <w:noProof/>
        </w:rPr>
        <w:t>(23)</w:t>
      </w:r>
      <w:r>
        <w:rPr>
          <w:noProof/>
        </w:rPr>
        <w:tab/>
        <w:t>Тъй като целта на настоящия регламент не може да бъде постигната в достатъчна степен самостоятелно от държавите членки и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тази цел.</w:t>
      </w:r>
    </w:p>
    <w:p>
      <w:pPr>
        <w:pStyle w:val="ManualConsidrant"/>
        <w:rPr>
          <w:noProof/>
        </w:rPr>
      </w:pPr>
      <w:r>
        <w:rPr>
          <w:noProof/>
        </w:rPr>
        <w:t>(24)</w:t>
      </w:r>
      <w:r>
        <w:rPr>
          <w:noProof/>
        </w:rPr>
        <w:tab/>
        <w:t>Настоящият регламент обаче не следва да засяга продължението и изменението на мерките за подкрепа, одобрени от Комисията въз основа на Регламент (ЕС) 2017/825 или друг акт на Съюза за прилагане на тази помощ до 31 декември 2020 г. Ето защо мерките, одобрени съгласно Регламент (ЕС) 2017/825, следва да останат валидни. За тази цел следва също така да се определят преходни разпоредби.</w:t>
      </w:r>
    </w:p>
    <w:p>
      <w:pPr>
        <w:pStyle w:val="ManualConsidrant"/>
        <w:rPr>
          <w:noProof/>
        </w:rPr>
      </w:pPr>
      <w:r>
        <w:rPr>
          <w:noProof/>
        </w:rPr>
        <w:t>(25)</w:t>
      </w:r>
      <w:r>
        <w:rPr>
          <w:noProof/>
        </w:rPr>
        <w:tab/>
        <w:t xml:space="preserve">За да се създадат условия за незабавното прилагане на предвидените в настоящия регламент мерки, той следва да влезе в сила в деня след публикуването му в Официален вестник на Европейския съюз, </w:t>
      </w:r>
    </w:p>
    <w:p>
      <w:pPr>
        <w:pStyle w:val="Formuledadoption"/>
        <w:rPr>
          <w:noProof/>
        </w:rPr>
      </w:pPr>
      <w:r>
        <w:rPr>
          <w:noProof/>
        </w:rPr>
        <w:t>ПРИЕХА НАСТОЯЩИЯ РЕГЛАМЕНТ:</w:t>
      </w:r>
    </w:p>
    <w:p>
      <w:pPr>
        <w:pStyle w:val="ChapterTitle"/>
        <w:rPr>
          <w:noProof/>
        </w:rPr>
      </w:pPr>
      <w:r>
        <w:rPr>
          <w:noProof/>
        </w:rPr>
        <w:t xml:space="preserve">ГЛАВА I </w:t>
      </w:r>
    </w:p>
    <w:p>
      <w:pPr>
        <w:pStyle w:val="ChapterTitle"/>
        <w:rPr>
          <w:noProof/>
        </w:rPr>
      </w:pPr>
      <w:r>
        <w:rPr>
          <w:noProof/>
        </w:rPr>
        <w:t>Общи разпоредби</w:t>
      </w:r>
    </w:p>
    <w:p>
      <w:pPr>
        <w:pStyle w:val="Titrearticle"/>
        <w:rPr>
          <w:noProof/>
        </w:rPr>
      </w:pPr>
      <w:r>
        <w:rPr>
          <w:noProof/>
        </w:rPr>
        <w:t xml:space="preserve">Член 1 </w:t>
      </w:r>
      <w:r>
        <w:rPr>
          <w:noProof/>
        </w:rPr>
        <w:br/>
        <w:t>Предмет</w:t>
      </w:r>
    </w:p>
    <w:p>
      <w:pPr>
        <w:spacing w:after="240"/>
        <w:rPr>
          <w:noProof/>
        </w:rPr>
      </w:pPr>
      <w:r>
        <w:rPr>
          <w:noProof/>
        </w:rPr>
        <w:t xml:space="preserve">С настоящия регламент се създава инструмент за техническа подкрепа („инструментът“). </w:t>
      </w:r>
    </w:p>
    <w:p>
      <w:pPr>
        <w:spacing w:before="0" w:after="240"/>
        <w:rPr>
          <w:noProof/>
        </w:rPr>
      </w:pPr>
      <w:r>
        <w:rPr>
          <w:noProof/>
        </w:rPr>
        <w:lastRenderedPageBreak/>
        <w:t>В него се определят целите на инструмента, бюджетът за периода 2021—2027 г., формите на финансиране от Съюза и правилата за предоставяне на такова финансиране.</w:t>
      </w:r>
    </w:p>
    <w:p>
      <w:pPr>
        <w:pStyle w:val="Titrearticle"/>
        <w:rPr>
          <w:noProof/>
        </w:rPr>
      </w:pPr>
      <w:r>
        <w:rPr>
          <w:noProof/>
        </w:rPr>
        <w:t xml:space="preserve">Член 2 </w:t>
      </w:r>
      <w:r>
        <w:rPr>
          <w:noProof/>
        </w:rPr>
        <w:br/>
        <w:t>Определения</w:t>
      </w:r>
    </w:p>
    <w:p>
      <w:pPr>
        <w:spacing w:before="0" w:after="240" w:line="276" w:lineRule="auto"/>
        <w:jc w:val="left"/>
        <w:rPr>
          <w:noProof/>
        </w:rPr>
      </w:pPr>
      <w:r>
        <w:rPr>
          <w:noProof/>
        </w:rPr>
        <w:t>За целите на настоящия регламент се прилагат следните определения:</w:t>
      </w:r>
    </w:p>
    <w:p>
      <w:pPr>
        <w:pStyle w:val="Point1"/>
        <w:rPr>
          <w:noProof/>
        </w:rPr>
      </w:pPr>
      <w:r>
        <w:rPr>
          <w:noProof/>
        </w:rPr>
        <w:t>(1)</w:t>
      </w:r>
      <w:r>
        <w:rPr>
          <w:noProof/>
        </w:rPr>
        <w:tab/>
        <w:t>„техническа подкрепа“ означава мерки, които помагат на държавите членки да извършват институционални, административни и поддържащи растежа и повишаващи устойчивостта реформи;</w:t>
      </w:r>
    </w:p>
    <w:p>
      <w:pPr>
        <w:pStyle w:val="Point1"/>
        <w:rPr>
          <w:noProof/>
        </w:rPr>
      </w:pPr>
      <w:r>
        <w:rPr>
          <w:noProof/>
        </w:rPr>
        <w:t>(2)</w:t>
      </w:r>
      <w:r>
        <w:rPr>
          <w:noProof/>
        </w:rPr>
        <w:tab/>
        <w:t xml:space="preserve">„национален орган“ означава един или повече публични органи на равнището на правителството, включително тези на регионално и местно равнище, както и организации на държавата членка по смисъла на член 2, параграф 42 от Финансовия регламент, които сътрудничат в дух на партньорство съгласно институционалната и правната рамка на държавите членки; </w:t>
      </w:r>
    </w:p>
    <w:p>
      <w:pPr>
        <w:pStyle w:val="Point1"/>
        <w:rPr>
          <w:noProof/>
        </w:rPr>
      </w:pPr>
      <w:r>
        <w:rPr>
          <w:noProof/>
        </w:rPr>
        <w:t>(3)</w:t>
      </w:r>
      <w:r>
        <w:rPr>
          <w:noProof/>
        </w:rPr>
        <w:tab/>
        <w:t>„фондове на Съюза“ означава фондовете, обхванати от Регламент (ЕС) № YYY/XX на Европейския парламент и на Съвета [правоприемник на РОР]</w:t>
      </w:r>
      <w:r>
        <w:rPr>
          <w:rStyle w:val="FootnoteReference"/>
          <w:noProof/>
        </w:rPr>
        <w:footnoteReference w:id="24"/>
      </w:r>
      <w:r>
        <w:rPr>
          <w:noProof/>
        </w:rPr>
        <w:t xml:space="preserve">; </w:t>
      </w:r>
    </w:p>
    <w:p>
      <w:pPr>
        <w:pStyle w:val="Point1"/>
        <w:rPr>
          <w:noProof/>
        </w:rPr>
      </w:pPr>
      <w:r>
        <w:rPr>
          <w:noProof/>
        </w:rPr>
        <w:t>(4)</w:t>
      </w:r>
      <w:r>
        <w:rPr>
          <w:noProof/>
        </w:rPr>
        <w:tab/>
        <w:t>„международна организация“ означава организация по смисъла на член 156 от Финансовия регламент и организации, приравнени към такава международна организация съгласно този член.</w:t>
      </w:r>
    </w:p>
    <w:p>
      <w:pPr>
        <w:pStyle w:val="Titrearticle"/>
        <w:rPr>
          <w:noProof/>
        </w:rPr>
      </w:pPr>
      <w:r>
        <w:rPr>
          <w:noProof/>
        </w:rPr>
        <w:t>Член 3</w:t>
      </w:r>
      <w:r>
        <w:rPr>
          <w:noProof/>
        </w:rPr>
        <w:br/>
        <w:t>Обща цел</w:t>
      </w:r>
    </w:p>
    <w:p>
      <w:pPr>
        <w:rPr>
          <w:noProof/>
        </w:rPr>
      </w:pPr>
      <w:r>
        <w:rPr>
          <w:noProof/>
        </w:rPr>
        <w:t xml:space="preserve">Общата цел на инструмента е да се насърчи икономическото, социалното и териториалното сближаване в Съюза чрез подкрепа на усилията на държавите членки както за провеждане на необходимите реформи за икономическо и социално възстановяване, устойчивост и възходящо икономическо и социално сближаване, така и за укрепване на техния административен капацитет за прилагане на правото на Съюза предвид предизвикателствата, пред които са изправени институциите, управленските структури, публичната администрация и икономическите и социалните сектори. </w:t>
      </w:r>
    </w:p>
    <w:p>
      <w:pPr>
        <w:pStyle w:val="Titrearticle"/>
        <w:rPr>
          <w:noProof/>
        </w:rPr>
      </w:pPr>
      <w:r>
        <w:rPr>
          <w:noProof/>
        </w:rPr>
        <w:t xml:space="preserve">Член 4 </w:t>
      </w:r>
      <w:r>
        <w:rPr>
          <w:noProof/>
        </w:rPr>
        <w:br/>
        <w:t>Конкретни цели</w:t>
      </w:r>
    </w:p>
    <w:p>
      <w:pPr>
        <w:spacing w:before="0" w:after="200"/>
        <w:rPr>
          <w:noProof/>
        </w:rPr>
      </w:pPr>
      <w:r>
        <w:rPr>
          <w:noProof/>
        </w:rPr>
        <w:t>С оглед постигане на посочената в член 3 обща цел инструментът следва конкретни цели като подкрепя националните органи във връзка с подобряването на техния капацитет за разработването, развитието и изпълнението на реформи, включително чрез обмен на добри практики, подходящи процеси и методики и по-ефективно и по-ефикасно управление на човешките ресурси. Тези конкретни цели се преследват в тясно сътрудничество със съответните държави членки.</w:t>
      </w:r>
    </w:p>
    <w:p>
      <w:pPr>
        <w:pStyle w:val="Titrearticle"/>
        <w:rPr>
          <w:noProof/>
        </w:rPr>
      </w:pPr>
      <w:r>
        <w:rPr>
          <w:noProof/>
        </w:rPr>
        <w:lastRenderedPageBreak/>
        <w:t xml:space="preserve">Член 5 </w:t>
      </w:r>
      <w:r>
        <w:rPr>
          <w:noProof/>
        </w:rPr>
        <w:br/>
        <w:t>Обхват</w:t>
      </w:r>
    </w:p>
    <w:p>
      <w:pPr>
        <w:spacing w:before="0" w:after="200"/>
        <w:rPr>
          <w:noProof/>
        </w:rPr>
      </w:pPr>
      <w:r>
        <w:rPr>
          <w:noProof/>
        </w:rPr>
        <w:t xml:space="preserve">Посочените в член 4 конкретни цели се отнасят до области на политиката, свързани със сближаването, конкурентоспособността, образованието, производителността, научните изследвания и иновациите, интелигентния, справедлив, устойчив и приобщаващ растеж, работните места и инвестициите, с акцент върху действията, които насърчават прехода към зелени и цифрови технологии, и по-специално към едно или повече от следните области: </w:t>
      </w:r>
    </w:p>
    <w:p>
      <w:pPr>
        <w:pStyle w:val="Point1"/>
        <w:rPr>
          <w:noProof/>
        </w:rPr>
      </w:pPr>
      <w:r>
        <w:rPr>
          <w:noProof/>
        </w:rPr>
        <w:t>а)</w:t>
      </w:r>
      <w:r>
        <w:rPr>
          <w:noProof/>
        </w:rPr>
        <w:tab/>
        <w:t>управление на публични финанси и активи, бюджетен процес, макрофискална рамка, управление на дълга и на паричните средства, разходна и данъчна политика, спазване на данъчното законодателство, агресивно данъчно планиране, данъчни измами и укриване на данъци, както и управление на приходите и митнически съюз;</w:t>
      </w:r>
    </w:p>
    <w:p>
      <w:pPr>
        <w:pStyle w:val="Point1"/>
        <w:rPr>
          <w:noProof/>
        </w:rPr>
      </w:pPr>
      <w:r>
        <w:rPr>
          <w:noProof/>
        </w:rPr>
        <w:t>б)</w:t>
      </w:r>
      <w:r>
        <w:rPr>
          <w:noProof/>
        </w:rPr>
        <w:tab/>
        <w:t>институционална реформа и ефективна и ориентирана към услугите публична администрация и електронно управление, включително по целесъобразност чрез опростяване на правилата, ефективно прилагане на принципите на правовата държава, реформа на съдебната система и засилване на борбата срещу измамите, корупцията и изпирането на пари;</w:t>
      </w:r>
    </w:p>
    <w:p>
      <w:pPr>
        <w:pStyle w:val="Point1"/>
        <w:rPr>
          <w:noProof/>
        </w:rPr>
      </w:pPr>
      <w:r>
        <w:rPr>
          <w:noProof/>
        </w:rPr>
        <w:t>в)</w:t>
      </w:r>
      <w:r>
        <w:rPr>
          <w:noProof/>
        </w:rPr>
        <w:tab/>
        <w:t>бизнес среда, включително за малки и средни предприятия и предприятия от социалната икономика, реиндустриализация, развитие на частния сектор, пазари на стоки и услуги, инвестиции, публично участие в предприятия, процеси на приватизация, търговия и преки чуждестранни инвестиции, конкуренция и обществени поръчки, устойчиво секторно развитие и подкрепа за научните изследвания и иновациите и цифровизацията;</w:t>
      </w:r>
    </w:p>
    <w:p>
      <w:pPr>
        <w:pStyle w:val="Point1"/>
        <w:rPr>
          <w:noProof/>
        </w:rPr>
      </w:pPr>
      <w:r>
        <w:rPr>
          <w:noProof/>
        </w:rPr>
        <w:t>г)</w:t>
      </w:r>
      <w:r>
        <w:rPr>
          <w:noProof/>
        </w:rPr>
        <w:tab/>
        <w:t>образование и обучение, политики по отношение на пазара на труда, в т.ч. социален диалог, с оглед създаване на работни места, повишаване на квалификацията и преквалификация, конкретно цифрови умения, медийна грамотност, активно гражданско участие, борба срещу бедността и прекомерното неравенство по отношение на доходите, равенство между половете, насърчаване на социалното приобщаване, подходящи и приобщаващи системи за социална сигурност и социално подпомагане, системи за обществено здраве и здравеопазване, както и политики за сближаването, убежището, миграцията и границите;</w:t>
      </w:r>
    </w:p>
    <w:p>
      <w:pPr>
        <w:pStyle w:val="Point1"/>
        <w:rPr>
          <w:noProof/>
        </w:rPr>
      </w:pPr>
      <w:r>
        <w:rPr>
          <w:noProof/>
        </w:rPr>
        <w:t>д)</w:t>
      </w:r>
      <w:r>
        <w:rPr>
          <w:noProof/>
        </w:rPr>
        <w:tab/>
        <w:t>политики за осъществяване на прехода към цифрови и зелени технологии, решения в областта на електронното управление, електронни обществени поръчки, свързаност, достъп и управление на данни, електронно обучение, основани на изкуствен интелект решения, както и за прилагането на екологичния стълб на устойчивото развитие и опазването на околната среда, действията в областта на климата, мобилността, насърчаването на кръговата икономика, енергийната и ресурсната ефективност, енергията от възобновяеми източници, постигането на енергийна диверсификация и гарантирането на енергийната сигурност, както и за селскостопанския сектор, опазването на почвите и биологичното разнообразие, рибарството и устойчивото развитие на селските райони; както и</w:t>
      </w:r>
    </w:p>
    <w:p>
      <w:pPr>
        <w:pStyle w:val="Point1"/>
        <w:rPr>
          <w:noProof/>
        </w:rPr>
      </w:pPr>
      <w:r>
        <w:rPr>
          <w:noProof/>
        </w:rPr>
        <w:lastRenderedPageBreak/>
        <w:t>е)</w:t>
      </w:r>
      <w:r>
        <w:rPr>
          <w:noProof/>
        </w:rPr>
        <w:tab/>
        <w:t>политики в областта на финансовия сектор, включително: насърчаването на финансова грамотност, финансовата стабилност, достъпа до финансиране и кредитирането на реалната икономика; и изготвяне, предоставяне и мониторинг на качеството на данните и статистическата информация.</w:t>
      </w:r>
    </w:p>
    <w:p>
      <w:pPr>
        <w:pStyle w:val="Titrearticle"/>
        <w:rPr>
          <w:noProof/>
        </w:rPr>
      </w:pPr>
      <w:r>
        <w:rPr>
          <w:noProof/>
        </w:rPr>
        <w:t xml:space="preserve">Член 6 </w:t>
      </w:r>
      <w:r>
        <w:rPr>
          <w:noProof/>
        </w:rPr>
        <w:br/>
        <w:t>Бюджет</w:t>
      </w:r>
    </w:p>
    <w:p>
      <w:pPr>
        <w:pStyle w:val="ManualNumPar1"/>
        <w:rPr>
          <w:noProof/>
        </w:rPr>
      </w:pPr>
      <w:r>
        <w:rPr>
          <w:noProof/>
        </w:rPr>
        <w:t>1.</w:t>
      </w:r>
      <w:r>
        <w:rPr>
          <w:noProof/>
        </w:rPr>
        <w:tab/>
        <w:t>Финансовият пакет за изпълнението на инструмента за периода 2021—2027 г. възлиза на 864 406 000 евро по текущи цени.</w:t>
      </w:r>
    </w:p>
    <w:p>
      <w:pPr>
        <w:pStyle w:val="ManualNumPar1"/>
        <w:rPr>
          <w:noProof/>
        </w:rPr>
      </w:pPr>
      <w:r>
        <w:rPr>
          <w:noProof/>
        </w:rPr>
        <w:t>2.</w:t>
      </w:r>
      <w:r>
        <w:rPr>
          <w:noProof/>
        </w:rPr>
        <w:tab/>
        <w:t xml:space="preserve">Финансовият пакет за инструмента може също така да покрива разходи, свързани с дейности за подготовка, мониторинг, контрол, одит и оценка, които са необходими за управлението на инструмента и постигането на неговите цели, по-специално проучвания, срещи на експерти, дейности по комуникация и предоставяне на информация, включително институционална комуникация за политическите приоритети на Съюза, доколкото те са свързани с целите на настоящия регламент, разходи, свързани с ИТ мрежи, насочени към обработката и обмена на информация, включително институционални инструменти в областта на информационните технологии, и всички други разходи за техническа и административна помощ, направени от Комисията за управлението на инструмента. Разходите могат също така да покриват разходите за други дейности за подпомагане, като контрол на качеството и мониторинг на място на проектите за техническа подкрепа и разходите за партньорски консултации и експерти за оценката и изпълнението на структурните реформи. </w:t>
      </w:r>
    </w:p>
    <w:p>
      <w:pPr>
        <w:pStyle w:val="ManualNumPar1"/>
        <w:rPr>
          <w:noProof/>
        </w:rPr>
      </w:pPr>
      <w:r>
        <w:rPr>
          <w:noProof/>
        </w:rPr>
        <w:t>3.</w:t>
      </w:r>
      <w:r>
        <w:rPr>
          <w:noProof/>
        </w:rPr>
        <w:tab/>
        <w:t>Финансовите средства, които са отпуснати на държавите членки при споделено управление, могат, при поискване от тяхна страна, да бъдат прехвърлени към инструмента. Комисията изпълнява тези ресурси пряко в съответствие с член 62, параграф 1, буква а) от Финансовия регламент или непряко — в съответствие с буква в) от посочения член и параграф. Тези ресурси се използват в полза на съответната държава членка.</w:t>
      </w:r>
    </w:p>
    <w:p>
      <w:pPr>
        <w:pStyle w:val="Text1"/>
        <w:rPr>
          <w:noProof/>
        </w:rPr>
      </w:pPr>
    </w:p>
    <w:p>
      <w:pPr>
        <w:pStyle w:val="ChapterTitle"/>
        <w:rPr>
          <w:noProof/>
        </w:rPr>
      </w:pPr>
      <w:r>
        <w:rPr>
          <w:noProof/>
        </w:rPr>
        <w:t xml:space="preserve">ГЛАВА II </w:t>
      </w:r>
    </w:p>
    <w:p>
      <w:pPr>
        <w:pStyle w:val="ChapterTitle"/>
        <w:rPr>
          <w:noProof/>
        </w:rPr>
      </w:pPr>
      <w:r>
        <w:rPr>
          <w:noProof/>
        </w:rPr>
        <w:t>Техническа подкрепа</w:t>
      </w:r>
    </w:p>
    <w:p>
      <w:pPr>
        <w:pStyle w:val="Titrearticle"/>
        <w:rPr>
          <w:noProof/>
        </w:rPr>
      </w:pPr>
      <w:r>
        <w:rPr>
          <w:noProof/>
        </w:rPr>
        <w:t>Член 7</w:t>
      </w:r>
      <w:r>
        <w:rPr>
          <w:noProof/>
        </w:rPr>
        <w:br/>
        <w:t xml:space="preserve">Допустими действия за техническа подкрепа </w:t>
      </w:r>
    </w:p>
    <w:p>
      <w:pPr>
        <w:spacing w:before="0" w:after="240"/>
        <w:rPr>
          <w:noProof/>
        </w:rPr>
      </w:pPr>
      <w:r>
        <w:rPr>
          <w:noProof/>
        </w:rPr>
        <w:t xml:space="preserve">В съответствие с целите, определени в членове 3 и 4, по инструмента се финансират по-специално следните видове действия: </w:t>
      </w:r>
    </w:p>
    <w:p>
      <w:pPr>
        <w:pStyle w:val="Point1"/>
        <w:rPr>
          <w:noProof/>
        </w:rPr>
      </w:pPr>
      <w:r>
        <w:rPr>
          <w:noProof/>
        </w:rPr>
        <w:t>а)</w:t>
      </w:r>
      <w:r>
        <w:rPr>
          <w:noProof/>
        </w:rPr>
        <w:tab/>
        <w:t>предоставяне на експертни познания, свързани с насоки за политиките, промяна на политиките, формулиране на стратегии и пътни карти за реформи, както и със законодателни, институционални, структурни и/или административни реформи;</w:t>
      </w:r>
    </w:p>
    <w:p>
      <w:pPr>
        <w:pStyle w:val="Point1"/>
        <w:rPr>
          <w:noProof/>
        </w:rPr>
      </w:pPr>
      <w:r>
        <w:rPr>
          <w:noProof/>
        </w:rPr>
        <w:lastRenderedPageBreak/>
        <w:t>б)</w:t>
      </w:r>
      <w:r>
        <w:rPr>
          <w:noProof/>
        </w:rPr>
        <w:tab/>
        <w:t>осигуряване на експерти за по-дълъг или по-кратък период, включително експерти на място, за изпълнение на задачи в специфични области или за извършване на оперативни дейности, при необходимост с помощ за устен превод, писмен превод и сътрудничество, с административна помощ и инфраструктурни съоръжения и оборудване;</w:t>
      </w:r>
    </w:p>
    <w:p>
      <w:pPr>
        <w:pStyle w:val="Point1"/>
        <w:rPr>
          <w:noProof/>
        </w:rPr>
      </w:pPr>
      <w:r>
        <w:rPr>
          <w:noProof/>
        </w:rPr>
        <w:t>в)</w:t>
      </w:r>
      <w:r>
        <w:rPr>
          <w:noProof/>
        </w:rPr>
        <w:tab/>
        <w:t xml:space="preserve">изграждане на институционален, административен или секторен капацитет, както и осъществяване на свързани с него поддържащи действия на всички равнища на управление, които също така по целесъобразност допринасят за овластяването на гражданското общество, включително социалните партньори, по-специално: </w:t>
      </w:r>
    </w:p>
    <w:p>
      <w:pPr>
        <w:pStyle w:val="Point2"/>
        <w:rPr>
          <w:noProof/>
        </w:rPr>
      </w:pPr>
      <w:r>
        <w:rPr>
          <w:noProof/>
        </w:rPr>
        <w:t>i)</w:t>
      </w:r>
      <w:r>
        <w:rPr>
          <w:noProof/>
        </w:rPr>
        <w:tab/>
        <w:t>семинари, конференции и работни срещи;</w:t>
      </w:r>
    </w:p>
    <w:p>
      <w:pPr>
        <w:pStyle w:val="Point2"/>
        <w:rPr>
          <w:noProof/>
        </w:rPr>
      </w:pPr>
      <w:r>
        <w:rPr>
          <w:noProof/>
        </w:rPr>
        <w:t>ii)</w:t>
      </w:r>
      <w:r>
        <w:rPr>
          <w:noProof/>
        </w:rPr>
        <w:tab/>
        <w:t xml:space="preserve">работни посещения до съответните държави членки или трети държави, за да се даде възможност на служителите да придобият или увеличат своя експертен опит или знания по отношение на съответните въпроси; </w:t>
      </w:r>
    </w:p>
    <w:p>
      <w:pPr>
        <w:pStyle w:val="Point2"/>
        <w:rPr>
          <w:noProof/>
        </w:rPr>
      </w:pPr>
      <w:r>
        <w:rPr>
          <w:noProof/>
        </w:rPr>
        <w:t>iii)</w:t>
      </w:r>
      <w:r>
        <w:rPr>
          <w:noProof/>
        </w:rPr>
        <w:tab/>
        <w:t>действия за обучение и разработване на онлайн или други модули за обучение с цел да се подпомогне развитието на необходимите професионални умения и знания във връзка със съответните реформи;</w:t>
      </w:r>
    </w:p>
    <w:p>
      <w:pPr>
        <w:pStyle w:val="Point1"/>
        <w:rPr>
          <w:noProof/>
        </w:rPr>
      </w:pPr>
      <w:r>
        <w:rPr>
          <w:noProof/>
        </w:rPr>
        <w:t>г)</w:t>
      </w:r>
      <w:r>
        <w:rPr>
          <w:noProof/>
        </w:rPr>
        <w:tab/>
        <w:t>събиране на данни и статистическа информация; разработване на общи методики и по целесъобразност — на показатели или целеви показатели;</w:t>
      </w:r>
    </w:p>
    <w:p>
      <w:pPr>
        <w:pStyle w:val="Point1"/>
        <w:rPr>
          <w:noProof/>
        </w:rPr>
      </w:pPr>
      <w:r>
        <w:rPr>
          <w:noProof/>
        </w:rPr>
        <w:t>д)</w:t>
      </w:r>
      <w:r>
        <w:rPr>
          <w:noProof/>
        </w:rPr>
        <w:tab/>
        <w:t>организиране на местна оперативна подкрепа в области, като убежище, миграция и граничен контрол;</w:t>
      </w:r>
    </w:p>
    <w:p>
      <w:pPr>
        <w:pStyle w:val="Point1"/>
        <w:rPr>
          <w:noProof/>
        </w:rPr>
      </w:pPr>
      <w:r>
        <w:rPr>
          <w:noProof/>
        </w:rPr>
        <w:t>е)</w:t>
      </w:r>
      <w:r>
        <w:rPr>
          <w:noProof/>
        </w:rPr>
        <w:tab/>
        <w:t>изграждане на ИТ капацитет, включително експертни познания, свързани с разработка, поддръжка, експлоатация и контрол на качеството на ИТ инфраструктурата и приложенията, необходими за изпълнение на съответните реформи, киберсигурност, както и експертни познания, свързани с програмите, насочени към цифровизацията на публичните услуги;</w:t>
      </w:r>
    </w:p>
    <w:p>
      <w:pPr>
        <w:pStyle w:val="Point1"/>
        <w:rPr>
          <w:noProof/>
        </w:rPr>
      </w:pPr>
      <w:r>
        <w:rPr>
          <w:noProof/>
        </w:rPr>
        <w:t>ж)</w:t>
      </w:r>
      <w:r>
        <w:rPr>
          <w:noProof/>
        </w:rPr>
        <w:tab/>
        <w:t>проучвания, изследвания, анализи и допитвания, общи оценки и оценки на въздействието, както и изготвяне и публикуване на наръчници, доклади и образователни материали;</w:t>
      </w:r>
    </w:p>
    <w:p>
      <w:pPr>
        <w:pStyle w:val="Point1"/>
        <w:rPr>
          <w:noProof/>
        </w:rPr>
      </w:pPr>
      <w:r>
        <w:rPr>
          <w:noProof/>
        </w:rPr>
        <w:t>з)</w:t>
      </w:r>
      <w:r>
        <w:rPr>
          <w:noProof/>
        </w:rPr>
        <w:tab/>
        <w:t>комуникационни проекти за обучение, включително електронно обучение, сътрудничество, повишаване на осведомеността, дейности за разпространение и обмен на добри практики; организиране на кампании за повишаване на осведомеността и информиране, медийни кампании и мероприятия, включително институционална комуникация, както и по целесъобразност, комуникация чрез социални мрежи;</w:t>
      </w:r>
    </w:p>
    <w:p>
      <w:pPr>
        <w:pStyle w:val="Point1"/>
        <w:rPr>
          <w:noProof/>
        </w:rPr>
      </w:pPr>
      <w:r>
        <w:rPr>
          <w:noProof/>
        </w:rPr>
        <w:t>и)</w:t>
      </w:r>
      <w:r>
        <w:rPr>
          <w:noProof/>
        </w:rPr>
        <w:tab/>
        <w:t>изготвяне и публикуване на материали с цел разпространяване на информация, както и на резултатите от предоставената по инструмента техническа подкрепа, включително чрез разработката, експлоатацията и поддръжката на системи и средства, които използват информационни и комуникационни технологии; и</w:t>
      </w:r>
    </w:p>
    <w:p>
      <w:pPr>
        <w:pStyle w:val="Point1"/>
        <w:rPr>
          <w:noProof/>
        </w:rPr>
      </w:pPr>
      <w:r>
        <w:rPr>
          <w:noProof/>
        </w:rPr>
        <w:t>й)</w:t>
      </w:r>
      <w:r>
        <w:rPr>
          <w:noProof/>
        </w:rPr>
        <w:tab/>
        <w:t>всички други свързани дейности, които подпомагат общата и конкретните цели, определени в членове 3 и 4.</w:t>
      </w:r>
    </w:p>
    <w:p>
      <w:pPr>
        <w:pStyle w:val="Titrearticle"/>
        <w:rPr>
          <w:noProof/>
        </w:rPr>
      </w:pPr>
      <w:r>
        <w:rPr>
          <w:noProof/>
        </w:rPr>
        <w:lastRenderedPageBreak/>
        <w:t>Член 8</w:t>
      </w:r>
      <w:r>
        <w:rPr>
          <w:noProof/>
        </w:rPr>
        <w:br/>
        <w:t>Искане за техническа подкрепа</w:t>
      </w:r>
    </w:p>
    <w:p>
      <w:pPr>
        <w:pStyle w:val="ManualNumPar1"/>
        <w:rPr>
          <w:noProof/>
        </w:rPr>
      </w:pPr>
      <w:r>
        <w:rPr>
          <w:noProof/>
        </w:rPr>
        <w:t>1.</w:t>
      </w:r>
      <w:r>
        <w:rPr>
          <w:noProof/>
        </w:rPr>
        <w:tab/>
        <w:t>Държава членка, която желае да получи техническа подкрепа по инструмента, подава искане за техническа подкрепа до Комисията, в което се посочват областите на политиката и приоритетите за подкрепа, както е определено в член 5. Тези искания се подават до 31 октомври на календарната година. Комисията изготвя насоки относно основните елементи, които трябва да бъдат включени в искането за подкрепа.</w:t>
      </w:r>
    </w:p>
    <w:p>
      <w:pPr>
        <w:pStyle w:val="ManualNumPar1"/>
        <w:rPr>
          <w:noProof/>
        </w:rPr>
      </w:pPr>
      <w:r>
        <w:rPr>
          <w:noProof/>
        </w:rPr>
        <w:t>2.</w:t>
      </w:r>
      <w:r>
        <w:rPr>
          <w:noProof/>
        </w:rPr>
        <w:tab/>
        <w:t>Държавите членки могат да представят искане за техническа подкрепа при следните обстоятелства, свързани със:</w:t>
      </w:r>
    </w:p>
    <w:p>
      <w:pPr>
        <w:pStyle w:val="Point1"/>
        <w:rPr>
          <w:noProof/>
        </w:rPr>
      </w:pPr>
      <w:r>
        <w:rPr>
          <w:noProof/>
        </w:rPr>
        <w:t>а)</w:t>
      </w:r>
      <w:r>
        <w:rPr>
          <w:noProof/>
        </w:rPr>
        <w:tab/>
        <w:t>изпълнението на реформи, предприети от държавите членки по тяхна собствена инициатива, по-специално в подкрепа на възстановяването [в съответствие с Регламент (ЕС) № YYY/XX], за постигане на устойчив икономически растеж, създаване на работни места и повишаване на устойчивостта;</w:t>
      </w:r>
    </w:p>
    <w:p>
      <w:pPr>
        <w:pStyle w:val="Point1"/>
        <w:rPr>
          <w:noProof/>
        </w:rPr>
      </w:pPr>
      <w:r>
        <w:rPr>
          <w:noProof/>
        </w:rPr>
        <w:t>б)</w:t>
      </w:r>
      <w:r>
        <w:rPr>
          <w:noProof/>
        </w:rPr>
        <w:tab/>
        <w:t>изпълнението на програми за икономически корекции в държавите членки, които получават финансова помощ от Съюза съгласно съществуващи инструменти, по-специално в съответствие с Регламент (ЕС) № 472/2013 на Европейския парламент и на Съвета</w:t>
      </w:r>
      <w:r>
        <w:rPr>
          <w:rStyle w:val="FootnoteReference"/>
          <w:noProof/>
        </w:rPr>
        <w:footnoteReference w:id="25"/>
      </w:r>
      <w:r>
        <w:rPr>
          <w:noProof/>
        </w:rPr>
        <w:t xml:space="preserve"> по отношение на държавите членки, чиято валута е еврото, и Регламент (ЕО) № 332/2002 на Съвета</w:t>
      </w:r>
      <w:r>
        <w:rPr>
          <w:rStyle w:val="FootnoteReference"/>
          <w:noProof/>
        </w:rPr>
        <w:footnoteReference w:id="26"/>
      </w:r>
      <w:r>
        <w:rPr>
          <w:noProof/>
        </w:rPr>
        <w:t xml:space="preserve"> по отношение на държавите членки, чиято валута не е еврото;</w:t>
      </w:r>
    </w:p>
    <w:p>
      <w:pPr>
        <w:pStyle w:val="Point1"/>
        <w:rPr>
          <w:noProof/>
        </w:rPr>
      </w:pPr>
      <w:r>
        <w:rPr>
          <w:noProof/>
        </w:rPr>
        <w:t>в)</w:t>
      </w:r>
      <w:r>
        <w:rPr>
          <w:noProof/>
        </w:rPr>
        <w:tab/>
        <w:t>изпълнението на поддържащи растежа и повишаващи устойчивостта реформи в контекста на процесите за икономическо управление, по-специално на специфичните за всяка държава препоръки, отправени в рамките на европейския семестър, или на действия, свързани с прилагането на правото на Съюза;</w:t>
      </w:r>
    </w:p>
    <w:p>
      <w:pPr>
        <w:pStyle w:val="Point1"/>
        <w:rPr>
          <w:noProof/>
        </w:rPr>
      </w:pPr>
      <w:r>
        <w:rPr>
          <w:noProof/>
        </w:rPr>
        <w:t>г)</w:t>
      </w:r>
      <w:r>
        <w:rPr>
          <w:noProof/>
        </w:rPr>
        <w:tab/>
        <w:t>изготвянето на планове за възстановяване и устойчивост съгласно Регламент (ЕС) № YYY/XX и тяхното изпълнение от държавите членки.</w:t>
      </w:r>
    </w:p>
    <w:p>
      <w:pPr>
        <w:pStyle w:val="ManualNumPar1"/>
        <w:rPr>
          <w:noProof/>
        </w:rPr>
      </w:pPr>
      <w:r>
        <w:rPr>
          <w:noProof/>
        </w:rPr>
        <w:t>3.</w:t>
      </w:r>
      <w:r>
        <w:rPr>
          <w:noProof/>
        </w:rPr>
        <w:tab/>
        <w:t>Като взема предвид принципите на прозрачност, равно третиране и добро финансово управление и след провеждане на диалог с държавата членка, включително в контекста на европейския семестър, Комисията анализира искането за подкрепа, посочено в параграф 1 от настоящия член, въз основа на неотложността, обхвата и дълбочината на установените проблеми, нуждите от подкрепа по отношение на въпросните области на политиката, анализа на социално-икономическите показатели и общия административен капацитет на държавата членка.</w:t>
      </w:r>
    </w:p>
    <w:p>
      <w:pPr>
        <w:spacing w:before="0" w:after="200"/>
        <w:ind w:left="850"/>
        <w:rPr>
          <w:noProof/>
        </w:rPr>
      </w:pPr>
      <w:r>
        <w:rPr>
          <w:noProof/>
        </w:rPr>
        <w:t xml:space="preserve">Въз основа на посочения анализ и като взема предвид съществуващите действия и мерки, финансирани от фондове на Съюза или други програми на </w:t>
      </w:r>
      <w:r>
        <w:rPr>
          <w:noProof/>
        </w:rPr>
        <w:lastRenderedPageBreak/>
        <w:t xml:space="preserve">Съюза, Комисията постига споразумение със съответната държава членка относно приоритетните области на подкрепа, целите, препоръчителния график, обхвата на мерките за подкрепа, които ще се предоставят, както и прогнозния общ финансов принос за тази техническа подкрепа, който се определя в план за сътрудничество и подкрепа. </w:t>
      </w:r>
    </w:p>
    <w:p>
      <w:pPr>
        <w:pStyle w:val="ManualNumPar1"/>
        <w:rPr>
          <w:strike/>
          <w:noProof/>
        </w:rPr>
      </w:pPr>
      <w:r>
        <w:rPr>
          <w:noProof/>
        </w:rPr>
        <w:t>4.</w:t>
      </w:r>
      <w:r>
        <w:rPr>
          <w:noProof/>
        </w:rPr>
        <w:tab/>
        <w:t>В плана за сътрудничество и подкрепа, посочен в параграф 3, отделно от друга техническа подкрепа, се определят мерките, свързани с плановете за възстановяване и устойчивост за държавите членки съгласно Регламент (ЕС) № YYY/XX.</w:t>
      </w:r>
    </w:p>
    <w:p>
      <w:pPr>
        <w:pStyle w:val="Titrearticle"/>
        <w:rPr>
          <w:noProof/>
        </w:rPr>
      </w:pPr>
      <w:r>
        <w:rPr>
          <w:noProof/>
        </w:rPr>
        <w:t>Член 9</w:t>
      </w:r>
      <w:r>
        <w:rPr>
          <w:noProof/>
        </w:rPr>
        <w:br/>
        <w:t>Информация до Европейския парламент и Съвета и съобщаване на плановете за сътрудничество и подкрепа</w:t>
      </w:r>
    </w:p>
    <w:p>
      <w:pPr>
        <w:pStyle w:val="ManualNumPar1"/>
        <w:rPr>
          <w:noProof/>
        </w:rPr>
      </w:pPr>
      <w:r>
        <w:rPr>
          <w:noProof/>
        </w:rPr>
        <w:t>1.</w:t>
      </w:r>
      <w:r>
        <w:rPr>
          <w:noProof/>
        </w:rPr>
        <w:tab/>
        <w:t xml:space="preserve">Комисията, със съгласието на съответната държава членка, предава без ненужно забавяне плана за сътрудничество и подкрепа на Европейския парламент и Съвета. Съответната държава членка може да откаже да предостави такова съгласие в случай на чувствителна или поверителна информация, чието оповестяване би могло да застраши публичните интереси на държавата членка. </w:t>
      </w:r>
    </w:p>
    <w:p>
      <w:pPr>
        <w:pStyle w:val="ManualNumPar1"/>
        <w:rPr>
          <w:noProof/>
        </w:rPr>
      </w:pPr>
      <w:r>
        <w:rPr>
          <w:noProof/>
        </w:rPr>
        <w:t>2.</w:t>
      </w:r>
      <w:r>
        <w:rPr>
          <w:noProof/>
        </w:rPr>
        <w:tab/>
        <w:t xml:space="preserve">Независимо от разпоредбите на параграф 1, Комисията предава плана за сътрудничество и подкрепа на Европейския парламент и Съвета при следните обстоятелства: </w:t>
      </w:r>
    </w:p>
    <w:p>
      <w:pPr>
        <w:pStyle w:val="Point1"/>
        <w:rPr>
          <w:noProof/>
        </w:rPr>
      </w:pPr>
      <w:r>
        <w:rPr>
          <w:noProof/>
        </w:rPr>
        <w:t>а)</w:t>
      </w:r>
      <w:r>
        <w:rPr>
          <w:noProof/>
        </w:rPr>
        <w:tab/>
        <w:t>непосредствено след като съответната държава членка е редактирала цялата чувствителна или поверителна информация, чието оповестяване би могло да застраши публичните интереси на държавата членка;</w:t>
      </w:r>
    </w:p>
    <w:p>
      <w:pPr>
        <w:pStyle w:val="Point1"/>
        <w:rPr>
          <w:noProof/>
        </w:rPr>
      </w:pPr>
      <w:r>
        <w:rPr>
          <w:noProof/>
        </w:rPr>
        <w:t>б)</w:t>
      </w:r>
      <w:r>
        <w:rPr>
          <w:noProof/>
        </w:rPr>
        <w:tab/>
        <w:t>след разумен срок от време, през който оповестяването на съответната информация няма да засегне отрицателно прилагането на мерките за подкрепа, и във всички случаи не по-късно от два месеца след предоставянето на посочените мерки в съответствие с плана за сътрудничество и подкрепа.</w:t>
      </w:r>
    </w:p>
    <w:p>
      <w:pPr>
        <w:pStyle w:val="ManualNumPar1"/>
        <w:rPr>
          <w:noProof/>
        </w:rPr>
      </w:pPr>
      <w:r>
        <w:rPr>
          <w:noProof/>
        </w:rPr>
        <w:t>3.</w:t>
      </w:r>
      <w:r>
        <w:rPr>
          <w:noProof/>
        </w:rPr>
        <w:tab/>
        <w:t>Комисията може да участва в дейностите по комуникация, за да се гарантира видимостта на финансирането от Съюза за мерките за подкрепа, предвидени в плановете за сътрудничество и подкрепа, включително чрез съвместни комуникационни дейности със съответните национални органи.</w:t>
      </w:r>
    </w:p>
    <w:p>
      <w:pPr>
        <w:pStyle w:val="Titrearticle"/>
        <w:rPr>
          <w:noProof/>
        </w:rPr>
      </w:pPr>
      <w:r>
        <w:rPr>
          <w:noProof/>
        </w:rPr>
        <w:t>Член 10</w:t>
      </w:r>
      <w:r>
        <w:rPr>
          <w:noProof/>
        </w:rPr>
        <w:br/>
        <w:t>Прехвърляне на средства към инструмента</w:t>
      </w:r>
    </w:p>
    <w:p>
      <w:pPr>
        <w:pStyle w:val="ManualNumPar1"/>
        <w:rPr>
          <w:noProof/>
        </w:rPr>
      </w:pPr>
      <w:r>
        <w:rPr>
          <w:noProof/>
        </w:rPr>
        <w:t>1.</w:t>
      </w:r>
      <w:r>
        <w:rPr>
          <w:noProof/>
        </w:rPr>
        <w:tab/>
        <w:t>В допълнение към финансовия пакет, определен в член 6, параграф 1, бюджетът за техническа подкрепа може да се финансира чрез доброволно прехвърляне на средства от държавите членки, извършено в съответствие с член 21 от Регламент [приемник на РОР] и съгласно определената в същия член процедура, както е посочено в член 6, параграф 3 от настоящия регламент.</w:t>
      </w:r>
    </w:p>
    <w:p>
      <w:pPr>
        <w:pStyle w:val="ManualNumPar1"/>
        <w:rPr>
          <w:noProof/>
        </w:rPr>
      </w:pPr>
      <w:r>
        <w:rPr>
          <w:noProof/>
        </w:rPr>
        <w:t>2.</w:t>
      </w:r>
      <w:r>
        <w:rPr>
          <w:noProof/>
        </w:rPr>
        <w:tab/>
        <w:t>Прехвърляне, извършено от дадена държава членка в съответствие с параграф 1, се използва единствено в тази държава членка.</w:t>
      </w:r>
    </w:p>
    <w:p>
      <w:pPr>
        <w:pStyle w:val="Titrearticle"/>
        <w:rPr>
          <w:noProof/>
        </w:rPr>
      </w:pPr>
      <w:r>
        <w:rPr>
          <w:noProof/>
        </w:rPr>
        <w:lastRenderedPageBreak/>
        <w:t>Член 11</w:t>
      </w:r>
      <w:r>
        <w:rPr>
          <w:noProof/>
        </w:rPr>
        <w:br/>
        <w:t>Допълнително финансиране</w:t>
      </w:r>
    </w:p>
    <w:p>
      <w:pPr>
        <w:rPr>
          <w:noProof/>
        </w:rPr>
      </w:pPr>
      <w:r>
        <w:rPr>
          <w:noProof/>
        </w:rPr>
        <w:t>Финансираните по инструмента действия могат да получат подкрепа от други програми, инструменти или фондове на Съюза, финансирани от бюджета на Съюза, при условие че такава подкрепа не покрива едни и същи разходи.</w:t>
      </w:r>
    </w:p>
    <w:p>
      <w:pPr>
        <w:pStyle w:val="Titrearticle"/>
        <w:rPr>
          <w:noProof/>
        </w:rPr>
      </w:pPr>
      <w:r>
        <w:rPr>
          <w:noProof/>
        </w:rPr>
        <w:t>Член 12</w:t>
      </w:r>
      <w:r>
        <w:rPr>
          <w:noProof/>
        </w:rPr>
        <w:br/>
        <w:t>Изпълнение на техническата подкрепа</w:t>
      </w:r>
    </w:p>
    <w:p>
      <w:pPr>
        <w:pStyle w:val="ManualNumPar1"/>
        <w:rPr>
          <w:noProof/>
        </w:rPr>
      </w:pPr>
      <w:r>
        <w:rPr>
          <w:noProof/>
        </w:rPr>
        <w:t>1.</w:t>
      </w:r>
      <w:r>
        <w:rPr>
          <w:noProof/>
        </w:rPr>
        <w:tab/>
        <w:t xml:space="preserve">Комисията изпълнява инструмента в съответствие с Финансовия регламент. </w:t>
      </w:r>
    </w:p>
    <w:p>
      <w:pPr>
        <w:pStyle w:val="ManualNumPar1"/>
        <w:rPr>
          <w:noProof/>
        </w:rPr>
      </w:pPr>
      <w:r>
        <w:rPr>
          <w:noProof/>
        </w:rPr>
        <w:t>2.</w:t>
      </w:r>
      <w:r>
        <w:rPr>
          <w:noProof/>
        </w:rPr>
        <w:tab/>
        <w:t>Мерките по инструмента могат да се изпълняват от Комисията пряко или непряко — посредством субекти и лица, различни от държавите членки, в съответствие с член XX от Финансовия регламент. По-специално, подкрепата от Съюза за действията съгласно член 7 се предоставя под формата на:</w:t>
      </w:r>
    </w:p>
    <w:p>
      <w:pPr>
        <w:pStyle w:val="Point1"/>
        <w:rPr>
          <w:noProof/>
        </w:rPr>
      </w:pPr>
      <w:r>
        <w:rPr>
          <w:noProof/>
        </w:rPr>
        <w:t>а)</w:t>
      </w:r>
      <w:r>
        <w:rPr>
          <w:noProof/>
        </w:rPr>
        <w:tab/>
        <w:t>безвъзмездни средства;</w:t>
      </w:r>
    </w:p>
    <w:p>
      <w:pPr>
        <w:pStyle w:val="Point1"/>
        <w:rPr>
          <w:noProof/>
        </w:rPr>
      </w:pPr>
      <w:r>
        <w:rPr>
          <w:noProof/>
        </w:rPr>
        <w:t>б)</w:t>
      </w:r>
      <w:r>
        <w:rPr>
          <w:noProof/>
        </w:rPr>
        <w:tab/>
        <w:t>договори за обществени поръчки;</w:t>
      </w:r>
    </w:p>
    <w:p>
      <w:pPr>
        <w:pStyle w:val="Point1"/>
        <w:rPr>
          <w:noProof/>
        </w:rPr>
      </w:pPr>
      <w:r>
        <w:rPr>
          <w:noProof/>
        </w:rPr>
        <w:t>в)</w:t>
      </w:r>
      <w:r>
        <w:rPr>
          <w:noProof/>
        </w:rPr>
        <w:tab/>
        <w:t>възстановяване на разходи, направени от външни експерти, включително експерти от националните, регионалните или местните органи на предоставящите или получаващите подкрепа държави членки;</w:t>
      </w:r>
    </w:p>
    <w:p>
      <w:pPr>
        <w:pStyle w:val="Point1"/>
        <w:rPr>
          <w:noProof/>
        </w:rPr>
      </w:pPr>
      <w:r>
        <w:rPr>
          <w:noProof/>
        </w:rPr>
        <w:t>г)</w:t>
      </w:r>
      <w:r>
        <w:rPr>
          <w:noProof/>
        </w:rPr>
        <w:tab/>
        <w:t>вноски в доверителни фондове, създадени от международни организации; и</w:t>
      </w:r>
    </w:p>
    <w:p>
      <w:pPr>
        <w:pStyle w:val="Point1"/>
        <w:rPr>
          <w:noProof/>
        </w:rPr>
      </w:pPr>
      <w:r>
        <w:rPr>
          <w:noProof/>
        </w:rPr>
        <w:t>д)</w:t>
      </w:r>
      <w:r>
        <w:rPr>
          <w:noProof/>
        </w:rPr>
        <w:tab/>
        <w:t>действия, извършвани чрез непряко управление.</w:t>
      </w:r>
    </w:p>
    <w:p>
      <w:pPr>
        <w:pStyle w:val="ManualNumPar1"/>
        <w:rPr>
          <w:noProof/>
        </w:rPr>
      </w:pPr>
      <w:r>
        <w:rPr>
          <w:noProof/>
        </w:rPr>
        <w:t>3.</w:t>
      </w:r>
      <w:r>
        <w:rPr>
          <w:noProof/>
        </w:rPr>
        <w:tab/>
        <w:t>Безвъзмездни средства могат да се отпускат на национални органи на държавите членки, групата на Европейската инвестиционна банка, международни организации, публични или частни органи и субекти, които са законно установени във:</w:t>
      </w:r>
    </w:p>
    <w:p>
      <w:pPr>
        <w:pStyle w:val="Point1"/>
        <w:rPr>
          <w:noProof/>
        </w:rPr>
      </w:pPr>
      <w:r>
        <w:rPr>
          <w:noProof/>
        </w:rPr>
        <w:t>а)</w:t>
      </w:r>
      <w:r>
        <w:rPr>
          <w:noProof/>
        </w:rPr>
        <w:tab/>
        <w:t>държави членки;</w:t>
      </w:r>
    </w:p>
    <w:p>
      <w:pPr>
        <w:pStyle w:val="Point1"/>
        <w:rPr>
          <w:noProof/>
        </w:rPr>
      </w:pPr>
      <w:r>
        <w:rPr>
          <w:noProof/>
        </w:rPr>
        <w:t>б)</w:t>
      </w:r>
      <w:r>
        <w:rPr>
          <w:noProof/>
        </w:rPr>
        <w:tab/>
        <w:t>държави от Европейската асоциация за свободна търговия, които са страни по Споразумението за Европейското икономическо пространство, в съответствие с условията, предвидени в него.</w:t>
      </w:r>
    </w:p>
    <w:p>
      <w:pPr>
        <w:spacing w:before="0" w:after="200"/>
        <w:ind w:left="130" w:firstLine="720"/>
        <w:rPr>
          <w:noProof/>
        </w:rPr>
      </w:pPr>
      <w:r>
        <w:rPr>
          <w:noProof/>
        </w:rPr>
        <w:t>Процентът на съфинансиране за безвъзмездните средства е до 100 % от допустимите разходи.</w:t>
      </w:r>
    </w:p>
    <w:p>
      <w:pPr>
        <w:pStyle w:val="ManualNumPar1"/>
        <w:rPr>
          <w:noProof/>
        </w:rPr>
      </w:pPr>
      <w:r>
        <w:rPr>
          <w:noProof/>
        </w:rPr>
        <w:t>4.</w:t>
      </w:r>
      <w:r>
        <w:rPr>
          <w:noProof/>
        </w:rPr>
        <w:tab/>
        <w:t>Мерки за техническа подкрепа могат да бъдат предоставени със сътрудничеството на субекти от други държави членки и международни организации.</w:t>
      </w:r>
    </w:p>
    <w:p>
      <w:pPr>
        <w:pStyle w:val="ManualNumPar1"/>
        <w:rPr>
          <w:noProof/>
        </w:rPr>
      </w:pPr>
      <w:r>
        <w:rPr>
          <w:noProof/>
        </w:rPr>
        <w:t>5.</w:t>
      </w:r>
      <w:r>
        <w:rPr>
          <w:noProof/>
        </w:rPr>
        <w:tab/>
        <w:t xml:space="preserve">Техническата подкрепа може също така да се предоставя от отделни експерти, които могат да бъдат поканени да дадат принос към избрани организирани дейности, когато това е необходимо за постигането на конкретните цели, посочени в член 4. </w:t>
      </w:r>
    </w:p>
    <w:p>
      <w:pPr>
        <w:pStyle w:val="ManualNumPar1"/>
        <w:rPr>
          <w:noProof/>
        </w:rPr>
      </w:pPr>
      <w:r>
        <w:rPr>
          <w:noProof/>
        </w:rPr>
        <w:t>6.</w:t>
      </w:r>
      <w:r>
        <w:rPr>
          <w:noProof/>
        </w:rPr>
        <w:tab/>
        <w:t>За целите на изпълнението на техническата подкрепа Комисията приема работни програми чрез актове за изпълнение и информира за това Европейския парламент и Съвета.</w:t>
      </w:r>
    </w:p>
    <w:p>
      <w:pPr>
        <w:spacing w:before="0" w:after="200"/>
        <w:ind w:left="850"/>
        <w:rPr>
          <w:noProof/>
        </w:rPr>
      </w:pPr>
      <w:r>
        <w:rPr>
          <w:noProof/>
        </w:rPr>
        <w:t xml:space="preserve">В работните програми се посочват разпределените средства за инструмента. В тях също се определят мерките, необходими за нейното изпълнение в </w:t>
      </w:r>
      <w:r>
        <w:rPr>
          <w:noProof/>
        </w:rPr>
        <w:lastRenderedPageBreak/>
        <w:t>съответствие с общата и конкретните цели, посочени в членове 3 и 4, критериите за подбор и отпускане на безвъзмездни средства и всички елементи, изисквани съгласно Финансовия регламент.</w:t>
      </w:r>
    </w:p>
    <w:p>
      <w:pPr>
        <w:pStyle w:val="ManualNumPar1"/>
        <w:rPr>
          <w:noProof/>
        </w:rPr>
      </w:pPr>
      <w:r>
        <w:rPr>
          <w:noProof/>
        </w:rPr>
        <w:t>7.</w:t>
      </w:r>
      <w:r>
        <w:rPr>
          <w:noProof/>
        </w:rPr>
        <w:tab/>
        <w:t xml:space="preserve">За да се гарантира своевременната наличност на средства, ограничена част от работната програма се определя за специални мерки в случай на непредвидени и надлежно обосновани причини за спешност, изискващи незабавна реакция, включително сериозни икономически затруднения или важни обстоятелства, засягащи сериозно икономическите или социалните условия в дадена държава членка и излизащи извън нейния контрол. </w:t>
      </w:r>
    </w:p>
    <w:p>
      <w:pPr>
        <w:spacing w:before="0" w:after="360"/>
        <w:ind w:left="851"/>
        <w:rPr>
          <w:noProof/>
        </w:rPr>
      </w:pPr>
      <w:r>
        <w:rPr>
          <w:noProof/>
        </w:rPr>
        <w:t>Комисията може, по искане на държава членка, която желае да получи техническа подкрепа, да приеме специални мерки в съответствие с целите и действията, определени в инструмента, за да предостави техническа подкрепа на националните органи при посрещането на спешните нужди. Такива специални мерки са временни по своето естество и са свързани с обстоятелствата, предвидени в член 8, параграф 2. Специалните мерки приключват в срок до шест месеца и могат да бъдат заменени с мерки за техническа подкрепа в съответствие с условията, определени в член 8.</w:t>
      </w:r>
    </w:p>
    <w:p>
      <w:pPr>
        <w:rPr>
          <w:noProof/>
        </w:rPr>
      </w:pPr>
    </w:p>
    <w:p>
      <w:pPr>
        <w:pStyle w:val="ChapterTitle"/>
        <w:rPr>
          <w:noProof/>
        </w:rPr>
      </w:pPr>
      <w:r>
        <w:rPr>
          <w:noProof/>
        </w:rPr>
        <w:t xml:space="preserve">ГЛАВА III </w:t>
      </w:r>
    </w:p>
    <w:p>
      <w:pPr>
        <w:pStyle w:val="ChapterTitle"/>
        <w:rPr>
          <w:noProof/>
        </w:rPr>
      </w:pPr>
      <w:r>
        <w:rPr>
          <w:noProof/>
        </w:rPr>
        <w:t>Взаимно допълване, мониторинг и оценка</w:t>
      </w:r>
    </w:p>
    <w:p>
      <w:pPr>
        <w:pStyle w:val="Titrearticle"/>
        <w:rPr>
          <w:noProof/>
        </w:rPr>
      </w:pPr>
      <w:r>
        <w:rPr>
          <w:noProof/>
        </w:rPr>
        <w:t>Член 13</w:t>
      </w:r>
      <w:r>
        <w:rPr>
          <w:noProof/>
        </w:rPr>
        <w:br/>
        <w:t>Координация и взаимно допълване</w:t>
      </w:r>
    </w:p>
    <w:p>
      <w:pPr>
        <w:pStyle w:val="ManualNumPar1"/>
        <w:rPr>
          <w:noProof/>
        </w:rPr>
      </w:pPr>
      <w:r>
        <w:rPr>
          <w:noProof/>
        </w:rPr>
        <w:t>1.</w:t>
      </w:r>
      <w:r>
        <w:rPr>
          <w:noProof/>
        </w:rPr>
        <w:tab/>
        <w:t>Комисията и съответните държави членки, в степен, която е съизмерима със съответните им отговорности, насърчават взаимодействията и гарантират ефективната координация между инструмента за техническа подкрепа и другите програми и инструменти на Съюза, и по-специално с мерките, финансирани от фондовете на Съюза. За целта те:</w:t>
      </w:r>
    </w:p>
    <w:p>
      <w:pPr>
        <w:pStyle w:val="Point1"/>
        <w:rPr>
          <w:noProof/>
        </w:rPr>
      </w:pPr>
      <w:r>
        <w:rPr>
          <w:noProof/>
        </w:rPr>
        <w:t>а)</w:t>
      </w:r>
      <w:r>
        <w:rPr>
          <w:noProof/>
        </w:rPr>
        <w:tab/>
        <w:t>осигуряват взаимно допълване, полезно взаимодействие, последователност и съгласуваност между различните инструменти на равнището на Съюза, на национално и по целесъобразност, на регионално равнище, по-специално във връзка с мерките, финансирани от фондовете на Съюза, както във фазата на планиране, така и по време на изпълнението;</w:t>
      </w:r>
    </w:p>
    <w:p>
      <w:pPr>
        <w:pStyle w:val="Point1"/>
        <w:rPr>
          <w:noProof/>
        </w:rPr>
      </w:pPr>
      <w:r>
        <w:rPr>
          <w:noProof/>
        </w:rPr>
        <w:t>б)</w:t>
      </w:r>
      <w:r>
        <w:rPr>
          <w:noProof/>
        </w:rPr>
        <w:tab/>
        <w:t>оптимизират механизмите за координация с цел избягване на дублирането на усилия; и</w:t>
      </w:r>
    </w:p>
    <w:p>
      <w:pPr>
        <w:pStyle w:val="Point1"/>
        <w:rPr>
          <w:noProof/>
        </w:rPr>
      </w:pPr>
      <w:r>
        <w:rPr>
          <w:noProof/>
        </w:rPr>
        <w:t>в)</w:t>
      </w:r>
      <w:r>
        <w:rPr>
          <w:noProof/>
        </w:rPr>
        <w:tab/>
        <w:t>осигуряват тясно сътрудничество между отговарящите за изпълнението лица на равнището на Съюза, на национално и, по целесъобразност, на регионално равнище с цел осъществяване на съгласувани и рационализирани действия за подкрепа по инструмента.</w:t>
      </w:r>
    </w:p>
    <w:p>
      <w:pPr>
        <w:pStyle w:val="ManualNumPar1"/>
        <w:rPr>
          <w:noProof/>
        </w:rPr>
      </w:pPr>
      <w:r>
        <w:rPr>
          <w:noProof/>
        </w:rPr>
        <w:t>2.</w:t>
      </w:r>
      <w:r>
        <w:rPr>
          <w:noProof/>
        </w:rPr>
        <w:tab/>
        <w:t>Комисията полага всички усилия, за да гарантира взаимно допълване и взаимодействие с подкрепата, предоставяна от други съответни международни организации.</w:t>
      </w:r>
    </w:p>
    <w:p>
      <w:pPr>
        <w:pStyle w:val="Titrearticle"/>
        <w:rPr>
          <w:noProof/>
        </w:rPr>
      </w:pPr>
      <w:r>
        <w:rPr>
          <w:noProof/>
        </w:rPr>
        <w:lastRenderedPageBreak/>
        <w:t>Член 14</w:t>
      </w:r>
      <w:r>
        <w:rPr>
          <w:noProof/>
        </w:rPr>
        <w:br/>
        <w:t>Мониторинг на изпълнението</w:t>
      </w:r>
    </w:p>
    <w:p>
      <w:pPr>
        <w:pStyle w:val="ManualNumPar1"/>
        <w:rPr>
          <w:noProof/>
        </w:rPr>
      </w:pPr>
      <w:r>
        <w:rPr>
          <w:noProof/>
        </w:rPr>
        <w:t>1.</w:t>
      </w:r>
      <w:r>
        <w:rPr>
          <w:noProof/>
        </w:rPr>
        <w:tab/>
        <w:t xml:space="preserve">Комисията извършва мониторинг върху изпълнението на инструмента и измерва постигането на общата и конкретните цели, определени в членове 3 и 4. Показатели, които ще се използват за докладване на напредъка и за целите на наблюдението и оценката на настоящия регламент към постигане на общата и конкретните цели, са определени в приложението. Мониторингът на изпълнението е целенасочен и пропорционален на извършваните по инструмента дейности. </w:t>
      </w:r>
    </w:p>
    <w:p>
      <w:pPr>
        <w:pStyle w:val="ManualNumPar1"/>
        <w:rPr>
          <w:noProof/>
        </w:rPr>
      </w:pPr>
      <w:r>
        <w:rPr>
          <w:noProof/>
        </w:rPr>
        <w:t>2.</w:t>
      </w:r>
      <w:r>
        <w:rPr>
          <w:noProof/>
        </w:rPr>
        <w:tab/>
        <w:t>Системата за докладване на изпълнението трябва да гарантира ефикасното, ефективно и навременно събиране на данните за мониторинга на изпълнението на инструмента и неговите резултати. За тази цел на получателите на финансиране от Съюза се налагат пропорционални изисквания за докладване.</w:t>
      </w:r>
    </w:p>
    <w:p>
      <w:pPr>
        <w:pStyle w:val="Titrearticle"/>
        <w:rPr>
          <w:noProof/>
        </w:rPr>
      </w:pPr>
      <w:r>
        <w:rPr>
          <w:noProof/>
        </w:rPr>
        <w:t>Член 15</w:t>
      </w:r>
      <w:r>
        <w:rPr>
          <w:noProof/>
        </w:rPr>
        <w:br/>
        <w:t>Годишен доклад</w:t>
      </w:r>
    </w:p>
    <w:p>
      <w:pPr>
        <w:pStyle w:val="ManualNumPar1"/>
        <w:rPr>
          <w:noProof/>
        </w:rPr>
      </w:pPr>
      <w:r>
        <w:rPr>
          <w:noProof/>
        </w:rPr>
        <w:t>1.</w:t>
      </w:r>
      <w:r>
        <w:rPr>
          <w:noProof/>
        </w:rPr>
        <w:tab/>
        <w:t xml:space="preserve">Комисията предоставя годишен доклад на Европейския парламент и Съвета относно изпълнението на настоящия регламент. </w:t>
      </w:r>
    </w:p>
    <w:p>
      <w:pPr>
        <w:pStyle w:val="ManualNumPar1"/>
        <w:rPr>
          <w:noProof/>
        </w:rPr>
      </w:pPr>
      <w:r>
        <w:rPr>
          <w:noProof/>
        </w:rPr>
        <w:t>2.</w:t>
      </w:r>
      <w:r>
        <w:rPr>
          <w:noProof/>
        </w:rPr>
        <w:tab/>
        <w:t>Годишният доклад включва информация относно:</w:t>
      </w:r>
    </w:p>
    <w:p>
      <w:pPr>
        <w:pStyle w:val="Point1"/>
        <w:rPr>
          <w:noProof/>
        </w:rPr>
      </w:pPr>
      <w:r>
        <w:rPr>
          <w:noProof/>
        </w:rPr>
        <w:t>а)</w:t>
      </w:r>
      <w:r>
        <w:rPr>
          <w:noProof/>
        </w:rPr>
        <w:tab/>
      </w:r>
      <w:r>
        <w:rPr>
          <w:noProof/>
        </w:rPr>
        <w:tab/>
        <w:t>искания за подкрепа, подадени от държавите членки съгласно член 8, параграф 1;</w:t>
      </w:r>
    </w:p>
    <w:p>
      <w:pPr>
        <w:pStyle w:val="Point1"/>
        <w:rPr>
          <w:noProof/>
        </w:rPr>
      </w:pPr>
      <w:r>
        <w:rPr>
          <w:noProof/>
        </w:rPr>
        <w:t>б)</w:t>
      </w:r>
      <w:r>
        <w:rPr>
          <w:noProof/>
        </w:rPr>
        <w:tab/>
        <w:t>анализа на прилагането на посочените в член 8, параграф 2 критерии, използвани за анализ на подадените от държавите членки искания за подкрепа;</w:t>
      </w:r>
    </w:p>
    <w:p>
      <w:pPr>
        <w:pStyle w:val="Point1"/>
        <w:rPr>
          <w:noProof/>
        </w:rPr>
      </w:pPr>
      <w:r>
        <w:rPr>
          <w:noProof/>
        </w:rPr>
        <w:t>в)</w:t>
      </w:r>
      <w:r>
        <w:rPr>
          <w:noProof/>
        </w:rPr>
        <w:tab/>
        <w:t xml:space="preserve">планове за сътрудничество и подкрепа, посочени в член 8, параграф 3; </w:t>
      </w:r>
    </w:p>
    <w:p>
      <w:pPr>
        <w:pStyle w:val="Point1"/>
        <w:rPr>
          <w:noProof/>
        </w:rPr>
      </w:pPr>
      <w:r>
        <w:rPr>
          <w:noProof/>
        </w:rPr>
        <w:t>г)</w:t>
      </w:r>
      <w:r>
        <w:rPr>
          <w:noProof/>
        </w:rPr>
        <w:tab/>
        <w:t>специални мерки, приети съгласно член 12, параграф 7; и</w:t>
      </w:r>
    </w:p>
    <w:p>
      <w:pPr>
        <w:pStyle w:val="Point1"/>
        <w:rPr>
          <w:noProof/>
        </w:rPr>
      </w:pPr>
      <w:r>
        <w:rPr>
          <w:noProof/>
        </w:rPr>
        <w:t>д)</w:t>
      </w:r>
      <w:r>
        <w:rPr>
          <w:noProof/>
        </w:rPr>
        <w:tab/>
        <w:t>прилагане на мерки за подкрепа.</w:t>
      </w:r>
      <w:r>
        <w:rPr>
          <w:strike/>
          <w:noProof/>
        </w:rPr>
        <w:t xml:space="preserve"> </w:t>
      </w:r>
    </w:p>
    <w:p>
      <w:pPr>
        <w:pStyle w:val="Titrearticle"/>
        <w:rPr>
          <w:noProof/>
        </w:rPr>
      </w:pPr>
      <w:r>
        <w:rPr>
          <w:noProof/>
        </w:rPr>
        <w:t>Член 16</w:t>
      </w:r>
      <w:r>
        <w:rPr>
          <w:noProof/>
        </w:rPr>
        <w:br/>
        <w:t>Междинна оценка и последваща оценка</w:t>
      </w:r>
    </w:p>
    <w:p>
      <w:pPr>
        <w:pStyle w:val="ManualNumPar1"/>
        <w:rPr>
          <w:noProof/>
        </w:rPr>
      </w:pPr>
      <w:r>
        <w:rPr>
          <w:noProof/>
        </w:rPr>
        <w:t>1.</w:t>
      </w:r>
      <w:r>
        <w:rPr>
          <w:noProof/>
        </w:rPr>
        <w:tab/>
        <w:t xml:space="preserve">Четири години след влизането в сила на настоящия регламент Комисията предоставя на Европейския парламент, Съвета, Европейския икономически и социален комитет и Комитета на регионите независим доклад за междинна оценка на изпълнението на настоящия регламент. Не по-късно от три години след края на периода, посочен в член 1, Комисията предоставя на тези институции и независим доклад за последваща оценка. </w:t>
      </w:r>
    </w:p>
    <w:p>
      <w:pPr>
        <w:pStyle w:val="ManualNumPar1"/>
        <w:rPr>
          <w:noProof/>
        </w:rPr>
      </w:pPr>
      <w:r>
        <w:rPr>
          <w:noProof/>
        </w:rPr>
        <w:t>2.</w:t>
      </w:r>
      <w:r>
        <w:rPr>
          <w:noProof/>
        </w:rPr>
        <w:tab/>
        <w:t>В доклада за междинна оценка по-специално се оценява до каква степен са били постигнати целите на инструмента, посочени в членове 3 и 4, както ефикасността на използването на средствата и европейската добавена стойност. В него също така се разглежда актуалността на всички цели и действия.</w:t>
      </w:r>
    </w:p>
    <w:p>
      <w:pPr>
        <w:pStyle w:val="ManualNumPar1"/>
        <w:rPr>
          <w:noProof/>
        </w:rPr>
      </w:pPr>
      <w:r>
        <w:rPr>
          <w:noProof/>
        </w:rPr>
        <w:t>3.</w:t>
      </w:r>
      <w:r>
        <w:rPr>
          <w:noProof/>
        </w:rPr>
        <w:tab/>
        <w:t>Докладът за последваща оценка се състои от обща оценка на изпълнението на настоящия регламент и включва информация относно неговото въздействие в дългосрочен план.</w:t>
      </w:r>
    </w:p>
    <w:p>
      <w:pPr>
        <w:pStyle w:val="Text1"/>
        <w:rPr>
          <w:noProof/>
        </w:rPr>
      </w:pPr>
    </w:p>
    <w:p>
      <w:pPr>
        <w:pStyle w:val="ChapterTitle"/>
        <w:rPr>
          <w:noProof/>
        </w:rPr>
      </w:pPr>
      <w:r>
        <w:rPr>
          <w:noProof/>
        </w:rPr>
        <w:lastRenderedPageBreak/>
        <w:t xml:space="preserve">ГЛАВА IV </w:t>
      </w:r>
    </w:p>
    <w:p>
      <w:pPr>
        <w:pStyle w:val="ChapterTitle"/>
        <w:rPr>
          <w:noProof/>
        </w:rPr>
      </w:pPr>
      <w:r>
        <w:rPr>
          <w:noProof/>
        </w:rPr>
        <w:t>Преходни и заключителни разпоредби</w:t>
      </w:r>
    </w:p>
    <w:p>
      <w:pPr>
        <w:pStyle w:val="Titrearticle"/>
        <w:rPr>
          <w:noProof/>
        </w:rPr>
      </w:pPr>
      <w:r>
        <w:rPr>
          <w:noProof/>
        </w:rPr>
        <w:t>Член 17</w:t>
      </w:r>
      <w:r>
        <w:rPr>
          <w:noProof/>
        </w:rPr>
        <w:br/>
        <w:t>Информация, комуникация и публичност</w:t>
      </w:r>
    </w:p>
    <w:p>
      <w:pPr>
        <w:pStyle w:val="ManualNumPar1"/>
        <w:rPr>
          <w:noProof/>
        </w:rPr>
      </w:pPr>
      <w:r>
        <w:rPr>
          <w:noProof/>
        </w:rPr>
        <w:t>1.</w:t>
      </w:r>
      <w:r>
        <w:rPr>
          <w:noProof/>
        </w:rPr>
        <w:tab/>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pPr>
        <w:pStyle w:val="ManualNumPar1"/>
        <w:rPr>
          <w:noProof/>
        </w:rPr>
      </w:pPr>
      <w:r>
        <w:rPr>
          <w:noProof/>
        </w:rPr>
        <w:t>2.</w:t>
      </w:r>
      <w:r>
        <w:rPr>
          <w:noProof/>
        </w:rPr>
        <w:tab/>
        <w:t>Комисията осъществява информационни и комуникационни дейности по отношение на инструмента, действията по него и неговите резултати. Финансовите ресурси, отпуснати за инструмента, допринасят също така за институционалната комуникация на политическите приоритети на Съюза, доколкото те са свързани с целите, посочени в членове 3 и 4.</w:t>
      </w:r>
    </w:p>
    <w:p>
      <w:pPr>
        <w:pStyle w:val="Titrearticle"/>
        <w:rPr>
          <w:noProof/>
        </w:rPr>
      </w:pPr>
      <w:r>
        <w:rPr>
          <w:noProof/>
        </w:rPr>
        <w:t>Член 18</w:t>
      </w:r>
      <w:r>
        <w:rPr>
          <w:noProof/>
        </w:rPr>
        <w:br/>
        <w:t>Преходни разпоредби</w:t>
      </w:r>
    </w:p>
    <w:p>
      <w:pPr>
        <w:pStyle w:val="ManualNumPar1"/>
        <w:rPr>
          <w:noProof/>
        </w:rPr>
      </w:pPr>
      <w:r>
        <w:rPr>
          <w:noProof/>
        </w:rPr>
        <w:t>1.</w:t>
      </w:r>
      <w:r>
        <w:rPr>
          <w:noProof/>
        </w:rPr>
        <w:tab/>
        <w:t xml:space="preserve">Действията и дейностите за техническа подкрепа, започнали на или преди 31 декември 2020 г. съгласно Регламент (ЕС) 2017/825, продължават да се управляват от този регламент до тяхното приключване. </w:t>
      </w:r>
    </w:p>
    <w:p>
      <w:pPr>
        <w:pStyle w:val="ManualNumPar1"/>
        <w:rPr>
          <w:noProof/>
        </w:rPr>
      </w:pPr>
      <w:r>
        <w:rPr>
          <w:noProof/>
        </w:rPr>
        <w:t>2.</w:t>
      </w:r>
      <w:r>
        <w:rPr>
          <w:noProof/>
        </w:rPr>
        <w:tab/>
        <w:t>Финансовият пакет, посочен в член 6, параграф 1, буква б), може също така да покрива разходи за техническа и административна помощ, включително мониторинг, комуникация и оценка, които се изискват съгласно Регламент (ЕС) 2017/825 и които не са приключили до 31 декември 2020 г.</w:t>
      </w:r>
    </w:p>
    <w:p>
      <w:pPr>
        <w:pStyle w:val="ManualNumPar1"/>
        <w:rPr>
          <w:noProof/>
        </w:rPr>
      </w:pPr>
      <w:r>
        <w:rPr>
          <w:noProof/>
        </w:rPr>
        <w:t>3.</w:t>
      </w:r>
      <w:r>
        <w:rPr>
          <w:noProof/>
        </w:rPr>
        <w:tab/>
        <w:t>При необходимост в бюджета могат да се записват бюджетни кредити за поети задължения след 2020 г. за покриване на разходите, предвидени в член 6, параграф 2, във връзка с управлението на действията, които не са приключили до 31 декември 2020 г.</w:t>
      </w:r>
    </w:p>
    <w:p>
      <w:pPr>
        <w:pStyle w:val="Titrearticle"/>
        <w:rPr>
          <w:noProof/>
        </w:rPr>
      </w:pPr>
      <w:r>
        <w:rPr>
          <w:noProof/>
        </w:rPr>
        <w:t>Член 19</w:t>
      </w:r>
      <w:r>
        <w:rPr>
          <w:noProof/>
        </w:rPr>
        <w:br/>
        <w:t>Влизане в сила</w:t>
      </w:r>
    </w:p>
    <w:p>
      <w:pPr>
        <w:rPr>
          <w:noProof/>
        </w:rPr>
      </w:pPr>
      <w:r>
        <w:rPr>
          <w:noProof/>
        </w:rPr>
        <w:t xml:space="preserve">Настоящият регламент влиза в сила в деня след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Финансово участие от трети страни </w:t>
      </w:r>
    </w:p>
    <w:p>
      <w:pPr>
        <w:pStyle w:val="ManualHeading2"/>
        <w:jc w:val="left"/>
        <w:rPr>
          <w:b w:val="0"/>
          <w:noProof/>
        </w:rPr>
      </w:pPr>
      <w:r>
        <w:rPr>
          <w:noProof/>
        </w:rPr>
        <w:tab/>
      </w:r>
      <w:r>
        <w:rPr>
          <w:b w:val="0"/>
          <w:noProof/>
        </w:rPr>
        <w:t>3.3.</w:t>
      </w:r>
      <w:r>
        <w:rPr>
          <w:noProof/>
        </w:rPr>
        <w:tab/>
      </w:r>
      <w:r>
        <w:rPr>
          <w:b w:val="0"/>
          <w:noProof/>
        </w:rPr>
        <w:t>Очаквано отражение върху приходите</w:t>
      </w:r>
    </w:p>
    <w:p>
      <w:pPr>
        <w:spacing w:before="0" w:after="0"/>
        <w:jc w:val="left"/>
        <w:rPr>
          <w:noProof/>
        </w:rPr>
        <w:sectPr>
          <w:pgSz w:w="11907" w:h="16840"/>
          <w:pgMar w:top="1134" w:right="1418" w:bottom="1134" w:left="1418" w:header="709" w:footer="709" w:gutter="0"/>
          <w:cols w:space="720"/>
          <w:docGrid w:linePitch="326"/>
        </w:sectPr>
      </w:pPr>
    </w:p>
    <w:p>
      <w:pPr>
        <w:jc w:val="center"/>
        <w:rPr>
          <w:noProof/>
        </w:rPr>
      </w:pPr>
      <w:r>
        <w:rPr>
          <w:b/>
          <w:noProof/>
          <w:u w:val="single"/>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създаване на инструмент за техническа подкрепа</w:t>
      </w:r>
    </w:p>
    <w:p>
      <w:pPr>
        <w:pStyle w:val="ManualHeading2"/>
        <w:rPr>
          <w:noProof/>
          <w:szCs w:val="24"/>
        </w:rPr>
      </w:pPr>
      <w:r>
        <w:rPr>
          <w:noProof/>
        </w:rPr>
        <w:t>1.2.</w:t>
      </w:r>
      <w:r>
        <w:rPr>
          <w:noProof/>
        </w:rPr>
        <w:tab/>
        <w:t>Съответни области на политиката в структурата на УД/БД</w:t>
      </w:r>
      <w:r>
        <w:rPr>
          <w:rStyle w:val="FootnoteReference"/>
          <w:noProof/>
        </w:rPr>
        <w:footnoteReference w:id="27"/>
      </w:r>
      <w:r>
        <w:rPr>
          <w:i/>
          <w:noProof/>
        </w:rPr>
        <w:t xml:space="preserve"> </w:t>
      </w:r>
    </w:p>
    <w:p>
      <w:pPr>
        <w:pStyle w:val="Text1"/>
        <w:pBdr>
          <w:top w:val="single" w:sz="4" w:space="1" w:color="auto"/>
          <w:left w:val="single" w:sz="4" w:space="4" w:color="auto"/>
          <w:bottom w:val="single" w:sz="4" w:space="0" w:color="auto"/>
          <w:right w:val="single" w:sz="4" w:space="4" w:color="auto"/>
        </w:pBdr>
        <w:rPr>
          <w:noProof/>
        </w:rPr>
      </w:pPr>
      <w:r>
        <w:rPr>
          <w:noProof/>
        </w:rPr>
        <w:t xml:space="preserve">Сближаване; </w:t>
      </w:r>
    </w:p>
    <w:p>
      <w:pPr>
        <w:pStyle w:val="Text1"/>
        <w:pBdr>
          <w:top w:val="single" w:sz="4" w:space="1" w:color="auto"/>
          <w:left w:val="single" w:sz="4" w:space="4" w:color="auto"/>
          <w:bottom w:val="single" w:sz="4" w:space="0" w:color="auto"/>
          <w:right w:val="single" w:sz="4" w:space="4" w:color="auto"/>
        </w:pBdr>
        <w:rPr>
          <w:noProof/>
        </w:rPr>
      </w:pPr>
      <w:r>
        <w:rPr>
          <w:noProof/>
        </w:rPr>
        <w:t>Икономически и финансови въпроси</w:t>
      </w: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bCs/>
          <w:noProof/>
        </w:rPr>
        <w:t>ново действие след пилотен проект/подготвително действие</w:t>
      </w:r>
      <w:r>
        <w:rPr>
          <w:rStyle w:val="FootnoteReference"/>
          <w:b/>
          <w:noProof/>
        </w:rPr>
        <w:footnoteReference w:id="28"/>
      </w:r>
      <w:r>
        <w:rPr>
          <w:noProof/>
          <w:sz w:val="22"/>
        </w:rPr>
        <w:t xml:space="preserve"> </w:t>
      </w:r>
    </w:p>
    <w:p>
      <w:pPr>
        <w:pStyle w:val="Text1"/>
        <w:rPr>
          <w:noProof/>
          <w:sz w:val="22"/>
        </w:rPr>
      </w:pPr>
      <w:r>
        <w:rPr>
          <w:noProof/>
        </w:rPr>
        <w:sym w:font="Wingdings" w:char="F0FC"/>
      </w:r>
      <w:r>
        <w:rPr>
          <w:i/>
          <w:noProof/>
          <w:sz w:val="22"/>
        </w:rPr>
        <w:t xml:space="preserve"> </w:t>
      </w:r>
      <w:r>
        <w:rPr>
          <w:noProof/>
        </w:rPr>
        <w:t xml:space="preserve">Предложението/инициативата е във връзка с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действие, пренасочено към ново действие</w:t>
      </w:r>
      <w:r>
        <w:rPr>
          <w:noProof/>
        </w:rPr>
        <w:t xml:space="preserve"> </w:t>
      </w:r>
    </w:p>
    <w:p>
      <w:pPr>
        <w:pStyle w:val="ManualHeading2"/>
        <w:rPr>
          <w:bCs/>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rFonts w:eastAsiaTheme="majorEastAsia"/>
          <w:bCs/>
          <w:i/>
          <w:noProof/>
        </w:rPr>
      </w:pPr>
      <w:r>
        <w:rPr>
          <w:noProof/>
        </w:rPr>
        <w:t xml:space="preserve">С инструмента се цели да се насърчи социалното, икономическото и териториалното сближаване в Съюза чрез подкрепа на усилията на държавите членки както за провеждане на необходимите реформи за социално-икономическо възстановяване, постигане на устойчивост и сближаване, така и за засилване на административния капацитет за прилагане на правото на Съюза на фона на предизвикателствата, пред които са изправени институциите, управленските структури, публичната администрация и икономическите и социалните сектори. </w:t>
      </w:r>
    </w:p>
    <w:p>
      <w:pPr>
        <w:pStyle w:val="ManualHeading3"/>
        <w:rPr>
          <w:bCs/>
          <w:noProof/>
          <w:szCs w:val="24"/>
        </w:rPr>
      </w:pPr>
      <w:r>
        <w:rPr>
          <w:noProof/>
        </w:rPr>
        <w:t>1.4.2.</w:t>
      </w:r>
      <w:r>
        <w:rPr>
          <w:noProof/>
        </w:rPr>
        <w:tab/>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При поискване от държавите членки инструментът за техническа подкрепа ще съдейства на националните органи в подобряването на капацитета им за разработване, разгръщане и практическо провеждане на реформите, включително чрез обмен на добри практики, подходящи процеси и методики, както и по-ефективно и по-ефикасно управление на човешките ресурси.</w:t>
      </w:r>
      <w:r>
        <w:rPr>
          <w:noProof/>
          <w:u w:val="single"/>
        </w:rPr>
        <w:t xml:space="preserve"> </w:t>
      </w:r>
    </w:p>
    <w:p>
      <w:pPr>
        <w:pStyle w:val="ManualHeading3"/>
        <w:rPr>
          <w:bCs/>
          <w:noProof/>
          <w:szCs w:val="24"/>
        </w:rPr>
      </w:pPr>
      <w:r>
        <w:rPr>
          <w:noProof/>
        </w:rPr>
        <w:br w:type="page"/>
        <w:t>1.4.3.</w:t>
      </w:r>
      <w:r>
        <w:rPr>
          <w:noProof/>
        </w:rPr>
        <w:tab/>
        <w:t>Очаквани резултати и въздействие</w:t>
      </w:r>
    </w:p>
    <w:p>
      <w:pPr>
        <w:pStyle w:val="Text1"/>
        <w:rPr>
          <w:i/>
          <w:noProof/>
          <w:sz w:val="20"/>
        </w:rPr>
      </w:pPr>
      <w:r>
        <w:rPr>
          <w:i/>
          <w:noProof/>
          <w:sz w:val="20"/>
        </w:rPr>
        <w:t>Да се посочи очакваното въздействие на предложението/инициативата върху бенефициерите / 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Благодарение на техническата подкрепа следва да се засили административният капацитет на държавите членки: i) за провеждане на приоритетните реформи за социално-икономическо възстановяване, постигане на устойчивост и сближаване; ii) за прилагане на правото на Съюза в съответните области на политика, в които (при поискване) се предоставя такава подкрепа: управление на публичните финанси и активи; бюджетиране; управление на дълга и на приходите; борба с укриването на данъци; институционална реформа, публична администрация и електронно управление; делова среда; образование и обучение; здравеопазване; пазар на труда; iii) за прехода към цифровизация и устойчиво управление на природните ресурси; iv) с оглед на политиката в сектора на финансовите услуги.</w:t>
      </w:r>
    </w:p>
    <w:p>
      <w:pPr>
        <w:pStyle w:val="ManualHeading3"/>
        <w:rPr>
          <w:bCs/>
          <w:noProof/>
          <w:szCs w:val="24"/>
        </w:rPr>
      </w:pPr>
      <w:r>
        <w:rPr>
          <w:noProof/>
        </w:rPr>
        <w:t>1.4.4.</w:t>
      </w:r>
      <w:r>
        <w:rPr>
          <w:noProof/>
        </w:rPr>
        <w:tab/>
        <w:t xml:space="preserve">Показатели за резултатите и за въздействието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Показателите за резултата ще измерват резултата от предоставената техническа подкрепа — одобряване на стратегия, приемане на нов нормативен акт или изменение на действащ такъв, приемане на (нови) процедури и действия за подпомагане на провеждането на реформите и др.</w:t>
      </w:r>
    </w:p>
    <w:p>
      <w:pPr>
        <w:pStyle w:val="Text1"/>
        <w:pBdr>
          <w:top w:val="single" w:sz="4" w:space="1" w:color="auto"/>
          <w:left w:val="single" w:sz="4" w:space="4" w:color="auto"/>
          <w:bottom w:val="single" w:sz="4" w:space="1" w:color="auto"/>
          <w:right w:val="single" w:sz="4" w:space="4" w:color="auto"/>
        </w:pBdr>
        <w:rPr>
          <w:noProof/>
        </w:rPr>
      </w:pPr>
      <w:r>
        <w:rPr>
          <w:noProof/>
        </w:rPr>
        <w:t>Показателите за въздействието ще измерват целите, заложени в плановете за сътрудничество и подкрепа, постигнати благодарение, наред с другото, на получената техническа подкрепа.</w:t>
      </w:r>
    </w:p>
    <w:p>
      <w:pPr>
        <w:pStyle w:val="ManualHeading2"/>
        <w:rPr>
          <w:bCs/>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Изисквания, които трябва да бъдат изпълнени в краткосрочна или дългосрочна перспектива </w:t>
      </w:r>
    </w:p>
    <w:p>
      <w:pPr>
        <w:pStyle w:val="Text1"/>
        <w:pBdr>
          <w:top w:val="single" w:sz="4" w:space="1" w:color="auto"/>
          <w:left w:val="single" w:sz="4" w:space="4" w:color="auto"/>
          <w:bottom w:val="single" w:sz="4" w:space="1" w:color="auto"/>
          <w:right w:val="single" w:sz="4" w:space="4" w:color="auto"/>
        </w:pBdr>
        <w:rPr>
          <w:noProof/>
        </w:rPr>
      </w:pPr>
      <w:r>
        <w:rPr>
          <w:noProof/>
        </w:rPr>
        <w:t>Структурните реформи представляват промени с дълготрайно въздействие върху структурата на икономиката или институционалната и нормативната уредба на дейността на бизнеса и хората. Ако са добре подбрани и проведени, структурните реформи могат да подпомогнат стратегическото планиране на социално-икономическото възстановяване, постигането на устойчивост и сближаването между държавите членки. Очаква се това да проправи подходящ път за стабилно възстановяване и да насърчи устойчивия растеж на държавите членки.</w:t>
      </w:r>
    </w:p>
    <w:p>
      <w:pPr>
        <w:pStyle w:val="Text1"/>
        <w:pBdr>
          <w:top w:val="single" w:sz="4" w:space="1" w:color="auto"/>
          <w:left w:val="single" w:sz="4" w:space="4" w:color="auto"/>
          <w:bottom w:val="single" w:sz="4" w:space="1" w:color="auto"/>
          <w:right w:val="single" w:sz="4" w:space="4" w:color="auto"/>
        </w:pBdr>
        <w:rPr>
          <w:rFonts w:eastAsiaTheme="majorEastAsia"/>
          <w:bCs/>
          <w:i/>
          <w:noProof/>
        </w:rPr>
      </w:pPr>
      <w:r>
        <w:rPr>
          <w:noProof/>
        </w:rPr>
        <w:t>В този аспект с инструмента за техническа подкрепа се цели да се съдейства на правителствата на държавите членки и на други органи — стига те да го поискат, в усилията им за разработване и провеждане на благоприятстващите възстановяването структурни реформи. Инструментът следва да допринесе за постигането на общата цел за приобщаване и за социално-икономическо възстановяване, устойчивост и сближаване.</w:t>
      </w:r>
    </w:p>
    <w:p>
      <w:pPr>
        <w:pStyle w:val="ManualHeading3"/>
        <w:rPr>
          <w:bCs/>
          <w:noProof/>
          <w:szCs w:val="24"/>
        </w:rPr>
      </w:pPr>
      <w:r>
        <w:rPr>
          <w:noProof/>
        </w:rPr>
        <w:t>1.5.2.</w:t>
      </w:r>
      <w:r>
        <w:rPr>
          <w:noProof/>
        </w:rPr>
        <w:tab/>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Основания за действие на европейско равнище (ex-ante) </w:t>
      </w:r>
    </w:p>
    <w:p>
      <w:pPr>
        <w:pStyle w:val="Text1"/>
        <w:pBdr>
          <w:top w:val="single" w:sz="4" w:space="1" w:color="auto"/>
          <w:left w:val="single" w:sz="4" w:space="4" w:color="auto"/>
          <w:bottom w:val="single" w:sz="4" w:space="1" w:color="auto"/>
          <w:right w:val="single" w:sz="4" w:space="4" w:color="auto"/>
        </w:pBdr>
        <w:rPr>
          <w:rFonts w:eastAsia="Arial Unicode MS"/>
          <w:noProof/>
        </w:rPr>
      </w:pPr>
      <w:r>
        <w:rPr>
          <w:noProof/>
        </w:rPr>
        <w:t>На фона на избухналата епидемия от COVID-19, неотменим аспект от стратегическото планиране на възстановяването е реформаторските усилия на държавите членки да продължат да се ползват от значителна техническа подкрепа за засилване на административния капацитет за подготвяне и провеждане на реформите за повишаване на устойчивостта и за постигане на въпросното възстановяване в социален и икономически аспект.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този контекст добавената стойност от инструмент на равнището на Съюза се изразява в поставяне на акцента върху предоставянето на специализирани експертни познания на всички държави членки, които желаят да получат подкрепа по места. Тази добавена стойност се проявява и в необходимия институционален и административен капацитет за провеждане на реформите и за осигуряване на стабилност на възстановяването в държавите членки. </w:t>
      </w:r>
    </w:p>
    <w:p>
      <w:pPr>
        <w:pStyle w:val="Text1"/>
        <w:pBdr>
          <w:top w:val="single" w:sz="4" w:space="1" w:color="auto"/>
          <w:left w:val="single" w:sz="4" w:space="4" w:color="auto"/>
          <w:bottom w:val="single" w:sz="4" w:space="1" w:color="auto"/>
          <w:right w:val="single" w:sz="4" w:space="4" w:color="auto"/>
        </w:pBdr>
        <w:rPr>
          <w:noProof/>
        </w:rPr>
      </w:pPr>
      <w:r>
        <w:rPr>
          <w:noProof/>
        </w:rPr>
        <w:t>С инструмента за техническа подкрепа също така се насърчава взаимното доверие и многостранното сътрудничество между държавите членки и Комисията в борбата им с последиците от породената от COVID-19 криза за европейското общество.</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Очаквана генерирана добавена стойност от Съюза (ex-post)</w:t>
      </w:r>
    </w:p>
    <w:p>
      <w:pPr>
        <w:pStyle w:val="Text1"/>
        <w:pBdr>
          <w:top w:val="single" w:sz="4" w:space="1" w:color="auto"/>
          <w:left w:val="single" w:sz="4" w:space="4" w:color="auto"/>
          <w:bottom w:val="single" w:sz="4" w:space="1" w:color="auto"/>
          <w:right w:val="single" w:sz="4" w:space="4" w:color="auto"/>
        </w:pBdr>
        <w:rPr>
          <w:noProof/>
          <w:u w:val="single"/>
        </w:rPr>
      </w:pPr>
      <w:r>
        <w:rPr>
          <w:noProof/>
        </w:rPr>
        <w:t>Въпреки че провеждането на структурните реформи в държавите членки остава национален прерогатив, социално-икономическите последици от настоящата породена от COVID-19 криза откроиха силната обвързаност на икономиките на държавите членки. Поради това реформаторските усилия в подкрепа на възстановяването от тази криза не могат да бъдат единствено национален въпрос. Координирането на икономическите политики за възстановяване от кризата ще бъде обсъдено в рамките на европейския семестър. Инструментът за техническа подкрепа ще съдейства на националните органи на поискалите такава подкрепа държави членки на всички или на дадени етапи от процеса по провеждане на реформите, в т.ч. чрез допълнително съдействие за провеждане на реформите в рамките на европейския семестър. По този начин с него ще се допринесе за устойчивостта, сближаването и социално-икономическото възстановяване в държавите членки. Въздействието му следователно ще се почувства не само на национално равнище, а и като положителна вълна в Съюза като цяло.</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Инструментът за техническа подкрепа е продължение на съществуващата Програма за подкрепа на структурните реформи (ППСР) за периода 2017—2020 г., която влезе в сила на 20 май 2017 г. </w:t>
      </w:r>
    </w:p>
    <w:p>
      <w:pPr>
        <w:pStyle w:val="Text1"/>
        <w:pBdr>
          <w:top w:val="single" w:sz="4" w:space="1" w:color="auto"/>
          <w:left w:val="single" w:sz="4" w:space="4" w:color="auto"/>
          <w:bottom w:val="single" w:sz="4" w:space="1" w:color="auto"/>
          <w:right w:val="single" w:sz="4" w:space="4" w:color="auto"/>
        </w:pBdr>
        <w:rPr>
          <w:noProof/>
        </w:rPr>
      </w:pPr>
      <w:r>
        <w:rPr>
          <w:noProof/>
        </w:rPr>
        <w:t>В работния документ на службите на Комисията, който предстои скоро да бъде приет и който придружава независимия доклад за междинна оценка на ППСР, резултатите от програмата се съпоставят с критериите за оценка на целесъобразността, ефективността, ефикасността, съгласуваността и добавената стойност от действането на равнище ЕС, като се извличат редица поуки: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параметрите на ППСР са съобразени с реалните потребности на държавите членки и служат като подходящ инструмент в подкрепа на засилването на административния и институционалния им капацитет; </w:t>
      </w:r>
    </w:p>
    <w:p>
      <w:pPr>
        <w:pStyle w:val="Text1"/>
        <w:pBdr>
          <w:top w:val="single" w:sz="4" w:space="1" w:color="auto"/>
          <w:left w:val="single" w:sz="4" w:space="4" w:color="auto"/>
          <w:bottom w:val="single" w:sz="4" w:space="1" w:color="auto"/>
          <w:right w:val="single" w:sz="4" w:space="4" w:color="auto"/>
        </w:pBdr>
        <w:rPr>
          <w:noProof/>
        </w:rPr>
      </w:pPr>
      <w:r>
        <w:rPr>
          <w:noProof/>
        </w:rPr>
        <w:t>— значителната гъвкавост, както и отсъствието на изисквания за съфинансиране позволяват на държавите членки да въплътят потребностите си в осъществими действия, които отговарят на техните очаквания, с реалистични срокове;</w:t>
      </w:r>
    </w:p>
    <w:p>
      <w:pPr>
        <w:pStyle w:val="Text1"/>
        <w:pBdr>
          <w:top w:val="single" w:sz="4" w:space="1" w:color="auto"/>
          <w:left w:val="single" w:sz="4" w:space="4" w:color="auto"/>
          <w:bottom w:val="single" w:sz="4" w:space="1" w:color="auto"/>
          <w:right w:val="single" w:sz="4" w:space="4" w:color="auto"/>
        </w:pBdr>
        <w:rPr>
          <w:noProof/>
        </w:rPr>
      </w:pPr>
      <w:r>
        <w:rPr>
          <w:noProof/>
        </w:rPr>
        <w:t>— обменът на добри практики между държавите членки притежава значителна добавена стойност. Освен това ППСР е добре интегрирана в процеса на икономическо управление на ЕС;</w:t>
      </w:r>
    </w:p>
    <w:p>
      <w:pPr>
        <w:pStyle w:val="Text1"/>
        <w:pBdr>
          <w:top w:val="single" w:sz="4" w:space="1" w:color="auto"/>
          <w:left w:val="single" w:sz="4" w:space="4" w:color="auto"/>
          <w:bottom w:val="single" w:sz="4" w:space="1" w:color="auto"/>
          <w:right w:val="single" w:sz="4" w:space="4" w:color="auto"/>
        </w:pBdr>
        <w:rPr>
          <w:noProof/>
        </w:rPr>
      </w:pPr>
      <w:r>
        <w:rPr>
          <w:noProof/>
        </w:rPr>
        <w:t>— годишните цикли на ППСР и Европейският семестър преливат подходящо един в друг, което позволява цялостен и координиран подход към структурните реформи в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 силната ангажираност на всички заинтересовани страни, значителният експертен опит на доставчика на техническа подкрепа и благоприятните политически обстоятелства се смятат за фактори с положително влияние за постигането на заложените в проектите по ППСР цели; от друга страна</w:t>
      </w:r>
    </w:p>
    <w:p>
      <w:pPr>
        <w:pStyle w:val="Text1"/>
        <w:pBdr>
          <w:top w:val="single" w:sz="4" w:space="1" w:color="auto"/>
          <w:left w:val="single" w:sz="4" w:space="4" w:color="auto"/>
          <w:bottom w:val="single" w:sz="4" w:space="1" w:color="auto"/>
          <w:right w:val="single" w:sz="4" w:space="4" w:color="auto"/>
        </w:pBdr>
        <w:rPr>
          <w:noProof/>
        </w:rPr>
      </w:pPr>
      <w:r>
        <w:rPr>
          <w:noProof/>
        </w:rPr>
        <w:t>— липсата на сътрудничество между заинтересованите страни и променящите се или несигурните политически обстоятелства се смята, че възпрепятстват успешното изпълнение на проектите за техническа подкрепа.</w:t>
      </w:r>
    </w:p>
    <w:p>
      <w:pPr>
        <w:pStyle w:val="ManualHeading3"/>
        <w:rPr>
          <w:bCs/>
          <w:noProof/>
          <w:szCs w:val="24"/>
        </w:rPr>
      </w:pPr>
      <w:r>
        <w:rPr>
          <w:noProof/>
        </w:rPr>
        <w:t>1.5.4.</w:t>
      </w:r>
      <w:r>
        <w:rPr>
          <w:noProof/>
        </w:rPr>
        <w:tab/>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се вписва сред останалите политики на Съюза, като ги допълва и действа в синергия с тях.</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 предложението за създаване на Механизъм за възстановяване и устойчивост се цели да се предложи финансова подкрепа на публичните инвестиции и реформи. Като подпомага подготовката и изпълнението на плановете и подкрепя заложените в тях реформи по време на подготовката и провеждането им, инструментът за техническа подкрепа действа в синергия с Механизма за възстановяване и устойчивост. Инструментът за техническа подкрепа е съвместим с техническата помощ по линия на политиката на сближаване, тъй като с тази техническа помощ заинтересованите страни се подкрепят главно при изграждането на капацитет за управляване на средствата на Съюза и при изпълнението на проектите, съфинансирани със средства на Съюза. От своя страна фокусът на центъра за техническа помощ по линия на „InvestEU“ са големите (частни) инвестиционни проекти, а не структурните реформи. За разлика от тях, фокусът на инструмента за техническа подкрепа са дългосрочните структурни реформи.  </w:t>
      </w:r>
    </w:p>
    <w:p>
      <w:pPr>
        <w:pStyle w:val="ManualHeading2"/>
        <w:rPr>
          <w:bCs/>
          <w:noProof/>
          <w:szCs w:val="24"/>
        </w:rPr>
      </w:pPr>
      <w:r>
        <w:rPr>
          <w:noProof/>
        </w:rPr>
        <w:br w:type="page"/>
        <w:t>1.6.</w:t>
      </w:r>
      <w:r>
        <w:rPr>
          <w:noProof/>
        </w:rPr>
        <w:tab/>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numPr>
          <w:ilvl w:val="0"/>
          <w:numId w:val="34"/>
        </w:numPr>
        <w:rPr>
          <w:noProof/>
        </w:rPr>
      </w:pPr>
      <w:r>
        <w:rPr>
          <w:noProof/>
        </w:rPr>
        <w:sym w:font="Wingdings" w:char="F0A8"/>
      </w:r>
      <w:r>
        <w:rPr>
          <w:noProof/>
        </w:rPr>
        <w:tab/>
        <w:t xml:space="preserve">Предложение/инициатива в сила от ГГГГ до ГГГГ </w:t>
      </w:r>
    </w:p>
    <w:p>
      <w:pPr>
        <w:pStyle w:val="ListDash2"/>
        <w:numPr>
          <w:ilvl w:val="0"/>
          <w:numId w:val="34"/>
        </w:numPr>
        <w:rPr>
          <w:noProof/>
        </w:rPr>
      </w:pPr>
      <w:r>
        <w:rPr>
          <w:noProof/>
        </w:rPr>
        <w:sym w:font="Wingdings" w:char="F0FC"/>
      </w:r>
      <w:r>
        <w:rPr>
          <w:noProof/>
        </w:rPr>
        <w:tab/>
        <w:t xml:space="preserve">Финансово отражение от 2021 г. до 2027 г.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numPr>
          <w:ilvl w:val="0"/>
          <w:numId w:val="33"/>
        </w:numPr>
        <w:rPr>
          <w:noProof/>
        </w:rPr>
      </w:pPr>
      <w:r>
        <w:rPr>
          <w:noProof/>
        </w:rPr>
        <w:t>Изпълнение с период на започване на дейност от ГГГГ до ГГГГ,</w:t>
      </w:r>
    </w:p>
    <w:p>
      <w:pPr>
        <w:pStyle w:val="ListDash1"/>
        <w:numPr>
          <w:ilvl w:val="0"/>
          <w:numId w:val="33"/>
        </w:numPr>
        <w:rPr>
          <w:noProof/>
        </w:rPr>
      </w:pPr>
      <w:r>
        <w:rPr>
          <w:noProof/>
        </w:rPr>
        <w:t>последван от функциониране с пълен капацитет.</w:t>
      </w:r>
    </w:p>
    <w:p>
      <w:pPr>
        <w:pStyle w:val="ManualHeading2"/>
        <w:rPr>
          <w:bCs/>
          <w:noProof/>
          <w:szCs w:val="24"/>
        </w:rPr>
      </w:pPr>
      <w:r>
        <w:rPr>
          <w:noProof/>
        </w:rPr>
        <w:t>1.7.</w:t>
      </w:r>
      <w:r>
        <w:rPr>
          <w:noProof/>
        </w:rPr>
        <w:tab/>
        <w:t>Планирани методи на управление</w:t>
      </w:r>
      <w:r>
        <w:rPr>
          <w:rStyle w:val="FootnoteReference"/>
          <w:noProof/>
        </w:rPr>
        <w:footnoteReference w:id="29"/>
      </w:r>
      <w:r>
        <w:rPr>
          <w:rStyle w:val="FootnoteReference"/>
          <w:noProof/>
        </w:rPr>
        <w:t xml:space="preserve">  </w:t>
      </w:r>
    </w:p>
    <w:p>
      <w:pPr>
        <w:pStyle w:val="Text1"/>
        <w:rPr>
          <w:noProof/>
        </w:rPr>
      </w:pPr>
      <w:r>
        <w:rPr>
          <w:i/>
          <w:noProof/>
        </w:rPr>
        <w:t xml:space="preserve"> </w:t>
      </w:r>
      <w:r>
        <w:rPr>
          <w:noProof/>
        </w:rPr>
        <w:sym w:font="Wingdings" w:char="F0FC"/>
      </w:r>
      <w:r>
        <w:rPr>
          <w:i/>
          <w:noProof/>
        </w:rPr>
        <w:t xml:space="preserve"> </w:t>
      </w:r>
      <w:r>
        <w:rPr>
          <w:b/>
          <w:noProof/>
        </w:rPr>
        <w:t>Пряко управление</w:t>
      </w:r>
      <w:r>
        <w:rPr>
          <w:noProof/>
        </w:rPr>
        <w:t xml:space="preserve"> от Комисията</w:t>
      </w:r>
    </w:p>
    <w:p>
      <w:pPr>
        <w:pStyle w:val="ListDash2"/>
        <w:numPr>
          <w:ilvl w:val="0"/>
          <w:numId w:val="34"/>
        </w:numPr>
        <w:rPr>
          <w:rFonts w:cs="EUAlbertina"/>
          <w:noProof/>
        </w:rPr>
      </w:pPr>
      <w:r>
        <w:rPr>
          <w:noProof/>
        </w:rPr>
        <w:sym w:font="Wingdings" w:char="F0FC"/>
      </w:r>
      <w:r>
        <w:rPr>
          <w:i/>
          <w:noProof/>
        </w:rPr>
        <w:t xml:space="preserve"> </w:t>
      </w:r>
      <w:r>
        <w:rPr>
          <w:noProof/>
        </w:rPr>
        <w:t xml:space="preserve">от нейните служби, включително от нейния персонал в делегациите на Съюза; </w:t>
      </w:r>
    </w:p>
    <w:p>
      <w:pPr>
        <w:pStyle w:val="ListDash2"/>
        <w:numPr>
          <w:ilvl w:val="0"/>
          <w:numId w:val="34"/>
        </w:numPr>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FC"/>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numPr>
          <w:ilvl w:val="0"/>
          <w:numId w:val="34"/>
        </w:numPr>
        <w:rPr>
          <w:noProof/>
        </w:rPr>
      </w:pPr>
      <w:r>
        <w:rPr>
          <w:noProof/>
        </w:rPr>
        <w:sym w:font="Wingdings" w:char="F0A8"/>
      </w:r>
      <w:r>
        <w:rPr>
          <w:noProof/>
        </w:rPr>
        <w:t xml:space="preserve"> трети държави или на органите, определени от тях;</w:t>
      </w:r>
    </w:p>
    <w:p>
      <w:pPr>
        <w:pStyle w:val="ListDash2"/>
        <w:numPr>
          <w:ilvl w:val="0"/>
          <w:numId w:val="34"/>
        </w:numPr>
        <w:rPr>
          <w:noProof/>
        </w:rPr>
      </w:pPr>
      <w:r>
        <w:rPr>
          <w:noProof/>
        </w:rPr>
        <w:sym w:font="Wingdings" w:char="F0FC"/>
      </w:r>
      <w:r>
        <w:rPr>
          <w:i/>
          <w:noProof/>
        </w:rPr>
        <w:t xml:space="preserve"> </w:t>
      </w:r>
      <w:r>
        <w:rPr>
          <w:noProof/>
        </w:rPr>
        <w:t>международни организации и техните агенции (да се уточни);</w:t>
      </w:r>
    </w:p>
    <w:p>
      <w:pPr>
        <w:pStyle w:val="ListDash2"/>
        <w:numPr>
          <w:ilvl w:val="0"/>
          <w:numId w:val="34"/>
        </w:numPr>
        <w:rPr>
          <w:noProof/>
        </w:rPr>
      </w:pPr>
      <w:r>
        <w:rPr>
          <w:noProof/>
        </w:rPr>
        <w:sym w:font="Wingdings" w:char="F0FC"/>
      </w:r>
      <w:r>
        <w:rPr>
          <w:i/>
          <w:noProof/>
        </w:rPr>
        <w:t xml:space="preserve"> </w:t>
      </w:r>
      <w:r>
        <w:rPr>
          <w:noProof/>
        </w:rPr>
        <w:t>ЕИБ и Европейския инвестиционен фонд;</w:t>
      </w:r>
    </w:p>
    <w:p>
      <w:pPr>
        <w:pStyle w:val="ListDash2"/>
        <w:numPr>
          <w:ilvl w:val="0"/>
          <w:numId w:val="34"/>
        </w:numPr>
        <w:rPr>
          <w:noProof/>
        </w:rPr>
      </w:pPr>
      <w:r>
        <w:rPr>
          <w:noProof/>
        </w:rPr>
        <w:sym w:font="Wingdings" w:char="F0A8"/>
      </w:r>
      <w:r>
        <w:rPr>
          <w:noProof/>
        </w:rPr>
        <w:t xml:space="preserve"> органите, посочени в членове 208 и 209 от Финансовия регламент;</w:t>
      </w:r>
    </w:p>
    <w:p>
      <w:pPr>
        <w:pStyle w:val="ListDash2"/>
        <w:numPr>
          <w:ilvl w:val="0"/>
          <w:numId w:val="34"/>
        </w:numPr>
        <w:rPr>
          <w:noProof/>
        </w:rPr>
      </w:pPr>
      <w:r>
        <w:rPr>
          <w:noProof/>
        </w:rPr>
        <w:sym w:font="Wingdings" w:char="F0FC"/>
      </w:r>
      <w:r>
        <w:rPr>
          <w:i/>
          <w:noProof/>
        </w:rPr>
        <w:t xml:space="preserve"> </w:t>
      </w:r>
      <w:r>
        <w:rPr>
          <w:noProof/>
        </w:rPr>
        <w:t>публичноправни органи;</w:t>
      </w:r>
    </w:p>
    <w:p>
      <w:pPr>
        <w:pStyle w:val="ListDash2"/>
        <w:numPr>
          <w:ilvl w:val="0"/>
          <w:numId w:val="34"/>
        </w:numPr>
        <w:rPr>
          <w:noProof/>
        </w:rPr>
      </w:pPr>
      <w:r>
        <w:rPr>
          <w:noProof/>
        </w:rPr>
        <w:sym w:font="Wingdings" w:char="F0FC"/>
      </w:r>
      <w:r>
        <w:rPr>
          <w:i/>
          <w:noProof/>
        </w:rPr>
        <w:t xml:space="preserve"> </w:t>
      </w:r>
      <w:r>
        <w:rPr>
          <w:noProof/>
        </w:rPr>
        <w:t>частноправни органи със задължение за обществена услуга, доколкото предоставят подходящи финансови гаранции;</w:t>
      </w:r>
    </w:p>
    <w:p>
      <w:pPr>
        <w:pStyle w:val="ListDash2"/>
        <w:numPr>
          <w:ilvl w:val="0"/>
          <w:numId w:val="34"/>
        </w:numPr>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numPr>
          <w:ilvl w:val="0"/>
          <w:numId w:val="34"/>
        </w:numPr>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numPr>
          <w:ilvl w:val="0"/>
          <w:numId w:val="34"/>
        </w:numPr>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Не се прилага</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включва задължения за наблюдение и оценка. Постигането на конкретните цели ще се проследява въз основа на показателите, посочени в предложението. Комисията ще докладва ежегодно на Европейския парламент и Съвета за прилагането на регламента.</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ще предоставя на Европейския парламент и Съвета доклад за междинна оценка и доклад за последваща оценка.</w:t>
      </w:r>
    </w:p>
    <w:p>
      <w:pPr>
        <w:pStyle w:val="Text1"/>
        <w:pBdr>
          <w:top w:val="single" w:sz="4" w:space="1" w:color="auto"/>
          <w:left w:val="single" w:sz="4" w:space="4" w:color="auto"/>
          <w:bottom w:val="single" w:sz="4" w:space="1" w:color="auto"/>
          <w:right w:val="single" w:sz="4" w:space="4" w:color="auto"/>
        </w:pBdr>
        <w:rPr>
          <w:noProof/>
        </w:rPr>
      </w:pPr>
      <w:r>
        <w:rPr>
          <w:noProof/>
        </w:rPr>
        <w:t>Докладът за междинна оценка ще включва информация за постигането на целите на регламента, ефективността, ефикасността, целесъобразността, съгласуваността и добавената стойност на регламента поради действането на равнище ЕС. В него ще се разглежда също така дали всички цели и действия продължават да бъдат целесъобразни. Докладът за последваща оценка ще представлява обща оценка на регламента и ще включва информация за дългосрочното му въздействие.</w:t>
      </w:r>
    </w:p>
    <w:p>
      <w:pPr>
        <w:pStyle w:val="ManualHeading2"/>
        <w:rPr>
          <w:bCs/>
          <w:noProof/>
          <w:szCs w:val="24"/>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Рисковете, свързани с избора на партньори (напр. международни финансови институции (МФИ) и бенефициери), фазата на договаряне (транспониране на изискванията на Комисията в договорната документация), мониторинга и финансовите трансакции (неспазване на установените от Комисията процеси) и измерването на постигнатите резултати (непостигане на предварително определените обща и конкретни цели).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Мерките, които ще бъдат въведени за намаляване на тези рискове, са следните: </w:t>
      </w:r>
    </w:p>
    <w:p>
      <w:pPr>
        <w:pStyle w:val="Text1"/>
        <w:pBdr>
          <w:top w:val="single" w:sz="4" w:space="1" w:color="auto"/>
          <w:left w:val="single" w:sz="4" w:space="4" w:color="auto"/>
          <w:bottom w:val="single" w:sz="4" w:space="1" w:color="auto"/>
          <w:right w:val="single" w:sz="4" w:space="4" w:color="auto"/>
        </w:pBdr>
        <w:jc w:val="left"/>
        <w:rPr>
          <w:rFonts w:eastAsiaTheme="majorEastAsia"/>
          <w:bCs/>
          <w:i/>
          <w:noProof/>
        </w:rPr>
      </w:pPr>
      <w:r>
        <w:rPr>
          <w:noProof/>
        </w:rPr>
        <w:t>— след установения процес на оценяване преди решението за възлагане;</w:t>
      </w:r>
    </w:p>
    <w:p>
      <w:pPr>
        <w:pStyle w:val="Text1"/>
        <w:pBdr>
          <w:top w:val="single" w:sz="4" w:space="1" w:color="auto"/>
          <w:left w:val="single" w:sz="4" w:space="4" w:color="auto"/>
          <w:bottom w:val="single" w:sz="4" w:space="1" w:color="auto"/>
          <w:right w:val="single" w:sz="4" w:space="4" w:color="auto"/>
        </w:pBdr>
        <w:jc w:val="left"/>
        <w:rPr>
          <w:rFonts w:eastAsiaTheme="majorEastAsia"/>
          <w:bCs/>
          <w:i/>
          <w:noProof/>
        </w:rPr>
      </w:pPr>
      <w:r>
        <w:rPr>
          <w:noProof/>
        </w:rPr>
        <w:t xml:space="preserve">— предварителна проверка от звеното за управление на програмата и финансова проверка от финансовото звено; </w:t>
      </w:r>
    </w:p>
    <w:p>
      <w:pPr>
        <w:pStyle w:val="Text1"/>
        <w:pBdr>
          <w:top w:val="single" w:sz="4" w:space="1" w:color="auto"/>
          <w:left w:val="single" w:sz="4" w:space="4" w:color="auto"/>
          <w:bottom w:val="single" w:sz="4" w:space="1" w:color="auto"/>
          <w:right w:val="single" w:sz="4" w:space="4" w:color="auto"/>
        </w:pBdr>
        <w:jc w:val="left"/>
        <w:rPr>
          <w:rFonts w:eastAsiaTheme="majorEastAsia"/>
          <w:bCs/>
          <w:i/>
          <w:noProof/>
        </w:rPr>
      </w:pPr>
      <w:r>
        <w:rPr>
          <w:noProof/>
        </w:rPr>
        <w:t>— йерархично валидиране на операциите чрез подходящи вериги;</w:t>
      </w:r>
    </w:p>
    <w:p>
      <w:pPr>
        <w:pStyle w:val="Text1"/>
        <w:pBdr>
          <w:top w:val="single" w:sz="4" w:space="1" w:color="auto"/>
          <w:left w:val="single" w:sz="4" w:space="4" w:color="auto"/>
          <w:bottom w:val="single" w:sz="4" w:space="1" w:color="auto"/>
          <w:right w:val="single" w:sz="4" w:space="4" w:color="auto"/>
        </w:pBdr>
        <w:jc w:val="left"/>
        <w:rPr>
          <w:rFonts w:eastAsiaTheme="majorEastAsia"/>
          <w:bCs/>
          <w:i/>
          <w:noProof/>
        </w:rPr>
      </w:pPr>
      <w:r>
        <w:rPr>
          <w:noProof/>
        </w:rPr>
        <w:t>— предварителна оценка на оправомощения субект (оценка на стълбовете); както и</w:t>
      </w:r>
    </w:p>
    <w:p>
      <w:pPr>
        <w:pStyle w:val="Text1"/>
        <w:pBdr>
          <w:top w:val="single" w:sz="4" w:space="1" w:color="auto"/>
          <w:left w:val="single" w:sz="4" w:space="4" w:color="auto"/>
          <w:bottom w:val="single" w:sz="4" w:space="1" w:color="auto"/>
          <w:right w:val="single" w:sz="4" w:space="4" w:color="auto"/>
        </w:pBdr>
        <w:jc w:val="left"/>
        <w:rPr>
          <w:rFonts w:eastAsiaTheme="majorEastAsia"/>
          <w:bCs/>
          <w:i/>
          <w:noProof/>
        </w:rPr>
      </w:pPr>
      <w:r>
        <w:rPr>
          <w:noProof/>
        </w:rPr>
        <w:t>— последващ контрол за преодоляване на системните слабости на предварителния контрол и с оглед на коригирането на недължимо платените суми.</w:t>
      </w:r>
    </w:p>
    <w:p>
      <w:pPr>
        <w:pStyle w:val="ManualHeading3"/>
        <w:rPr>
          <w:bCs/>
          <w:noProof/>
          <w:szCs w:val="24"/>
        </w:rPr>
      </w:pPr>
      <w:r>
        <w:rPr>
          <w:noProof/>
        </w:rPr>
        <w:t>2.2.2.</w:t>
      </w:r>
      <w:r>
        <w:rPr>
          <w:noProof/>
        </w:rPr>
        <w:tab/>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Инструментът може да бъде управляван пряко от Комисията или непряко — в съответствие с член 62, параграф 1, буква в) от Финансовия регламент. При инструмента е използван опитът от ППСР, управлявана пряко и непряко — с привлекателните при такъв тип управление опростени административни процедури. С оглед на приемствеността и запазване на съгласуваността на рамката най-подходящият вариант е прякото управление (а когато е целесъобразно — непрякото управление). Когато е целесъобразно, в светлината на целите на политиката и като се вземат предвид също така целите на контрола, непрякото управление с международни организации също така ще бъде използвано. Стратегията за контрол се счита за подходяща и балансирана с оглед на традиционния риск, свързан с прякото или непрякото управление (обществени поръчки, безвъзмездни средства, споразумения за финансово участие — както подробно е описано в точка 2.2.1). </w:t>
      </w:r>
    </w:p>
    <w:p>
      <w:pPr>
        <w:pStyle w:val="ManualHeading3"/>
        <w:rPr>
          <w:noProof/>
        </w:rPr>
      </w:pPr>
      <w:r>
        <w:rPr>
          <w:noProof/>
        </w:rPr>
        <w:t>2.2.3.</w:t>
      </w:r>
      <w:r>
        <w:rPr>
          <w:noProof/>
        </w:rPr>
        <w:tab/>
        <w:t xml:space="preserve">Оценка на разходите и ползите от проверките, както и на очакваната степен на риска от грешки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Въз основа на най-актуалната налична информация (в Плана за управление на ППСР (понастоящем Генерална дирекция за подкрепа на структурните реформи) за 2018 г. и годишния доклад за дейността за същата година), разходите за проверките се оценяват на под 5 % от съответните суми.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Разходите за персонал се определят с използване на приблизителни стойности въз основа на анализа на организационната структура и длъжностните характеристики, докато външните разходи за контрол се основават на стойностите на съответните договори и свързаните плащания. </w:t>
      </w:r>
    </w:p>
    <w:p>
      <w:pPr>
        <w:pStyle w:val="Text1"/>
        <w:pBdr>
          <w:top w:val="single" w:sz="4" w:space="1" w:color="auto"/>
          <w:left w:val="single" w:sz="4" w:space="4" w:color="auto"/>
          <w:bottom w:val="single" w:sz="4" w:space="1" w:color="auto"/>
          <w:right w:val="single" w:sz="4" w:space="4" w:color="auto"/>
        </w:pBdr>
        <w:rPr>
          <w:rFonts w:eastAsiaTheme="majorEastAsia"/>
          <w:bCs/>
          <w:i/>
          <w:noProof/>
        </w:rPr>
      </w:pPr>
      <w:r>
        <w:rPr>
          <w:noProof/>
        </w:rPr>
        <w:t>Предвид предложения метод на управление, оценката на риска и предложеното ограничаване на рисковете, очакваният процент на грешките е малък.</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За предотвратяване на измамите и нередностите при инструмента са въведени различни мерки.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духа на стратегията на Комисията за борба с измамите, която обхваща целия цикъл на разходите, Генерална дирекция за подкрепа на структурните реформи ще лансира във връзка с тези разходи специален план за действие за борба с измамите, при който ще се взимат предвид подходящият характер и отношението разходи/ползи на предстоящите мерки. Този процес в най-общ смисъл ще черпи от опита при понастоящем прилаганата от Генерална дирекция за подкрепа на структурните реформи стратегия за борба с измамите.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Подходящи вътрешни процедури за контрол са въведени на всички управленски равнища и са замислени така, че да предоставят основателна увереност за постигане на следното: ефективност, ефикасност и икономичност на операциите; надеждност на отчетността; опазване на активите и информацията; подходящо управление на рисковете, свързани със законосъобразността и редовността на извършените операции, и предотвратяване, разкриване, коригиране и последващи действия при измами и нередности. </w:t>
      </w:r>
    </w:p>
    <w:p>
      <w:pPr>
        <w:pStyle w:val="Text1"/>
        <w:pBdr>
          <w:top w:val="single" w:sz="4" w:space="1" w:color="auto"/>
          <w:left w:val="single" w:sz="4" w:space="4" w:color="auto"/>
          <w:bottom w:val="single" w:sz="4" w:space="1" w:color="auto"/>
          <w:right w:val="single" w:sz="4" w:space="4" w:color="auto"/>
        </w:pBdr>
        <w:rPr>
          <w:rFonts w:eastAsiaTheme="majorEastAsia"/>
          <w:b/>
          <w:bCs/>
          <w:noProof/>
          <w:szCs w:val="26"/>
        </w:rPr>
      </w:pPr>
      <w:r>
        <w:rPr>
          <w:noProof/>
        </w:rPr>
        <w:t xml:space="preserve">В плана за действие за борба с измамите ще бъде изложена системата от предварителни и последващи проверки, при която се използва схема на „червен флаг“, и ще се посочат процедурите за служителите при установяването на измами или нередности. В него ще се съдържат сведения и за работните договорености с OLAF. </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rPr>
          <w:noProof/>
        </w:rPr>
        <w:t>3.</w:t>
      </w:r>
      <w:r>
        <w:rPr>
          <w:noProof/>
        </w:rPr>
        <w:tab/>
        <w:t xml:space="preserve">ОЧАКВАНО ФИНАНСОВО ОТРАЖЕНИЕ НА ПРЕДЛОЖЕНИЕТО/ИНИЦИАТИВАТА </w:t>
      </w:r>
    </w:p>
    <w:p>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pPr>
        <w:pStyle w:val="ListBullet1"/>
        <w:numPr>
          <w:ilvl w:val="0"/>
          <w:numId w:val="32"/>
        </w:numPr>
        <w:rPr>
          <w:noProof/>
        </w:rPr>
      </w:pPr>
      <w:r>
        <w:rPr>
          <w:noProof/>
        </w:rPr>
        <w:t xml:space="preserve">Съществуващи бюджетни редове </w:t>
      </w:r>
    </w:p>
    <w:p>
      <w:pPr>
        <w:pStyle w:val="Text1"/>
        <w:rPr>
          <w:noProof/>
        </w:rPr>
      </w:pPr>
      <w:r>
        <w:rPr>
          <w:noProof/>
          <w:u w:val="single"/>
        </w:rPr>
        <w:t>По реда на</w:t>
      </w:r>
      <w:r>
        <w:rPr>
          <w:noProof/>
        </w:rPr>
        <w:t xml:space="preserve"> функциите от многогодишната финансова рамка и на бюджетните редове.</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18"/>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0"/>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18"/>
              </w:rPr>
              <w:t xml:space="preserve">Вид </w:t>
            </w:r>
            <w:r>
              <w:rPr>
                <w:noProof/>
              </w:rPr>
              <w:t xml:space="preserve"> </w:t>
            </w:r>
            <w:r>
              <w:rPr>
                <w:noProof/>
              </w:rPr>
              <w:br/>
            </w:r>
            <w:r>
              <w:rPr>
                <w:noProof/>
                <w:sz w:val="18"/>
              </w:rPr>
              <w:t>разход</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0"/>
              </w:rPr>
              <w:t xml:space="preserve">Финансово участие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22"/>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rPr>
            </w:pPr>
            <w:r>
              <w:rPr>
                <w:noProof/>
                <w:sz w:val="20"/>
              </w:rPr>
              <w:t xml:space="preserve">Номер </w:t>
            </w:r>
            <w:r>
              <w:rPr>
                <w:noProof/>
              </w:rPr>
              <w:t xml:space="preserve"> </w:t>
            </w:r>
            <w:r>
              <w:rPr>
                <w:noProof/>
              </w:rPr>
              <w:br/>
            </w:r>
            <w:r>
              <w:rPr>
                <w:noProof/>
                <w:sz w:val="20"/>
              </w:rPr>
              <w:t>Функция 2: Сближаване и ценности</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18"/>
              </w:rPr>
              <w:t>Многогод./едногод</w:t>
            </w:r>
            <w:r>
              <w:rPr>
                <w:rStyle w:val="FootnoteReference"/>
                <w:noProof/>
                <w:sz w:val="18"/>
              </w:rPr>
              <w:footnoteReference w:id="30"/>
            </w:r>
            <w:r>
              <w:rPr>
                <w:noProof/>
              </w:rPr>
              <w:t>.</w:t>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18"/>
              </w:rPr>
              <w:t>от държави от ЕАСТ</w:t>
            </w:r>
            <w:r>
              <w:rPr>
                <w:rStyle w:val="FootnoteReference"/>
                <w:noProof/>
                <w:sz w:val="18"/>
              </w:rPr>
              <w:footnoteReference w:id="31"/>
            </w:r>
          </w:p>
          <w:p>
            <w:pPr>
              <w:spacing w:before="0" w:after="0" w:line="276" w:lineRule="auto"/>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18"/>
              </w:rPr>
              <w:t>от държави кандидатки</w:t>
            </w:r>
            <w:r>
              <w:rPr>
                <w:rStyle w:val="FootnoteReference"/>
                <w:noProof/>
                <w:sz w:val="18"/>
              </w:rPr>
              <w:footnoteReference w:id="32"/>
            </w:r>
          </w:p>
          <w:p>
            <w:pPr>
              <w:spacing w:before="0" w:after="0" w:line="276" w:lineRule="auto"/>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от трети държави</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16"/>
              </w:rPr>
              <w:t xml:space="preserve">по смисъла на член 21, параграф 2, буква б) от Финансовия регламент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sz w:val="22"/>
              </w:rPr>
            </w:pPr>
            <w:r>
              <w:rPr>
                <w:noProof/>
                <w:color w:val="0000FF"/>
                <w:sz w:val="22"/>
              </w:rPr>
              <w:t>2</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sz w:val="22"/>
              </w:rPr>
            </w:pPr>
            <w:r>
              <w:rPr>
                <w:noProof/>
              </w:rPr>
              <w:t xml:space="preserve"> </w:t>
            </w:r>
            <w:r>
              <w:rPr>
                <w:noProof/>
                <w:color w:val="0000FF"/>
                <w:sz w:val="22"/>
              </w:rPr>
              <w:t>06.01 04 01 (Разходи за подкрепа на инструмента за техническа подкрепа — ИТП)</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sz w:val="22"/>
              </w:rPr>
            </w:pPr>
            <w:r>
              <w:rPr>
                <w:noProof/>
                <w:sz w:val="22"/>
              </w:rPr>
              <w:t>Многогод./едногод.</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НЕ</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НЕ</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НЕ</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НЕ</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sz w:val="22"/>
              </w:rPr>
            </w:pPr>
            <w:r>
              <w:rPr>
                <w:noProof/>
                <w:color w:val="0000FF"/>
                <w:sz w:val="22"/>
              </w:rPr>
              <w:t>2</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06.02.02 (ИТП — Оперативна техническа подкрепа)</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22"/>
              </w:rPr>
              <w:t>Многогод.</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НЕ</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НЕ</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НЕ</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НЕ</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bCs/>
          <w:noProof/>
          <w:szCs w:val="24"/>
        </w:rPr>
      </w:pPr>
      <w:r>
        <w:rPr>
          <w:noProof/>
        </w:rPr>
        <w:t>3.2.</w:t>
      </w:r>
      <w:r>
        <w:rPr>
          <w:noProof/>
        </w:rPr>
        <w:tab/>
        <w:t xml:space="preserve">Очаквано отражение върху разходите </w:t>
      </w:r>
    </w:p>
    <w:p>
      <w:pPr>
        <w:pStyle w:val="ManualHeading3"/>
        <w:rPr>
          <w:noProof/>
          <w:u w:val="single"/>
        </w:rPr>
      </w:pPr>
      <w:r>
        <w:rPr>
          <w:noProof/>
        </w:rPr>
        <w:t>3.2.1.</w:t>
      </w:r>
      <w:r>
        <w:rPr>
          <w:noProof/>
        </w:rPr>
        <w:tab/>
        <w:t xml:space="preserve">Обобщение на очакваното отражение върху разходите </w:t>
      </w:r>
    </w:p>
    <w:p>
      <w:pPr>
        <w:jc w:val="right"/>
        <w:rPr>
          <w:noProof/>
          <w:sz w:val="20"/>
        </w:rPr>
      </w:pPr>
      <w:r>
        <w:rPr>
          <w:noProof/>
          <w:sz w:val="20"/>
        </w:rPr>
        <w:t>в 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sz w:val="22"/>
              </w:rPr>
            </w:pPr>
            <w:r>
              <w:rPr>
                <w:b/>
                <w:noProof/>
                <w:sz w:val="22"/>
              </w:rPr>
              <w:t xml:space="preserve">Функция от многогодишната финансова </w:t>
            </w:r>
            <w:r>
              <w:rPr>
                <w:noProof/>
              </w:rPr>
              <w:t xml:space="preserve"> </w:t>
            </w:r>
            <w:r>
              <w:rPr>
                <w:noProof/>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2"/>
              </w:rPr>
              <w:t>2</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rPr>
            </w:pPr>
            <w:r>
              <w:rPr>
                <w:noProof/>
                <w:sz w:val="22"/>
              </w:rPr>
              <w:t>Сближаване и ценности</w:t>
            </w:r>
          </w:p>
        </w:tc>
      </w:tr>
    </w:tbl>
    <w:p>
      <w:pPr>
        <w:rPr>
          <w:noProof/>
          <w:sz w:val="16"/>
        </w:rPr>
      </w:pP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6"/>
        <w:gridCol w:w="1438"/>
        <w:gridCol w:w="120"/>
        <w:gridCol w:w="533"/>
        <w:gridCol w:w="867"/>
        <w:gridCol w:w="867"/>
        <w:gridCol w:w="867"/>
        <w:gridCol w:w="867"/>
        <w:gridCol w:w="898"/>
        <w:gridCol w:w="898"/>
        <w:gridCol w:w="898"/>
        <w:gridCol w:w="898"/>
        <w:gridCol w:w="1775"/>
      </w:tblGrid>
      <w:tr>
        <w:trPr>
          <w:trHeight w:val="720"/>
        </w:trPr>
        <w:tc>
          <w:tcPr>
            <w:tcW w:w="3956" w:type="dxa"/>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center"/>
              <w:rPr>
                <w:noProof/>
                <w:sz w:val="22"/>
              </w:rPr>
            </w:pPr>
            <w:r>
              <w:rPr>
                <w:noProof/>
                <w:sz w:val="22"/>
              </w:rPr>
              <w:t>Генерална дирекция за подкрепа на структурните реформи</w:t>
            </w:r>
          </w:p>
        </w:tc>
        <w:tc>
          <w:tcPr>
            <w:tcW w:w="1558" w:type="dxa"/>
            <w:gridSpan w:val="2"/>
            <w:tcBorders>
              <w:top w:val="single" w:sz="4" w:space="0" w:color="auto"/>
              <w:left w:val="single" w:sz="4" w:space="0" w:color="auto"/>
              <w:bottom w:val="single" w:sz="4" w:space="0" w:color="auto"/>
              <w:right w:val="single" w:sz="4" w:space="0" w:color="auto"/>
            </w:tcBorders>
          </w:tcPr>
          <w:p>
            <w:pPr>
              <w:spacing w:before="0" w:after="200" w:line="276" w:lineRule="auto"/>
              <w:jc w:val="left"/>
              <w:rPr>
                <w:noProof/>
                <w:sz w:val="20"/>
              </w:rPr>
            </w:pPr>
          </w:p>
        </w:tc>
        <w:tc>
          <w:tcPr>
            <w:tcW w:w="533" w:type="dxa"/>
            <w:tcBorders>
              <w:top w:val="single" w:sz="4" w:space="0" w:color="auto"/>
              <w:left w:val="single" w:sz="4" w:space="0" w:color="auto"/>
              <w:bottom w:val="single" w:sz="4" w:space="0" w:color="auto"/>
              <w:right w:val="single" w:sz="4" w:space="0" w:color="auto"/>
            </w:tcBorders>
          </w:tcPr>
          <w:p>
            <w:pPr>
              <w:spacing w:before="0" w:after="200" w:line="276" w:lineRule="auto"/>
              <w:jc w:val="center"/>
              <w:rPr>
                <w:noProof/>
                <w:sz w:val="20"/>
              </w:rPr>
            </w:pP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center"/>
              <w:rPr>
                <w:noProof/>
                <w:sz w:val="20"/>
              </w:rPr>
            </w:pPr>
            <w:r>
              <w:rPr>
                <w:noProof/>
                <w:sz w:val="20"/>
              </w:rPr>
              <w:t>Година</w:t>
            </w:r>
            <w:r>
              <w:rPr>
                <w:noProof/>
              </w:rPr>
              <w:t xml:space="preserve"> </w:t>
            </w:r>
            <w:r>
              <w:rPr>
                <w:noProof/>
              </w:rPr>
              <w:br/>
            </w:r>
            <w:r>
              <w:rPr>
                <w:b/>
                <w:noProof/>
                <w:sz w:val="20"/>
              </w:rPr>
              <w:t>2021 г.</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center"/>
              <w:rPr>
                <w:noProof/>
                <w:sz w:val="20"/>
              </w:rPr>
            </w:pPr>
            <w:r>
              <w:rPr>
                <w:noProof/>
                <w:sz w:val="20"/>
              </w:rPr>
              <w:t>Година</w:t>
            </w:r>
            <w:r>
              <w:rPr>
                <w:noProof/>
              </w:rPr>
              <w:t xml:space="preserve"> </w:t>
            </w:r>
            <w:r>
              <w:rPr>
                <w:noProof/>
              </w:rPr>
              <w:br/>
            </w:r>
            <w:r>
              <w:rPr>
                <w:b/>
                <w:noProof/>
                <w:sz w:val="20"/>
              </w:rPr>
              <w:t>2022 г.</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center"/>
              <w:rPr>
                <w:noProof/>
                <w:sz w:val="20"/>
              </w:rPr>
            </w:pPr>
            <w:r>
              <w:rPr>
                <w:noProof/>
                <w:sz w:val="20"/>
              </w:rPr>
              <w:t>Година</w:t>
            </w:r>
            <w:r>
              <w:rPr>
                <w:noProof/>
              </w:rPr>
              <w:t xml:space="preserve"> </w:t>
            </w:r>
            <w:r>
              <w:rPr>
                <w:noProof/>
              </w:rPr>
              <w:br/>
            </w:r>
            <w:r>
              <w:rPr>
                <w:b/>
                <w:noProof/>
                <w:sz w:val="20"/>
              </w:rPr>
              <w:t>2023 г.</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center"/>
              <w:rPr>
                <w:noProof/>
                <w:sz w:val="20"/>
              </w:rPr>
            </w:pPr>
            <w:r>
              <w:rPr>
                <w:noProof/>
                <w:sz w:val="20"/>
              </w:rPr>
              <w:t>Година</w:t>
            </w:r>
            <w:r>
              <w:rPr>
                <w:noProof/>
              </w:rPr>
              <w:t xml:space="preserve"> </w:t>
            </w:r>
            <w:r>
              <w:rPr>
                <w:noProof/>
              </w:rPr>
              <w:br/>
            </w:r>
            <w:r>
              <w:rPr>
                <w:b/>
                <w:noProof/>
                <w:sz w:val="20"/>
              </w:rPr>
              <w:t>2024 г.</w:t>
            </w:r>
          </w:p>
        </w:tc>
        <w:tc>
          <w:tcPr>
            <w:tcW w:w="898" w:type="dxa"/>
            <w:tcBorders>
              <w:top w:val="single" w:sz="4" w:space="0" w:color="auto"/>
              <w:left w:val="single" w:sz="4" w:space="0" w:color="auto"/>
              <w:bottom w:val="single" w:sz="4" w:space="0" w:color="auto"/>
              <w:right w:val="single" w:sz="4" w:space="0" w:color="auto"/>
            </w:tcBorders>
            <w:hideMark/>
          </w:tcPr>
          <w:p>
            <w:pPr>
              <w:spacing w:before="0" w:after="200" w:line="276" w:lineRule="auto"/>
              <w:jc w:val="center"/>
              <w:rPr>
                <w:noProof/>
                <w:sz w:val="18"/>
              </w:rPr>
            </w:pPr>
            <w:r>
              <w:rPr>
                <w:noProof/>
                <w:sz w:val="20"/>
              </w:rPr>
              <w:t>Година</w:t>
            </w:r>
            <w:r>
              <w:rPr>
                <w:noProof/>
              </w:rPr>
              <w:t xml:space="preserve"> </w:t>
            </w:r>
            <w:r>
              <w:rPr>
                <w:noProof/>
              </w:rPr>
              <w:br/>
            </w:r>
            <w:r>
              <w:rPr>
                <w:b/>
                <w:noProof/>
                <w:sz w:val="20"/>
              </w:rPr>
              <w:t>2025 г.</w:t>
            </w:r>
          </w:p>
        </w:tc>
        <w:tc>
          <w:tcPr>
            <w:tcW w:w="898" w:type="dxa"/>
            <w:tcBorders>
              <w:top w:val="single" w:sz="4" w:space="0" w:color="auto"/>
              <w:left w:val="single" w:sz="4" w:space="0" w:color="auto"/>
              <w:bottom w:val="single" w:sz="4" w:space="0" w:color="auto"/>
              <w:right w:val="single" w:sz="4" w:space="0" w:color="auto"/>
            </w:tcBorders>
            <w:hideMark/>
          </w:tcPr>
          <w:p>
            <w:pPr>
              <w:spacing w:before="0" w:after="200" w:line="276" w:lineRule="auto"/>
              <w:jc w:val="center"/>
              <w:rPr>
                <w:noProof/>
                <w:sz w:val="18"/>
              </w:rPr>
            </w:pPr>
            <w:r>
              <w:rPr>
                <w:noProof/>
                <w:sz w:val="20"/>
              </w:rPr>
              <w:t>Година</w:t>
            </w:r>
            <w:r>
              <w:rPr>
                <w:noProof/>
              </w:rPr>
              <w:t xml:space="preserve"> </w:t>
            </w:r>
            <w:r>
              <w:rPr>
                <w:noProof/>
              </w:rPr>
              <w:br/>
            </w:r>
            <w:r>
              <w:rPr>
                <w:b/>
                <w:noProof/>
                <w:sz w:val="20"/>
              </w:rPr>
              <w:t>2026 г.</w:t>
            </w:r>
          </w:p>
        </w:tc>
        <w:tc>
          <w:tcPr>
            <w:tcW w:w="898" w:type="dxa"/>
            <w:tcBorders>
              <w:top w:val="single" w:sz="4" w:space="0" w:color="auto"/>
              <w:left w:val="single" w:sz="4" w:space="0" w:color="auto"/>
              <w:bottom w:val="single" w:sz="4" w:space="0" w:color="auto"/>
              <w:right w:val="single" w:sz="4" w:space="0" w:color="auto"/>
            </w:tcBorders>
            <w:hideMark/>
          </w:tcPr>
          <w:p>
            <w:pPr>
              <w:spacing w:before="0" w:after="200" w:line="276" w:lineRule="auto"/>
              <w:jc w:val="center"/>
              <w:rPr>
                <w:noProof/>
                <w:sz w:val="18"/>
              </w:rPr>
            </w:pPr>
            <w:r>
              <w:rPr>
                <w:noProof/>
                <w:sz w:val="20"/>
              </w:rPr>
              <w:t>Година</w:t>
            </w:r>
            <w:r>
              <w:rPr>
                <w:noProof/>
              </w:rPr>
              <w:t xml:space="preserve"> </w:t>
            </w:r>
            <w:r>
              <w:rPr>
                <w:noProof/>
              </w:rPr>
              <w:br/>
            </w:r>
            <w:r>
              <w:rPr>
                <w:b/>
                <w:noProof/>
                <w:sz w:val="20"/>
              </w:rPr>
              <w:t>2027 г.</w:t>
            </w:r>
          </w:p>
        </w:tc>
        <w:tc>
          <w:tcPr>
            <w:tcW w:w="898" w:type="dxa"/>
            <w:tcBorders>
              <w:top w:val="single" w:sz="4" w:space="0" w:color="auto"/>
              <w:left w:val="single" w:sz="4" w:space="0" w:color="auto"/>
              <w:bottom w:val="single" w:sz="4" w:space="0" w:color="auto"/>
              <w:right w:val="single" w:sz="4" w:space="0" w:color="auto"/>
            </w:tcBorders>
            <w:hideMark/>
          </w:tcPr>
          <w:p>
            <w:pPr>
              <w:spacing w:before="0" w:after="200" w:line="276" w:lineRule="auto"/>
              <w:jc w:val="center"/>
              <w:rPr>
                <w:noProof/>
                <w:sz w:val="20"/>
                <w:szCs w:val="20"/>
              </w:rPr>
            </w:pPr>
            <w:r>
              <w:rPr>
                <w:noProof/>
                <w:sz w:val="20"/>
                <w:szCs w:val="20"/>
              </w:rPr>
              <w:t xml:space="preserve">След </w:t>
            </w:r>
            <w:r>
              <w:rPr>
                <w:b/>
                <w:noProof/>
                <w:sz w:val="20"/>
                <w:szCs w:val="20"/>
              </w:rPr>
              <w:t>2027 г.</w:t>
            </w:r>
          </w:p>
        </w:tc>
        <w:tc>
          <w:tcPr>
            <w:tcW w:w="1775" w:type="dxa"/>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center"/>
              <w:rPr>
                <w:b/>
                <w:noProof/>
                <w:sz w:val="20"/>
              </w:rPr>
            </w:pPr>
            <w:r>
              <w:rPr>
                <w:b/>
                <w:noProof/>
                <w:sz w:val="20"/>
              </w:rPr>
              <w:t>ОБЩО</w:t>
            </w:r>
          </w:p>
        </w:tc>
      </w:tr>
      <w:tr>
        <w:trPr>
          <w:trHeight w:val="213"/>
        </w:trPr>
        <w:tc>
          <w:tcPr>
            <w:tcW w:w="6047"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noProof/>
                <w:sz w:val="21"/>
              </w:rPr>
            </w:pPr>
            <w:r>
              <w:rPr>
                <w:noProof/>
                <w:sz w:val="21"/>
              </w:rPr>
              <w:sym w:font="Wingdings" w:char="F09F"/>
            </w:r>
            <w:r>
              <w:rPr>
                <w:noProof/>
                <w:sz w:val="21"/>
              </w:rPr>
              <w:t xml:space="preserve"> Бюджетни кредити за оперативни разходи </w:t>
            </w:r>
          </w:p>
        </w:tc>
        <w:tc>
          <w:tcPr>
            <w:tcW w:w="867" w:type="dxa"/>
            <w:tcBorders>
              <w:top w:val="single" w:sz="4" w:space="0" w:color="auto"/>
              <w:left w:val="single" w:sz="4" w:space="0" w:color="auto"/>
              <w:bottom w:val="single" w:sz="4" w:space="0" w:color="auto"/>
              <w:right w:val="single" w:sz="4" w:space="0" w:color="auto"/>
            </w:tcBorders>
            <w:vAlign w:val="center"/>
          </w:tcPr>
          <w:p>
            <w:pPr>
              <w:spacing w:before="0" w:after="200" w:line="276" w:lineRule="auto"/>
              <w:jc w:val="left"/>
              <w:rPr>
                <w:noProof/>
                <w:sz w:val="20"/>
              </w:rPr>
            </w:pPr>
          </w:p>
        </w:tc>
        <w:tc>
          <w:tcPr>
            <w:tcW w:w="867" w:type="dxa"/>
            <w:tcBorders>
              <w:top w:val="single" w:sz="4" w:space="0" w:color="auto"/>
              <w:left w:val="single" w:sz="4" w:space="0" w:color="auto"/>
              <w:bottom w:val="single" w:sz="4" w:space="0" w:color="auto"/>
              <w:right w:val="single" w:sz="4" w:space="0" w:color="auto"/>
            </w:tcBorders>
            <w:vAlign w:val="center"/>
          </w:tcPr>
          <w:p>
            <w:pPr>
              <w:spacing w:before="0" w:after="200" w:line="276" w:lineRule="auto"/>
              <w:jc w:val="left"/>
              <w:rPr>
                <w:noProof/>
                <w:sz w:val="20"/>
              </w:rPr>
            </w:pPr>
          </w:p>
        </w:tc>
        <w:tc>
          <w:tcPr>
            <w:tcW w:w="867" w:type="dxa"/>
            <w:tcBorders>
              <w:top w:val="single" w:sz="4" w:space="0" w:color="auto"/>
              <w:left w:val="single" w:sz="4" w:space="0" w:color="auto"/>
              <w:bottom w:val="single" w:sz="4" w:space="0" w:color="auto"/>
              <w:right w:val="single" w:sz="4" w:space="0" w:color="auto"/>
            </w:tcBorders>
            <w:vAlign w:val="center"/>
          </w:tcPr>
          <w:p>
            <w:pPr>
              <w:spacing w:before="0" w:after="200" w:line="276" w:lineRule="auto"/>
              <w:jc w:val="left"/>
              <w:rPr>
                <w:noProof/>
                <w:sz w:val="20"/>
              </w:rPr>
            </w:pPr>
          </w:p>
        </w:tc>
        <w:tc>
          <w:tcPr>
            <w:tcW w:w="867" w:type="dxa"/>
            <w:tcBorders>
              <w:top w:val="single" w:sz="4" w:space="0" w:color="auto"/>
              <w:left w:val="single" w:sz="4" w:space="0" w:color="auto"/>
              <w:bottom w:val="single" w:sz="4" w:space="0" w:color="auto"/>
              <w:right w:val="single" w:sz="4" w:space="0" w:color="auto"/>
            </w:tcBorders>
            <w:vAlign w:val="center"/>
          </w:tcPr>
          <w:p>
            <w:pPr>
              <w:spacing w:before="0" w:after="200" w:line="276" w:lineRule="auto"/>
              <w:jc w:val="left"/>
              <w:rPr>
                <w:noProof/>
                <w:sz w:val="20"/>
              </w:rPr>
            </w:pPr>
          </w:p>
        </w:tc>
        <w:tc>
          <w:tcPr>
            <w:tcW w:w="898" w:type="dxa"/>
            <w:tcBorders>
              <w:top w:val="single" w:sz="4" w:space="0" w:color="auto"/>
              <w:left w:val="single" w:sz="4" w:space="0" w:color="auto"/>
              <w:bottom w:val="single" w:sz="4" w:space="0" w:color="auto"/>
              <w:right w:val="single" w:sz="4" w:space="0" w:color="auto"/>
            </w:tcBorders>
          </w:tcPr>
          <w:p>
            <w:pPr>
              <w:spacing w:before="0" w:after="200" w:line="276" w:lineRule="auto"/>
              <w:jc w:val="left"/>
              <w:rPr>
                <w:noProof/>
                <w:sz w:val="20"/>
              </w:rPr>
            </w:pPr>
          </w:p>
        </w:tc>
        <w:tc>
          <w:tcPr>
            <w:tcW w:w="898" w:type="dxa"/>
            <w:tcBorders>
              <w:top w:val="single" w:sz="4" w:space="0" w:color="auto"/>
              <w:left w:val="single" w:sz="4" w:space="0" w:color="auto"/>
              <w:bottom w:val="single" w:sz="4" w:space="0" w:color="auto"/>
              <w:right w:val="single" w:sz="4" w:space="0" w:color="auto"/>
            </w:tcBorders>
          </w:tcPr>
          <w:p>
            <w:pPr>
              <w:spacing w:before="0" w:after="200" w:line="276" w:lineRule="auto"/>
              <w:jc w:val="left"/>
              <w:rPr>
                <w:noProof/>
                <w:sz w:val="20"/>
              </w:rPr>
            </w:pPr>
          </w:p>
        </w:tc>
        <w:tc>
          <w:tcPr>
            <w:tcW w:w="898" w:type="dxa"/>
            <w:tcBorders>
              <w:top w:val="single" w:sz="4" w:space="0" w:color="auto"/>
              <w:left w:val="single" w:sz="4" w:space="0" w:color="auto"/>
              <w:bottom w:val="single" w:sz="4" w:space="0" w:color="auto"/>
              <w:right w:val="single" w:sz="4" w:space="0" w:color="auto"/>
            </w:tcBorders>
          </w:tcPr>
          <w:p>
            <w:pPr>
              <w:spacing w:before="0" w:after="200" w:line="276" w:lineRule="auto"/>
              <w:jc w:val="left"/>
              <w:rPr>
                <w:noProof/>
                <w:sz w:val="20"/>
              </w:rPr>
            </w:pPr>
          </w:p>
        </w:tc>
        <w:tc>
          <w:tcPr>
            <w:tcW w:w="898" w:type="dxa"/>
            <w:tcBorders>
              <w:top w:val="single" w:sz="4" w:space="0" w:color="auto"/>
              <w:left w:val="single" w:sz="4" w:space="0" w:color="auto"/>
              <w:bottom w:val="single" w:sz="4" w:space="0" w:color="auto"/>
              <w:right w:val="single" w:sz="4" w:space="0" w:color="auto"/>
            </w:tcBorders>
          </w:tcPr>
          <w:p>
            <w:pPr>
              <w:spacing w:before="0" w:after="200" w:line="276" w:lineRule="auto"/>
              <w:jc w:val="left"/>
              <w:rPr>
                <w:noProof/>
                <w:sz w:val="20"/>
              </w:rPr>
            </w:pPr>
          </w:p>
        </w:tc>
        <w:tc>
          <w:tcPr>
            <w:tcW w:w="1775" w:type="dxa"/>
            <w:tcBorders>
              <w:top w:val="single" w:sz="4" w:space="0" w:color="auto"/>
              <w:left w:val="single" w:sz="4" w:space="0" w:color="auto"/>
              <w:bottom w:val="single" w:sz="4" w:space="0" w:color="auto"/>
              <w:right w:val="single" w:sz="4" w:space="0" w:color="auto"/>
            </w:tcBorders>
            <w:vAlign w:val="center"/>
          </w:tcPr>
          <w:p>
            <w:pPr>
              <w:spacing w:before="0" w:after="200" w:line="276" w:lineRule="auto"/>
              <w:jc w:val="left"/>
              <w:rPr>
                <w:b/>
                <w:noProof/>
                <w:sz w:val="20"/>
              </w:rPr>
            </w:pPr>
          </w:p>
        </w:tc>
      </w:tr>
      <w:tr>
        <w:trPr>
          <w:trHeight w:val="277"/>
        </w:trPr>
        <w:tc>
          <w:tcPr>
            <w:tcW w:w="3956" w:type="dxa"/>
            <w:vMerge w:val="restart"/>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left"/>
              <w:rPr>
                <w:noProof/>
                <w:sz w:val="22"/>
              </w:rPr>
            </w:pPr>
            <w:r>
              <w:rPr>
                <w:noProof/>
                <w:color w:val="0000FF"/>
                <w:sz w:val="22"/>
              </w:rPr>
              <w:t>06.02.02 (ИТП — Оперативна техническа подкрепа)</w:t>
            </w:r>
          </w:p>
        </w:tc>
        <w:tc>
          <w:tcPr>
            <w:tcW w:w="143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noProof/>
                <w:sz w:val="18"/>
              </w:rPr>
            </w:pPr>
            <w:r>
              <w:rPr>
                <w:noProof/>
                <w:sz w:val="18"/>
              </w:rPr>
              <w:t>Поети задължения</w:t>
            </w:r>
          </w:p>
        </w:tc>
        <w:tc>
          <w:tcPr>
            <w:tcW w:w="653"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114,364</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116,692</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119,065</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121,486</w:t>
            </w:r>
          </w:p>
        </w:tc>
        <w:tc>
          <w:tcPr>
            <w:tcW w:w="89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rPr>
            </w:pPr>
            <w:r>
              <w:rPr>
                <w:noProof/>
                <w:sz w:val="20"/>
              </w:rPr>
              <w:t>123,956</w:t>
            </w:r>
          </w:p>
        </w:tc>
        <w:tc>
          <w:tcPr>
            <w:tcW w:w="89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rPr>
            </w:pPr>
            <w:r>
              <w:rPr>
                <w:noProof/>
                <w:sz w:val="20"/>
              </w:rPr>
              <w:t>126,476</w:t>
            </w:r>
          </w:p>
        </w:tc>
        <w:tc>
          <w:tcPr>
            <w:tcW w:w="89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rPr>
            </w:pPr>
            <w:r>
              <w:rPr>
                <w:noProof/>
                <w:sz w:val="20"/>
              </w:rPr>
              <w:t>128,367</w:t>
            </w:r>
          </w:p>
        </w:tc>
        <w:tc>
          <w:tcPr>
            <w:tcW w:w="89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w:t>
            </w:r>
          </w:p>
        </w:tc>
        <w:tc>
          <w:tcPr>
            <w:tcW w:w="1775"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850,406</w:t>
            </w:r>
          </w:p>
        </w:tc>
      </w:tr>
      <w:tr>
        <w:trPr>
          <w:trHeight w:val="315"/>
        </w:trPr>
        <w:tc>
          <w:tcPr>
            <w:tcW w:w="6047"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22"/>
              </w:rPr>
            </w:pPr>
          </w:p>
        </w:tc>
        <w:tc>
          <w:tcPr>
            <w:tcW w:w="143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noProof/>
                <w:sz w:val="18"/>
              </w:rPr>
            </w:pPr>
            <w:r>
              <w:rPr>
                <w:noProof/>
                <w:sz w:val="18"/>
              </w:rPr>
              <w:t>Плащания</w:t>
            </w:r>
          </w:p>
        </w:tc>
        <w:tc>
          <w:tcPr>
            <w:tcW w:w="653"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56,382</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84,658</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97,685</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102,053</w:t>
            </w:r>
          </w:p>
        </w:tc>
        <w:tc>
          <w:tcPr>
            <w:tcW w:w="89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rPr>
            </w:pPr>
            <w:r>
              <w:rPr>
                <w:noProof/>
                <w:sz w:val="20"/>
              </w:rPr>
              <w:t>104,886</w:t>
            </w:r>
          </w:p>
        </w:tc>
        <w:tc>
          <w:tcPr>
            <w:tcW w:w="89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rPr>
            </w:pPr>
            <w:r>
              <w:rPr>
                <w:noProof/>
                <w:sz w:val="20"/>
              </w:rPr>
              <w:t>107,981</w:t>
            </w:r>
          </w:p>
        </w:tc>
        <w:tc>
          <w:tcPr>
            <w:tcW w:w="89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rPr>
            </w:pPr>
            <w:r>
              <w:rPr>
                <w:noProof/>
                <w:sz w:val="20"/>
              </w:rPr>
              <w:t>107,853</w:t>
            </w:r>
          </w:p>
        </w:tc>
        <w:tc>
          <w:tcPr>
            <w:tcW w:w="898"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rPr>
            </w:pPr>
            <w:r>
              <w:rPr>
                <w:noProof/>
                <w:sz w:val="20"/>
              </w:rPr>
              <w:t>188,908</w:t>
            </w:r>
          </w:p>
        </w:tc>
        <w:tc>
          <w:tcPr>
            <w:tcW w:w="1775"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850,406</w:t>
            </w:r>
          </w:p>
        </w:tc>
      </w:tr>
      <w:tr>
        <w:trPr>
          <w:trHeight w:val="315"/>
        </w:trPr>
        <w:tc>
          <w:tcPr>
            <w:tcW w:w="6047"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22"/>
              </w:rPr>
            </w:pPr>
          </w:p>
        </w:tc>
        <w:tc>
          <w:tcPr>
            <w:tcW w:w="143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left"/>
              <w:rPr>
                <w:noProof/>
                <w:sz w:val="18"/>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rPr>
            </w:pPr>
          </w:p>
        </w:tc>
        <w:tc>
          <w:tcPr>
            <w:tcW w:w="86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9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rPr>
            </w:pPr>
          </w:p>
        </w:tc>
        <w:tc>
          <w:tcPr>
            <w:tcW w:w="89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rPr>
            </w:pPr>
          </w:p>
        </w:tc>
        <w:tc>
          <w:tcPr>
            <w:tcW w:w="89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rPr>
            </w:pPr>
          </w:p>
        </w:tc>
        <w:tc>
          <w:tcPr>
            <w:tcW w:w="898"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rPr>
            </w:pPr>
          </w:p>
        </w:tc>
        <w:tc>
          <w:tcPr>
            <w:tcW w:w="177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231"/>
        </w:trPr>
        <w:tc>
          <w:tcPr>
            <w:tcW w:w="6047"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left"/>
              <w:rPr>
                <w:noProof/>
                <w:sz w:val="22"/>
              </w:rPr>
            </w:pPr>
            <w:r>
              <w:rPr>
                <w:noProof/>
                <w:sz w:val="21"/>
              </w:rPr>
              <w:t>Бюджетни кредити за административни разходи, финансирани от пакета за специфични програми</w:t>
            </w:r>
            <w:r>
              <w:rPr>
                <w:rStyle w:val="FootnoteReference"/>
                <w:noProof/>
                <w:sz w:val="21"/>
              </w:rPr>
              <w:footnoteReference w:id="33"/>
            </w:r>
            <w:r>
              <w:rPr>
                <w:noProof/>
                <w:sz w:val="21"/>
              </w:rPr>
              <w:t xml:space="preserve"> </w:t>
            </w:r>
          </w:p>
          <w:p>
            <w:pPr>
              <w:spacing w:before="0" w:after="0" w:line="276" w:lineRule="auto"/>
              <w:jc w:val="left"/>
              <w:rPr>
                <w:noProof/>
                <w:sz w:val="22"/>
              </w:rPr>
            </w:pPr>
          </w:p>
        </w:tc>
        <w:tc>
          <w:tcPr>
            <w:tcW w:w="867" w:type="dxa"/>
            <w:tcBorders>
              <w:top w:val="single" w:sz="4" w:space="0" w:color="auto"/>
              <w:left w:val="single" w:sz="4" w:space="0" w:color="auto"/>
              <w:bottom w:val="single" w:sz="4" w:space="0" w:color="auto"/>
              <w:right w:val="single" w:sz="4" w:space="0" w:color="auto"/>
            </w:tcBorders>
            <w:vAlign w:val="center"/>
          </w:tcPr>
          <w:p>
            <w:pPr>
              <w:spacing w:before="0" w:after="200" w:line="276" w:lineRule="auto"/>
              <w:jc w:val="left"/>
              <w:rPr>
                <w:b/>
                <w:noProof/>
                <w:sz w:val="20"/>
              </w:rPr>
            </w:pPr>
          </w:p>
        </w:tc>
        <w:tc>
          <w:tcPr>
            <w:tcW w:w="867" w:type="dxa"/>
            <w:tcBorders>
              <w:top w:val="single" w:sz="4" w:space="0" w:color="auto"/>
              <w:left w:val="single" w:sz="4" w:space="0" w:color="auto"/>
              <w:bottom w:val="single" w:sz="4" w:space="0" w:color="auto"/>
              <w:right w:val="single" w:sz="4" w:space="0" w:color="auto"/>
            </w:tcBorders>
            <w:vAlign w:val="center"/>
          </w:tcPr>
          <w:p>
            <w:pPr>
              <w:spacing w:before="0" w:after="200" w:line="276" w:lineRule="auto"/>
              <w:jc w:val="left"/>
              <w:rPr>
                <w:b/>
                <w:noProof/>
                <w:sz w:val="20"/>
              </w:rPr>
            </w:pPr>
          </w:p>
        </w:tc>
        <w:tc>
          <w:tcPr>
            <w:tcW w:w="867" w:type="dxa"/>
            <w:tcBorders>
              <w:top w:val="single" w:sz="4" w:space="0" w:color="auto"/>
              <w:left w:val="single" w:sz="4" w:space="0" w:color="auto"/>
              <w:bottom w:val="single" w:sz="4" w:space="0" w:color="auto"/>
              <w:right w:val="single" w:sz="4" w:space="0" w:color="auto"/>
            </w:tcBorders>
            <w:vAlign w:val="center"/>
          </w:tcPr>
          <w:p>
            <w:pPr>
              <w:spacing w:before="0" w:after="200" w:line="276" w:lineRule="auto"/>
              <w:jc w:val="left"/>
              <w:rPr>
                <w:b/>
                <w:noProof/>
                <w:sz w:val="20"/>
              </w:rPr>
            </w:pPr>
          </w:p>
        </w:tc>
        <w:tc>
          <w:tcPr>
            <w:tcW w:w="867" w:type="dxa"/>
            <w:tcBorders>
              <w:top w:val="single" w:sz="4" w:space="0" w:color="auto"/>
              <w:left w:val="single" w:sz="4" w:space="0" w:color="auto"/>
              <w:bottom w:val="single" w:sz="4" w:space="0" w:color="auto"/>
              <w:right w:val="single" w:sz="4" w:space="0" w:color="auto"/>
            </w:tcBorders>
            <w:vAlign w:val="center"/>
          </w:tcPr>
          <w:p>
            <w:pPr>
              <w:spacing w:before="0" w:after="200" w:line="276" w:lineRule="auto"/>
              <w:jc w:val="left"/>
              <w:rPr>
                <w:b/>
                <w:noProof/>
                <w:sz w:val="20"/>
              </w:rPr>
            </w:pPr>
          </w:p>
        </w:tc>
        <w:tc>
          <w:tcPr>
            <w:tcW w:w="898" w:type="dxa"/>
            <w:tcBorders>
              <w:top w:val="single" w:sz="4" w:space="0" w:color="auto"/>
              <w:left w:val="single" w:sz="4" w:space="0" w:color="auto"/>
              <w:bottom w:val="single" w:sz="4" w:space="0" w:color="auto"/>
              <w:right w:val="single" w:sz="4" w:space="0" w:color="auto"/>
            </w:tcBorders>
          </w:tcPr>
          <w:p>
            <w:pPr>
              <w:spacing w:before="0" w:after="200" w:line="276" w:lineRule="auto"/>
              <w:jc w:val="left"/>
              <w:rPr>
                <w:b/>
                <w:noProof/>
                <w:sz w:val="20"/>
              </w:rPr>
            </w:pPr>
          </w:p>
        </w:tc>
        <w:tc>
          <w:tcPr>
            <w:tcW w:w="898" w:type="dxa"/>
            <w:tcBorders>
              <w:top w:val="single" w:sz="4" w:space="0" w:color="auto"/>
              <w:left w:val="single" w:sz="4" w:space="0" w:color="auto"/>
              <w:bottom w:val="single" w:sz="4" w:space="0" w:color="auto"/>
              <w:right w:val="single" w:sz="4" w:space="0" w:color="auto"/>
            </w:tcBorders>
          </w:tcPr>
          <w:p>
            <w:pPr>
              <w:spacing w:before="0" w:after="200" w:line="276" w:lineRule="auto"/>
              <w:jc w:val="left"/>
              <w:rPr>
                <w:b/>
                <w:noProof/>
                <w:sz w:val="20"/>
              </w:rPr>
            </w:pPr>
          </w:p>
        </w:tc>
        <w:tc>
          <w:tcPr>
            <w:tcW w:w="898" w:type="dxa"/>
            <w:tcBorders>
              <w:top w:val="single" w:sz="4" w:space="0" w:color="auto"/>
              <w:left w:val="single" w:sz="4" w:space="0" w:color="auto"/>
              <w:bottom w:val="single" w:sz="4" w:space="0" w:color="auto"/>
              <w:right w:val="single" w:sz="4" w:space="0" w:color="auto"/>
            </w:tcBorders>
          </w:tcPr>
          <w:p>
            <w:pPr>
              <w:spacing w:before="0" w:after="200" w:line="276" w:lineRule="auto"/>
              <w:jc w:val="left"/>
              <w:rPr>
                <w:b/>
                <w:noProof/>
                <w:sz w:val="20"/>
              </w:rPr>
            </w:pPr>
          </w:p>
        </w:tc>
        <w:tc>
          <w:tcPr>
            <w:tcW w:w="898" w:type="dxa"/>
            <w:tcBorders>
              <w:top w:val="single" w:sz="4" w:space="0" w:color="auto"/>
              <w:left w:val="single" w:sz="4" w:space="0" w:color="auto"/>
              <w:bottom w:val="single" w:sz="4" w:space="0" w:color="auto"/>
              <w:right w:val="single" w:sz="4" w:space="0" w:color="auto"/>
            </w:tcBorders>
          </w:tcPr>
          <w:p>
            <w:pPr>
              <w:spacing w:before="0" w:after="200" w:line="276" w:lineRule="auto"/>
              <w:jc w:val="left"/>
              <w:rPr>
                <w:b/>
                <w:noProof/>
                <w:sz w:val="20"/>
              </w:rPr>
            </w:pPr>
          </w:p>
        </w:tc>
        <w:tc>
          <w:tcPr>
            <w:tcW w:w="1775" w:type="dxa"/>
            <w:tcBorders>
              <w:top w:val="single" w:sz="4" w:space="0" w:color="auto"/>
              <w:left w:val="single" w:sz="4" w:space="0" w:color="auto"/>
              <w:bottom w:val="single" w:sz="4" w:space="0" w:color="auto"/>
              <w:right w:val="single" w:sz="4" w:space="0" w:color="auto"/>
            </w:tcBorders>
            <w:vAlign w:val="center"/>
          </w:tcPr>
          <w:p>
            <w:pPr>
              <w:spacing w:before="0" w:after="200" w:line="276" w:lineRule="auto"/>
              <w:jc w:val="left"/>
              <w:rPr>
                <w:b/>
                <w:noProof/>
                <w:sz w:val="20"/>
              </w:rPr>
            </w:pPr>
          </w:p>
        </w:tc>
      </w:tr>
      <w:tr>
        <w:trPr>
          <w:trHeight w:val="551"/>
        </w:trPr>
        <w:tc>
          <w:tcPr>
            <w:tcW w:w="3956"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left"/>
              <w:rPr>
                <w:noProof/>
                <w:sz w:val="22"/>
                <w:highlight w:val="green"/>
              </w:rPr>
            </w:pPr>
            <w:r>
              <w:rPr>
                <w:noProof/>
                <w:sz w:val="20"/>
              </w:rPr>
              <w:t>06.01 04 01 (Разходи за подкрепа на инструмента за техническа подкрепа — ИТП)</w:t>
            </w:r>
          </w:p>
        </w:tc>
        <w:tc>
          <w:tcPr>
            <w:tcW w:w="143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rPr>
            </w:pPr>
          </w:p>
        </w:tc>
        <w:tc>
          <w:tcPr>
            <w:tcW w:w="653"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noProof/>
                <w:sz w:val="20"/>
              </w:rPr>
            </w:pPr>
            <w:r>
              <w:rPr>
                <w:noProof/>
                <w:sz w:val="20"/>
              </w:rPr>
              <w:t>2,000</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noProof/>
                <w:sz w:val="20"/>
              </w:rPr>
            </w:pPr>
            <w:r>
              <w:rPr>
                <w:noProof/>
                <w:sz w:val="20"/>
              </w:rPr>
              <w:t>2,000</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noProof/>
                <w:sz w:val="20"/>
              </w:rPr>
            </w:pPr>
            <w:r>
              <w:rPr>
                <w:noProof/>
                <w:sz w:val="20"/>
              </w:rPr>
              <w:t>2,000</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noProof/>
                <w:sz w:val="20"/>
              </w:rPr>
            </w:pPr>
            <w:r>
              <w:rPr>
                <w:noProof/>
                <w:sz w:val="20"/>
              </w:rPr>
              <w:t>2,000</w:t>
            </w:r>
          </w:p>
        </w:tc>
        <w:tc>
          <w:tcPr>
            <w:tcW w:w="898"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noProof/>
                <w:sz w:val="20"/>
              </w:rPr>
            </w:pPr>
            <w:r>
              <w:rPr>
                <w:noProof/>
                <w:sz w:val="20"/>
              </w:rPr>
              <w:t>2,000</w:t>
            </w:r>
          </w:p>
        </w:tc>
        <w:tc>
          <w:tcPr>
            <w:tcW w:w="898"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noProof/>
                <w:sz w:val="20"/>
              </w:rPr>
            </w:pPr>
            <w:r>
              <w:rPr>
                <w:noProof/>
                <w:sz w:val="20"/>
              </w:rPr>
              <w:t>2,000</w:t>
            </w:r>
          </w:p>
        </w:tc>
        <w:tc>
          <w:tcPr>
            <w:tcW w:w="898"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noProof/>
                <w:sz w:val="20"/>
              </w:rPr>
            </w:pPr>
            <w:r>
              <w:rPr>
                <w:noProof/>
                <w:sz w:val="20"/>
              </w:rPr>
              <w:t>2,000</w:t>
            </w:r>
          </w:p>
        </w:tc>
        <w:tc>
          <w:tcPr>
            <w:tcW w:w="898"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b/>
                <w:noProof/>
                <w:sz w:val="20"/>
              </w:rPr>
            </w:pPr>
            <w:r>
              <w:rPr>
                <w:b/>
                <w:noProof/>
                <w:sz w:val="20"/>
              </w:rPr>
              <w:t>-</w:t>
            </w:r>
          </w:p>
        </w:tc>
        <w:tc>
          <w:tcPr>
            <w:tcW w:w="1775"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right"/>
              <w:rPr>
                <w:b/>
                <w:noProof/>
                <w:sz w:val="20"/>
              </w:rPr>
            </w:pPr>
            <w:r>
              <w:rPr>
                <w:b/>
                <w:noProof/>
                <w:sz w:val="20"/>
              </w:rPr>
              <w:t>14,000</w:t>
            </w:r>
          </w:p>
        </w:tc>
      </w:tr>
      <w:tr>
        <w:trPr>
          <w:trHeight w:val="570"/>
        </w:trPr>
        <w:tc>
          <w:tcPr>
            <w:tcW w:w="3956" w:type="dxa"/>
            <w:vMerge w:val="restart"/>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center"/>
              <w:rPr>
                <w:b/>
                <w:noProof/>
                <w:sz w:val="22"/>
              </w:rPr>
            </w:pPr>
            <w:r>
              <w:rPr>
                <w:b/>
                <w:noProof/>
                <w:sz w:val="22"/>
              </w:rPr>
              <w:t>ОБЩО бюджетни кредити</w:t>
            </w:r>
            <w:r>
              <w:rPr>
                <w:noProof/>
              </w:rPr>
              <w:t xml:space="preserve"> </w:t>
            </w:r>
            <w:r>
              <w:rPr>
                <w:noProof/>
              </w:rPr>
              <w:br/>
            </w:r>
            <w:r>
              <w:rPr>
                <w:b/>
                <w:noProof/>
                <w:sz w:val="22"/>
              </w:rPr>
              <w:t>за Генерална дирекция за подкрепа на структурните реформи</w:t>
            </w:r>
          </w:p>
        </w:tc>
        <w:tc>
          <w:tcPr>
            <w:tcW w:w="1438" w:type="dxa"/>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left"/>
              <w:rPr>
                <w:noProof/>
                <w:sz w:val="18"/>
              </w:rPr>
            </w:pPr>
            <w:r>
              <w:rPr>
                <w:noProof/>
                <w:sz w:val="18"/>
              </w:rPr>
              <w:t>Поети задължения</w:t>
            </w:r>
          </w:p>
        </w:tc>
        <w:tc>
          <w:tcPr>
            <w:tcW w:w="653" w:type="dxa"/>
            <w:gridSpan w:val="2"/>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center"/>
              <w:rPr>
                <w:noProof/>
                <w:sz w:val="14"/>
              </w:rPr>
            </w:pPr>
            <w:r>
              <w:rPr>
                <w:noProof/>
                <w:sz w:val="14"/>
              </w:rPr>
              <w:t>=1+1а+3</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116,364</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118,692</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121,065</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123,486</w:t>
            </w:r>
          </w:p>
        </w:tc>
        <w:tc>
          <w:tcPr>
            <w:tcW w:w="89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125,956</w:t>
            </w:r>
          </w:p>
        </w:tc>
        <w:tc>
          <w:tcPr>
            <w:tcW w:w="89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128,476</w:t>
            </w:r>
          </w:p>
        </w:tc>
        <w:tc>
          <w:tcPr>
            <w:tcW w:w="89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130,367</w:t>
            </w:r>
          </w:p>
        </w:tc>
        <w:tc>
          <w:tcPr>
            <w:tcW w:w="89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w:t>
            </w:r>
          </w:p>
        </w:tc>
        <w:tc>
          <w:tcPr>
            <w:tcW w:w="1775"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864,406</w:t>
            </w:r>
          </w:p>
        </w:tc>
      </w:tr>
      <w:tr>
        <w:trPr>
          <w:trHeight w:val="570"/>
        </w:trPr>
        <w:tc>
          <w:tcPr>
            <w:tcW w:w="6047"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sz w:val="22"/>
              </w:rPr>
            </w:pPr>
          </w:p>
        </w:tc>
        <w:tc>
          <w:tcPr>
            <w:tcW w:w="1438" w:type="dxa"/>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left"/>
              <w:rPr>
                <w:noProof/>
                <w:sz w:val="18"/>
              </w:rPr>
            </w:pPr>
            <w:r>
              <w:rPr>
                <w:noProof/>
                <w:sz w:val="18"/>
              </w:rPr>
              <w:t>Плащания</w:t>
            </w:r>
          </w:p>
        </w:tc>
        <w:tc>
          <w:tcPr>
            <w:tcW w:w="653" w:type="dxa"/>
            <w:gridSpan w:val="2"/>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center"/>
              <w:rPr>
                <w:noProof/>
                <w:sz w:val="14"/>
              </w:rPr>
            </w:pPr>
            <w:r>
              <w:rPr>
                <w:noProof/>
                <w:sz w:val="14"/>
              </w:rPr>
              <w:t>=2+2а</w:t>
            </w:r>
          </w:p>
          <w:p>
            <w:pPr>
              <w:spacing w:before="0" w:after="200" w:line="276" w:lineRule="auto"/>
              <w:jc w:val="center"/>
              <w:rPr>
                <w:noProof/>
                <w:sz w:val="14"/>
              </w:rPr>
            </w:pPr>
            <w:r>
              <w:rPr>
                <w:noProof/>
                <w:sz w:val="14"/>
              </w:rPr>
              <w:t>+3</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58,382</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86,658</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99,685</w:t>
            </w:r>
          </w:p>
        </w:tc>
        <w:tc>
          <w:tcPr>
            <w:tcW w:w="8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104,053</w:t>
            </w:r>
          </w:p>
        </w:tc>
        <w:tc>
          <w:tcPr>
            <w:tcW w:w="89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106,886</w:t>
            </w:r>
          </w:p>
        </w:tc>
        <w:tc>
          <w:tcPr>
            <w:tcW w:w="89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109,981</w:t>
            </w:r>
          </w:p>
        </w:tc>
        <w:tc>
          <w:tcPr>
            <w:tcW w:w="89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109,853</w:t>
            </w:r>
          </w:p>
        </w:tc>
        <w:tc>
          <w:tcPr>
            <w:tcW w:w="89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188,908</w:t>
            </w:r>
          </w:p>
        </w:tc>
        <w:tc>
          <w:tcPr>
            <w:tcW w:w="1775"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864,406</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sz w:val="22"/>
              </w:rPr>
            </w:pPr>
            <w:r>
              <w:rPr>
                <w:noProof/>
              </w:rPr>
              <w:br w:type="page"/>
            </w:r>
            <w:r>
              <w:rPr>
                <w:b/>
                <w:noProof/>
                <w:sz w:val="22"/>
              </w:rPr>
              <w:t xml:space="preserve">Функция от многогодишната финансова </w:t>
            </w:r>
            <w:r>
              <w:rPr>
                <w:noProof/>
              </w:rPr>
              <w:t xml:space="preserve"> </w:t>
            </w:r>
            <w:r>
              <w:rPr>
                <w:noProof/>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sz w:val="22"/>
              </w:rPr>
            </w:pPr>
            <w:r>
              <w:rPr>
                <w:b/>
                <w:noProof/>
                <w:sz w:val="22"/>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rPr>
            </w:pPr>
            <w:r>
              <w:rPr>
                <w:noProof/>
                <w:sz w:val="22"/>
              </w:rPr>
              <w:t>„Административни разходи“</w:t>
            </w:r>
          </w:p>
        </w:tc>
      </w:tr>
    </w:tbl>
    <w:p>
      <w:pPr>
        <w:jc w:val="right"/>
        <w:rPr>
          <w:noProof/>
          <w:sz w:val="20"/>
        </w:rPr>
      </w:pPr>
      <w:r>
        <w:rPr>
          <w:noProof/>
          <w:sz w:val="20"/>
        </w:rPr>
        <w:t>в млн. евро (до третия знак след десетичната запетая)</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1"/>
        <w:gridCol w:w="1611"/>
        <w:gridCol w:w="527"/>
        <w:gridCol w:w="26"/>
        <w:gridCol w:w="896"/>
        <w:gridCol w:w="13"/>
        <w:gridCol w:w="883"/>
        <w:gridCol w:w="882"/>
        <w:gridCol w:w="14"/>
        <w:gridCol w:w="896"/>
        <w:gridCol w:w="50"/>
        <w:gridCol w:w="1024"/>
        <w:gridCol w:w="1074"/>
        <w:gridCol w:w="1074"/>
        <w:gridCol w:w="1836"/>
      </w:tblGrid>
      <w:tr>
        <w:trPr>
          <w:trHeight w:val="701"/>
        </w:trPr>
        <w:tc>
          <w:tcPr>
            <w:tcW w:w="4091" w:type="dxa"/>
            <w:tcBorders>
              <w:top w:val="nil"/>
              <w:left w:val="nil"/>
              <w:bottom w:val="single" w:sz="4" w:space="0" w:color="auto"/>
              <w:right w:val="nil"/>
            </w:tcBorders>
            <w:vAlign w:val="center"/>
          </w:tcPr>
          <w:p>
            <w:pPr>
              <w:spacing w:before="0" w:after="200" w:line="276" w:lineRule="auto"/>
              <w:jc w:val="center"/>
              <w:rPr>
                <w:noProof/>
                <w:sz w:val="22"/>
              </w:rPr>
            </w:pPr>
          </w:p>
        </w:tc>
        <w:tc>
          <w:tcPr>
            <w:tcW w:w="1611" w:type="dxa"/>
            <w:tcBorders>
              <w:top w:val="nil"/>
              <w:left w:val="nil"/>
              <w:bottom w:val="single" w:sz="4" w:space="0" w:color="auto"/>
              <w:right w:val="nil"/>
            </w:tcBorders>
          </w:tcPr>
          <w:p>
            <w:pPr>
              <w:spacing w:before="0" w:after="200" w:line="276" w:lineRule="auto"/>
              <w:jc w:val="left"/>
              <w:rPr>
                <w:noProof/>
                <w:sz w:val="20"/>
              </w:rPr>
            </w:pPr>
          </w:p>
        </w:tc>
        <w:tc>
          <w:tcPr>
            <w:tcW w:w="553" w:type="dxa"/>
            <w:gridSpan w:val="2"/>
            <w:tcBorders>
              <w:top w:val="nil"/>
              <w:left w:val="nil"/>
              <w:bottom w:val="single" w:sz="4" w:space="0" w:color="auto"/>
              <w:right w:val="single" w:sz="4" w:space="0" w:color="auto"/>
            </w:tcBorders>
          </w:tcPr>
          <w:p>
            <w:pPr>
              <w:spacing w:before="0" w:after="200" w:line="276" w:lineRule="auto"/>
              <w:jc w:val="center"/>
              <w:rPr>
                <w:noProof/>
                <w:sz w:val="20"/>
              </w:rPr>
            </w:pPr>
          </w:p>
        </w:tc>
        <w:tc>
          <w:tcPr>
            <w:tcW w:w="896" w:type="dxa"/>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center"/>
              <w:rPr>
                <w:noProof/>
                <w:sz w:val="20"/>
              </w:rPr>
            </w:pPr>
            <w:r>
              <w:rPr>
                <w:noProof/>
                <w:sz w:val="20"/>
              </w:rPr>
              <w:t>Година</w:t>
            </w:r>
            <w:r>
              <w:rPr>
                <w:noProof/>
              </w:rPr>
              <w:t xml:space="preserve"> </w:t>
            </w:r>
            <w:r>
              <w:rPr>
                <w:noProof/>
              </w:rPr>
              <w:br/>
            </w:r>
            <w:r>
              <w:rPr>
                <w:b/>
                <w:noProof/>
                <w:sz w:val="20"/>
              </w:rPr>
              <w:t>2021 г.</w:t>
            </w:r>
          </w:p>
        </w:tc>
        <w:tc>
          <w:tcPr>
            <w:tcW w:w="896" w:type="dxa"/>
            <w:gridSpan w:val="2"/>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center"/>
              <w:rPr>
                <w:noProof/>
                <w:sz w:val="20"/>
              </w:rPr>
            </w:pPr>
            <w:r>
              <w:rPr>
                <w:noProof/>
                <w:sz w:val="20"/>
              </w:rPr>
              <w:t>Година</w:t>
            </w:r>
            <w:r>
              <w:rPr>
                <w:noProof/>
              </w:rPr>
              <w:t xml:space="preserve"> </w:t>
            </w:r>
            <w:r>
              <w:rPr>
                <w:noProof/>
              </w:rPr>
              <w:br/>
            </w:r>
            <w:r>
              <w:rPr>
                <w:b/>
                <w:noProof/>
                <w:sz w:val="20"/>
              </w:rPr>
              <w:t>2022 г.</w:t>
            </w:r>
          </w:p>
        </w:tc>
        <w:tc>
          <w:tcPr>
            <w:tcW w:w="896" w:type="dxa"/>
            <w:gridSpan w:val="2"/>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center"/>
              <w:rPr>
                <w:noProof/>
                <w:sz w:val="20"/>
              </w:rPr>
            </w:pPr>
            <w:r>
              <w:rPr>
                <w:noProof/>
                <w:sz w:val="20"/>
              </w:rPr>
              <w:t>Година</w:t>
            </w:r>
            <w:r>
              <w:rPr>
                <w:noProof/>
              </w:rPr>
              <w:t xml:space="preserve"> </w:t>
            </w:r>
            <w:r>
              <w:rPr>
                <w:noProof/>
              </w:rPr>
              <w:br/>
            </w:r>
            <w:r>
              <w:rPr>
                <w:b/>
                <w:noProof/>
                <w:sz w:val="20"/>
              </w:rPr>
              <w:t>2023 г.</w:t>
            </w:r>
          </w:p>
        </w:tc>
        <w:tc>
          <w:tcPr>
            <w:tcW w:w="896" w:type="dxa"/>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center"/>
              <w:rPr>
                <w:noProof/>
                <w:sz w:val="20"/>
              </w:rPr>
            </w:pPr>
            <w:r>
              <w:rPr>
                <w:noProof/>
                <w:sz w:val="20"/>
              </w:rPr>
              <w:t>Година</w:t>
            </w:r>
            <w:r>
              <w:rPr>
                <w:noProof/>
              </w:rPr>
              <w:t xml:space="preserve"> </w:t>
            </w:r>
            <w:r>
              <w:rPr>
                <w:noProof/>
              </w:rPr>
              <w:br/>
            </w:r>
            <w:r>
              <w:rPr>
                <w:b/>
                <w:noProof/>
                <w:sz w:val="20"/>
              </w:rPr>
              <w:t>2024 г.</w:t>
            </w:r>
          </w:p>
        </w:tc>
        <w:tc>
          <w:tcPr>
            <w:tcW w:w="1074" w:type="dxa"/>
            <w:gridSpan w:val="2"/>
            <w:tcBorders>
              <w:top w:val="single" w:sz="4" w:space="0" w:color="auto"/>
              <w:left w:val="single" w:sz="4" w:space="0" w:color="auto"/>
              <w:bottom w:val="single" w:sz="4" w:space="0" w:color="auto"/>
              <w:right w:val="single" w:sz="4" w:space="0" w:color="auto"/>
            </w:tcBorders>
            <w:hideMark/>
          </w:tcPr>
          <w:p>
            <w:pPr>
              <w:spacing w:before="0" w:after="200" w:line="276" w:lineRule="auto"/>
              <w:jc w:val="center"/>
              <w:rPr>
                <w:noProof/>
                <w:sz w:val="18"/>
              </w:rPr>
            </w:pPr>
            <w:r>
              <w:rPr>
                <w:noProof/>
                <w:sz w:val="20"/>
              </w:rPr>
              <w:t>Година</w:t>
            </w:r>
            <w:r>
              <w:rPr>
                <w:noProof/>
              </w:rPr>
              <w:t xml:space="preserve"> </w:t>
            </w:r>
            <w:r>
              <w:rPr>
                <w:noProof/>
              </w:rPr>
              <w:br/>
            </w:r>
            <w:r>
              <w:rPr>
                <w:b/>
                <w:noProof/>
                <w:sz w:val="20"/>
              </w:rPr>
              <w:t>2025 г.</w:t>
            </w:r>
          </w:p>
        </w:tc>
        <w:tc>
          <w:tcPr>
            <w:tcW w:w="1074" w:type="dxa"/>
            <w:tcBorders>
              <w:top w:val="single" w:sz="4" w:space="0" w:color="auto"/>
              <w:left w:val="single" w:sz="4" w:space="0" w:color="auto"/>
              <w:bottom w:val="single" w:sz="4" w:space="0" w:color="auto"/>
              <w:right w:val="single" w:sz="4" w:space="0" w:color="auto"/>
            </w:tcBorders>
            <w:hideMark/>
          </w:tcPr>
          <w:p>
            <w:pPr>
              <w:spacing w:before="0" w:after="200" w:line="276" w:lineRule="auto"/>
              <w:jc w:val="center"/>
              <w:rPr>
                <w:noProof/>
                <w:sz w:val="18"/>
              </w:rPr>
            </w:pPr>
            <w:r>
              <w:rPr>
                <w:noProof/>
                <w:sz w:val="20"/>
              </w:rPr>
              <w:t>Година</w:t>
            </w:r>
            <w:r>
              <w:rPr>
                <w:noProof/>
              </w:rPr>
              <w:t xml:space="preserve"> </w:t>
            </w:r>
            <w:r>
              <w:rPr>
                <w:noProof/>
              </w:rPr>
              <w:br/>
            </w:r>
            <w:r>
              <w:rPr>
                <w:b/>
                <w:noProof/>
                <w:sz w:val="20"/>
              </w:rPr>
              <w:t>2026 г.</w:t>
            </w:r>
          </w:p>
        </w:tc>
        <w:tc>
          <w:tcPr>
            <w:tcW w:w="1074" w:type="dxa"/>
            <w:tcBorders>
              <w:top w:val="single" w:sz="4" w:space="0" w:color="auto"/>
              <w:left w:val="single" w:sz="4" w:space="0" w:color="auto"/>
              <w:bottom w:val="single" w:sz="4" w:space="0" w:color="auto"/>
              <w:right w:val="single" w:sz="4" w:space="0" w:color="auto"/>
            </w:tcBorders>
            <w:hideMark/>
          </w:tcPr>
          <w:p>
            <w:pPr>
              <w:spacing w:before="0" w:after="200" w:line="276" w:lineRule="auto"/>
              <w:jc w:val="center"/>
              <w:rPr>
                <w:noProof/>
                <w:sz w:val="18"/>
              </w:rPr>
            </w:pPr>
            <w:r>
              <w:rPr>
                <w:noProof/>
                <w:sz w:val="20"/>
              </w:rPr>
              <w:t>Година</w:t>
            </w:r>
            <w:r>
              <w:rPr>
                <w:noProof/>
              </w:rPr>
              <w:t xml:space="preserve"> </w:t>
            </w:r>
            <w:r>
              <w:rPr>
                <w:noProof/>
              </w:rPr>
              <w:br/>
            </w:r>
            <w:r>
              <w:rPr>
                <w:b/>
                <w:noProof/>
                <w:sz w:val="20"/>
              </w:rPr>
              <w:t>2027 г.</w:t>
            </w:r>
          </w:p>
        </w:tc>
        <w:tc>
          <w:tcPr>
            <w:tcW w:w="1836" w:type="dxa"/>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center"/>
              <w:rPr>
                <w:b/>
                <w:noProof/>
                <w:sz w:val="20"/>
              </w:rPr>
            </w:pPr>
            <w:r>
              <w:rPr>
                <w:b/>
                <w:noProof/>
                <w:sz w:val="20"/>
              </w:rPr>
              <w:t>ОБЩО</w:t>
            </w:r>
          </w:p>
        </w:tc>
      </w:tr>
      <w:tr>
        <w:trPr>
          <w:gridAfter w:val="4"/>
          <w:wAfter w:w="5008" w:type="dxa"/>
          <w:trHeight w:val="394"/>
        </w:trPr>
        <w:tc>
          <w:tcPr>
            <w:tcW w:w="4091"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2"/>
              </w:rPr>
              <w:t>ГД: Генерална дирекция за подкрепа на структурните реформи</w:t>
            </w:r>
          </w:p>
        </w:tc>
        <w:tc>
          <w:tcPr>
            <w:tcW w:w="2138" w:type="dxa"/>
            <w:gridSpan w:val="2"/>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2"/>
              </w:rPr>
            </w:pPr>
          </w:p>
        </w:tc>
        <w:tc>
          <w:tcPr>
            <w:tcW w:w="935" w:type="dxa"/>
            <w:gridSpan w:val="3"/>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1765" w:type="dxa"/>
            <w:gridSpan w:val="2"/>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2"/>
              </w:rPr>
            </w:pPr>
          </w:p>
        </w:tc>
        <w:tc>
          <w:tcPr>
            <w:tcW w:w="960" w:type="dxa"/>
            <w:gridSpan w:val="3"/>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2"/>
              </w:rPr>
            </w:pPr>
          </w:p>
        </w:tc>
      </w:tr>
      <w:tr>
        <w:trPr>
          <w:trHeight w:val="305"/>
        </w:trPr>
        <w:tc>
          <w:tcPr>
            <w:tcW w:w="6255"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noProof/>
                <w:sz w:val="22"/>
              </w:rPr>
            </w:pPr>
            <w:r>
              <w:rPr>
                <w:noProof/>
                <w:sz w:val="22"/>
              </w:rPr>
              <w:sym w:font="Wingdings" w:char="F09F"/>
            </w:r>
            <w:r>
              <w:rPr>
                <w:noProof/>
                <w:sz w:val="22"/>
              </w:rPr>
              <w:t xml:space="preserve"> Човешки ресурси </w:t>
            </w:r>
          </w:p>
        </w:tc>
        <w:tc>
          <w:tcPr>
            <w:tcW w:w="89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29,890</w:t>
            </w:r>
          </w:p>
        </w:tc>
        <w:tc>
          <w:tcPr>
            <w:tcW w:w="896"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31,945</w:t>
            </w:r>
          </w:p>
        </w:tc>
        <w:tc>
          <w:tcPr>
            <w:tcW w:w="896"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31,945</w:t>
            </w:r>
          </w:p>
        </w:tc>
        <w:tc>
          <w:tcPr>
            <w:tcW w:w="89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31,945</w:t>
            </w:r>
          </w:p>
        </w:tc>
        <w:tc>
          <w:tcPr>
            <w:tcW w:w="1074" w:type="dxa"/>
            <w:gridSpan w:val="2"/>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rPr>
            </w:pPr>
            <w:r>
              <w:rPr>
                <w:noProof/>
                <w:sz w:val="20"/>
              </w:rPr>
              <w:t>31,945</w:t>
            </w:r>
          </w:p>
        </w:tc>
        <w:tc>
          <w:tcPr>
            <w:tcW w:w="1074"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rPr>
            </w:pPr>
            <w:r>
              <w:rPr>
                <w:noProof/>
                <w:sz w:val="20"/>
              </w:rPr>
              <w:t>31,945</w:t>
            </w:r>
          </w:p>
        </w:tc>
        <w:tc>
          <w:tcPr>
            <w:tcW w:w="1074"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rPr>
            </w:pPr>
            <w:r>
              <w:rPr>
                <w:noProof/>
                <w:sz w:val="20"/>
              </w:rPr>
              <w:t>31,945</w:t>
            </w:r>
          </w:p>
        </w:tc>
        <w:tc>
          <w:tcPr>
            <w:tcW w:w="183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221,560</w:t>
            </w:r>
          </w:p>
        </w:tc>
      </w:tr>
      <w:tr>
        <w:trPr>
          <w:trHeight w:val="342"/>
        </w:trPr>
        <w:tc>
          <w:tcPr>
            <w:tcW w:w="6255"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noProof/>
                <w:sz w:val="22"/>
              </w:rPr>
            </w:pPr>
            <w:r>
              <w:rPr>
                <w:noProof/>
                <w:sz w:val="22"/>
              </w:rPr>
              <w:sym w:font="Wingdings" w:char="F09F"/>
            </w:r>
            <w:r>
              <w:rPr>
                <w:noProof/>
                <w:sz w:val="22"/>
              </w:rPr>
              <w:t xml:space="preserve"> Други административни разходи </w:t>
            </w:r>
          </w:p>
        </w:tc>
        <w:tc>
          <w:tcPr>
            <w:tcW w:w="89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1,400</w:t>
            </w:r>
          </w:p>
        </w:tc>
        <w:tc>
          <w:tcPr>
            <w:tcW w:w="896"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1,655</w:t>
            </w:r>
          </w:p>
        </w:tc>
        <w:tc>
          <w:tcPr>
            <w:tcW w:w="896"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1,695</w:t>
            </w:r>
          </w:p>
        </w:tc>
        <w:tc>
          <w:tcPr>
            <w:tcW w:w="89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1,695</w:t>
            </w:r>
          </w:p>
        </w:tc>
        <w:tc>
          <w:tcPr>
            <w:tcW w:w="1074" w:type="dxa"/>
            <w:gridSpan w:val="2"/>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rPr>
            </w:pPr>
            <w:r>
              <w:rPr>
                <w:noProof/>
                <w:sz w:val="20"/>
              </w:rPr>
              <w:t>1,695</w:t>
            </w:r>
          </w:p>
        </w:tc>
        <w:tc>
          <w:tcPr>
            <w:tcW w:w="1074"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rPr>
            </w:pPr>
            <w:r>
              <w:rPr>
                <w:noProof/>
                <w:sz w:val="20"/>
              </w:rPr>
              <w:t>1,695</w:t>
            </w:r>
          </w:p>
        </w:tc>
        <w:tc>
          <w:tcPr>
            <w:tcW w:w="1074" w:type="dxa"/>
            <w:tcBorders>
              <w:top w:val="single" w:sz="4" w:space="0" w:color="auto"/>
              <w:left w:val="single" w:sz="4" w:space="0" w:color="auto"/>
              <w:bottom w:val="single" w:sz="4" w:space="0" w:color="auto"/>
              <w:right w:val="single" w:sz="4" w:space="0" w:color="auto"/>
            </w:tcBorders>
            <w:hideMark/>
          </w:tcPr>
          <w:p>
            <w:pPr>
              <w:spacing w:before="20" w:after="20" w:line="276" w:lineRule="auto"/>
              <w:jc w:val="right"/>
              <w:rPr>
                <w:noProof/>
                <w:sz w:val="20"/>
              </w:rPr>
            </w:pPr>
            <w:r>
              <w:rPr>
                <w:noProof/>
                <w:sz w:val="20"/>
              </w:rPr>
              <w:t>1,695</w:t>
            </w:r>
          </w:p>
        </w:tc>
        <w:tc>
          <w:tcPr>
            <w:tcW w:w="183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11,530</w:t>
            </w:r>
          </w:p>
        </w:tc>
      </w:tr>
      <w:tr>
        <w:trPr>
          <w:trHeight w:val="467"/>
        </w:trPr>
        <w:tc>
          <w:tcPr>
            <w:tcW w:w="4091" w:type="dxa"/>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center"/>
              <w:rPr>
                <w:b/>
                <w:noProof/>
                <w:sz w:val="22"/>
              </w:rPr>
            </w:pPr>
            <w:r>
              <w:rPr>
                <w:b/>
                <w:noProof/>
                <w:sz w:val="22"/>
              </w:rPr>
              <w:t>ОБЩО</w:t>
            </w:r>
            <w:r>
              <w:rPr>
                <w:noProof/>
                <w:sz w:val="22"/>
              </w:rPr>
              <w:t xml:space="preserve"> ГЕНЕРАЛНА ДИРЕКЦИЯ ЗА ПОДКРЕПА НА СТРУКТУРНИТЕ РЕФОРМИ</w:t>
            </w:r>
          </w:p>
        </w:tc>
        <w:tc>
          <w:tcPr>
            <w:tcW w:w="2164" w:type="dxa"/>
            <w:gridSpan w:val="3"/>
            <w:tcBorders>
              <w:top w:val="single" w:sz="4" w:space="0" w:color="auto"/>
              <w:left w:val="single" w:sz="4" w:space="0" w:color="auto"/>
              <w:bottom w:val="single" w:sz="4" w:space="0" w:color="auto"/>
              <w:right w:val="single" w:sz="4" w:space="0" w:color="auto"/>
            </w:tcBorders>
            <w:vAlign w:val="center"/>
            <w:hideMark/>
          </w:tcPr>
          <w:p>
            <w:pPr>
              <w:spacing w:before="0" w:after="200" w:line="276" w:lineRule="auto"/>
              <w:jc w:val="left"/>
              <w:rPr>
                <w:noProof/>
                <w:sz w:val="14"/>
              </w:rPr>
            </w:pPr>
            <w:r>
              <w:rPr>
                <w:noProof/>
                <w:sz w:val="18"/>
              </w:rPr>
              <w:t xml:space="preserve">Бюджетни кредити </w:t>
            </w:r>
          </w:p>
        </w:tc>
        <w:tc>
          <w:tcPr>
            <w:tcW w:w="896"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31,290</w:t>
            </w:r>
          </w:p>
        </w:tc>
        <w:tc>
          <w:tcPr>
            <w:tcW w:w="896"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33,600</w:t>
            </w:r>
          </w:p>
        </w:tc>
        <w:tc>
          <w:tcPr>
            <w:tcW w:w="896"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33,640</w:t>
            </w:r>
          </w:p>
        </w:tc>
        <w:tc>
          <w:tcPr>
            <w:tcW w:w="89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33,640</w:t>
            </w:r>
          </w:p>
        </w:tc>
        <w:tc>
          <w:tcPr>
            <w:tcW w:w="1074" w:type="dxa"/>
            <w:gridSpan w:val="2"/>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rPr>
            </w:pPr>
          </w:p>
          <w:p>
            <w:pPr>
              <w:spacing w:before="20" w:after="20" w:line="276" w:lineRule="auto"/>
              <w:jc w:val="right"/>
              <w:rPr>
                <w:noProof/>
                <w:sz w:val="20"/>
              </w:rPr>
            </w:pPr>
            <w:r>
              <w:rPr>
                <w:noProof/>
                <w:sz w:val="20"/>
              </w:rPr>
              <w:t>33,640</w:t>
            </w:r>
          </w:p>
        </w:tc>
        <w:tc>
          <w:tcPr>
            <w:tcW w:w="1074"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rPr>
            </w:pPr>
          </w:p>
          <w:p>
            <w:pPr>
              <w:spacing w:before="20" w:after="20" w:line="276" w:lineRule="auto"/>
              <w:jc w:val="right"/>
              <w:rPr>
                <w:noProof/>
                <w:sz w:val="20"/>
              </w:rPr>
            </w:pPr>
            <w:r>
              <w:rPr>
                <w:noProof/>
                <w:sz w:val="20"/>
              </w:rPr>
              <w:t>33,640</w:t>
            </w:r>
          </w:p>
        </w:tc>
        <w:tc>
          <w:tcPr>
            <w:tcW w:w="1074"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noProof/>
                <w:sz w:val="20"/>
              </w:rPr>
            </w:pPr>
          </w:p>
          <w:p>
            <w:pPr>
              <w:spacing w:before="20" w:after="20" w:line="276" w:lineRule="auto"/>
              <w:jc w:val="right"/>
              <w:rPr>
                <w:noProof/>
                <w:sz w:val="20"/>
              </w:rPr>
            </w:pPr>
            <w:r>
              <w:rPr>
                <w:noProof/>
                <w:sz w:val="20"/>
              </w:rPr>
              <w:t>33,640</w:t>
            </w:r>
          </w:p>
        </w:tc>
        <w:tc>
          <w:tcPr>
            <w:tcW w:w="183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233,090</w:t>
            </w:r>
          </w:p>
        </w:tc>
      </w:tr>
    </w:tbl>
    <w:p>
      <w:pPr>
        <w:rPr>
          <w:noProof/>
        </w:rPr>
      </w:pP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9"/>
        <w:gridCol w:w="2157"/>
        <w:gridCol w:w="894"/>
        <w:gridCol w:w="894"/>
        <w:gridCol w:w="894"/>
        <w:gridCol w:w="894"/>
        <w:gridCol w:w="1071"/>
        <w:gridCol w:w="1022"/>
        <w:gridCol w:w="1168"/>
        <w:gridCol w:w="1752"/>
      </w:tblGrid>
      <w:tr>
        <w:trPr>
          <w:trHeight w:val="1065"/>
        </w:trPr>
        <w:tc>
          <w:tcPr>
            <w:tcW w:w="4079"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b/>
                <w:noProof/>
                <w:sz w:val="22"/>
              </w:rPr>
            </w:pPr>
            <w:r>
              <w:rPr>
                <w:b/>
                <w:noProof/>
                <w:sz w:val="22"/>
              </w:rPr>
              <w:t>ОБЩО бюджетни кредити</w:t>
            </w:r>
            <w:r>
              <w:rPr>
                <w:noProof/>
              </w:rPr>
              <w:t xml:space="preserve"> </w:t>
            </w:r>
            <w:r>
              <w:rPr>
                <w:noProof/>
              </w:rPr>
              <w:br/>
            </w:r>
            <w:r>
              <w:rPr>
                <w:b/>
                <w:noProof/>
                <w:sz w:val="22"/>
              </w:rPr>
              <w:t>по ФУНКЦИЯ 7</w:t>
            </w:r>
            <w:r>
              <w:rPr>
                <w:noProof/>
              </w:rPr>
              <w:t xml:space="preserve"> </w:t>
            </w:r>
            <w:r>
              <w:rPr>
                <w:noProof/>
              </w:rPr>
              <w:br/>
            </w:r>
            <w:r>
              <w:rPr>
                <w:noProof/>
                <w:sz w:val="22"/>
              </w:rPr>
              <w:t>от многогодишната финансова рамка</w:t>
            </w:r>
            <w:r>
              <w:rPr>
                <w:b/>
                <w:noProof/>
                <w:sz w:val="22"/>
              </w:rPr>
              <w:t xml:space="preserve"> </w:t>
            </w:r>
          </w:p>
        </w:tc>
        <w:tc>
          <w:tcPr>
            <w:tcW w:w="2157"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22"/>
              </w:rPr>
            </w:pPr>
            <w:r>
              <w:rPr>
                <w:noProof/>
                <w:sz w:val="18"/>
              </w:rPr>
              <w:t>(Общо поети задължения = Общо плащания)</w:t>
            </w:r>
          </w:p>
        </w:tc>
        <w:tc>
          <w:tcPr>
            <w:tcW w:w="89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31,290</w:t>
            </w:r>
          </w:p>
        </w:tc>
        <w:tc>
          <w:tcPr>
            <w:tcW w:w="89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33,600</w:t>
            </w:r>
          </w:p>
        </w:tc>
        <w:tc>
          <w:tcPr>
            <w:tcW w:w="89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33,640</w:t>
            </w:r>
          </w:p>
        </w:tc>
        <w:tc>
          <w:tcPr>
            <w:tcW w:w="894"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33,640</w:t>
            </w:r>
          </w:p>
        </w:tc>
        <w:tc>
          <w:tcPr>
            <w:tcW w:w="107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33,640</w:t>
            </w:r>
          </w:p>
        </w:tc>
        <w:tc>
          <w:tcPr>
            <w:tcW w:w="102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33,640</w:t>
            </w:r>
          </w:p>
        </w:tc>
        <w:tc>
          <w:tcPr>
            <w:tcW w:w="11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33,640</w:t>
            </w:r>
          </w:p>
        </w:tc>
        <w:tc>
          <w:tcPr>
            <w:tcW w:w="175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233,090</w:t>
            </w:r>
          </w:p>
        </w:tc>
      </w:tr>
    </w:tbl>
    <w:p>
      <w:pPr>
        <w:jc w:val="right"/>
        <w:rPr>
          <w:noProof/>
          <w:sz w:val="20"/>
        </w:rPr>
      </w:pPr>
      <w:r>
        <w:rPr>
          <w:noProof/>
          <w:sz w:val="20"/>
        </w:rPr>
        <w:t>в млн. евро (до третия знак след десетичната запетая)</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8"/>
        <w:gridCol w:w="1560"/>
        <w:gridCol w:w="534"/>
        <w:gridCol w:w="868"/>
        <w:gridCol w:w="868"/>
        <w:gridCol w:w="868"/>
        <w:gridCol w:w="868"/>
        <w:gridCol w:w="868"/>
        <w:gridCol w:w="868"/>
        <w:gridCol w:w="868"/>
        <w:gridCol w:w="870"/>
        <w:gridCol w:w="1777"/>
      </w:tblGrid>
      <w:tr>
        <w:tc>
          <w:tcPr>
            <w:tcW w:w="3958" w:type="dxa"/>
            <w:tcBorders>
              <w:top w:val="nil"/>
              <w:left w:val="nil"/>
              <w:bottom w:val="single" w:sz="4" w:space="0" w:color="auto"/>
              <w:right w:val="nil"/>
            </w:tcBorders>
            <w:vAlign w:val="center"/>
          </w:tcPr>
          <w:p>
            <w:pPr>
              <w:spacing w:line="276" w:lineRule="auto"/>
              <w:jc w:val="center"/>
              <w:rPr>
                <w:noProof/>
                <w:sz w:val="22"/>
              </w:rPr>
            </w:pPr>
          </w:p>
        </w:tc>
        <w:tc>
          <w:tcPr>
            <w:tcW w:w="1560" w:type="dxa"/>
            <w:tcBorders>
              <w:top w:val="nil"/>
              <w:left w:val="nil"/>
              <w:bottom w:val="single" w:sz="4" w:space="0" w:color="auto"/>
              <w:right w:val="nil"/>
            </w:tcBorders>
          </w:tcPr>
          <w:p>
            <w:pPr>
              <w:spacing w:line="276" w:lineRule="auto"/>
              <w:rPr>
                <w:noProof/>
                <w:sz w:val="20"/>
              </w:rPr>
            </w:pPr>
          </w:p>
        </w:tc>
        <w:tc>
          <w:tcPr>
            <w:tcW w:w="534" w:type="dxa"/>
            <w:tcBorders>
              <w:top w:val="nil"/>
              <w:left w:val="nil"/>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2022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2023 г.</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20"/>
              </w:rPr>
            </w:pPr>
            <w:r>
              <w:rPr>
                <w:noProof/>
                <w:sz w:val="20"/>
              </w:rPr>
              <w:t>Година</w:t>
            </w:r>
            <w:r>
              <w:rPr>
                <w:noProof/>
              </w:rPr>
              <w:t xml:space="preserve"> </w:t>
            </w:r>
            <w:r>
              <w:rPr>
                <w:noProof/>
              </w:rPr>
              <w:br/>
            </w:r>
            <w:r>
              <w:rPr>
                <w:b/>
                <w:noProof/>
                <w:sz w:val="20"/>
              </w:rPr>
              <w:t>2024 г.</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20"/>
              </w:rPr>
            </w:pPr>
            <w:r>
              <w:rPr>
                <w:noProof/>
                <w:sz w:val="20"/>
              </w:rPr>
              <w:t>Година</w:t>
            </w:r>
            <w:r>
              <w:rPr>
                <w:noProof/>
              </w:rPr>
              <w:t xml:space="preserve"> </w:t>
            </w:r>
            <w:r>
              <w:rPr>
                <w:noProof/>
              </w:rPr>
              <w:br/>
            </w:r>
            <w:r>
              <w:rPr>
                <w:b/>
                <w:noProof/>
                <w:sz w:val="20"/>
              </w:rPr>
              <w:t>2025 г.</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20"/>
              </w:rPr>
            </w:pPr>
            <w:r>
              <w:rPr>
                <w:noProof/>
                <w:sz w:val="20"/>
              </w:rPr>
              <w:t>Година</w:t>
            </w:r>
            <w:r>
              <w:rPr>
                <w:noProof/>
              </w:rPr>
              <w:t xml:space="preserve"> </w:t>
            </w:r>
            <w:r>
              <w:rPr>
                <w:noProof/>
              </w:rPr>
              <w:br/>
            </w:r>
            <w:r>
              <w:rPr>
                <w:b/>
                <w:noProof/>
                <w:sz w:val="20"/>
              </w:rPr>
              <w:t>2026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2027 г.</w:t>
            </w:r>
          </w:p>
        </w:tc>
        <w:tc>
          <w:tcPr>
            <w:tcW w:w="87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След 2027 г.</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ОБЩО</w:t>
            </w:r>
          </w:p>
        </w:tc>
      </w:tr>
      <w:tr>
        <w:tc>
          <w:tcPr>
            <w:tcW w:w="3958"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sz w:val="22"/>
              </w:rPr>
            </w:pPr>
            <w:r>
              <w:rPr>
                <w:b/>
                <w:noProof/>
                <w:sz w:val="22"/>
              </w:rPr>
              <w:t xml:space="preserve">ОБЩО бюджетни кредити </w:t>
            </w:r>
            <w:r>
              <w:rPr>
                <w:noProof/>
              </w:rPr>
              <w:t xml:space="preserve"> </w:t>
            </w:r>
            <w:r>
              <w:rPr>
                <w:noProof/>
              </w:rPr>
              <w:br/>
            </w:r>
            <w:r>
              <w:rPr>
                <w:b/>
                <w:noProof/>
                <w:sz w:val="22"/>
              </w:rPr>
              <w:t>по ФУНКЦИИ 1 — 7</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Поети задължения</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rPr>
            </w:pPr>
            <w:r>
              <w:rPr>
                <w:noProof/>
                <w:sz w:val="20"/>
              </w:rPr>
              <w:t>154,720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rPr>
            </w:pPr>
            <w:r>
              <w:rPr>
                <w:noProof/>
                <w:sz w:val="20"/>
              </w:rPr>
              <w:t>157,030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rPr>
            </w:pPr>
            <w:r>
              <w:rPr>
                <w:noProof/>
                <w:sz w:val="20"/>
              </w:rPr>
              <w:t>157,070</w:t>
            </w:r>
          </w:p>
        </w:tc>
        <w:tc>
          <w:tcPr>
            <w:tcW w:w="868" w:type="dxa"/>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rPr>
            </w:pPr>
            <w:r>
              <w:rPr>
                <w:noProof/>
                <w:sz w:val="20"/>
              </w:rPr>
              <w:t>157,070</w:t>
            </w:r>
          </w:p>
        </w:tc>
        <w:tc>
          <w:tcPr>
            <w:tcW w:w="868" w:type="dxa"/>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rPr>
            </w:pPr>
            <w:r>
              <w:rPr>
                <w:noProof/>
                <w:sz w:val="20"/>
              </w:rPr>
              <w:t>157,070</w:t>
            </w:r>
          </w:p>
        </w:tc>
        <w:tc>
          <w:tcPr>
            <w:tcW w:w="868" w:type="dxa"/>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rPr>
            </w:pPr>
            <w:r>
              <w:rPr>
                <w:noProof/>
                <w:sz w:val="20"/>
              </w:rPr>
              <w:t>157,070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rPr>
            </w:pPr>
            <w:r>
              <w:rPr>
                <w:noProof/>
                <w:sz w:val="20"/>
              </w:rPr>
              <w:t>156,060</w:t>
            </w:r>
          </w:p>
        </w:tc>
        <w:tc>
          <w:tcPr>
            <w:tcW w:w="87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rPr>
            </w:pPr>
            <w:r>
              <w:rPr>
                <w:noProof/>
                <w:sz w:val="20"/>
              </w:rPr>
              <w:t>0,000</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b/>
                <w:noProof/>
                <w:sz w:val="20"/>
              </w:rPr>
            </w:pPr>
            <w:r>
              <w:rPr>
                <w:b/>
                <w:noProof/>
                <w:sz w:val="20"/>
              </w:rPr>
              <w:t>1 096,090</w:t>
            </w:r>
          </w:p>
        </w:tc>
      </w:tr>
      <w:tr>
        <w:tc>
          <w:tcPr>
            <w:tcW w:w="3958"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sz w:val="22"/>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Плащания</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rPr>
            </w:pPr>
            <w:r>
              <w:rPr>
                <w:noProof/>
                <w:sz w:val="20"/>
              </w:rPr>
              <w:t>75,791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rPr>
            </w:pPr>
            <w:r>
              <w:rPr>
                <w:noProof/>
                <w:sz w:val="20"/>
              </w:rPr>
              <w:t>126,065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rPr>
            </w:pPr>
            <w:r>
              <w:rPr>
                <w:noProof/>
                <w:sz w:val="20"/>
              </w:rPr>
              <w:t>150,999</w:t>
            </w:r>
          </w:p>
        </w:tc>
        <w:tc>
          <w:tcPr>
            <w:tcW w:w="868" w:type="dxa"/>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rPr>
            </w:pPr>
            <w:r>
              <w:rPr>
                <w:noProof/>
                <w:sz w:val="20"/>
              </w:rPr>
              <w:t>157,070</w:t>
            </w:r>
          </w:p>
        </w:tc>
        <w:tc>
          <w:tcPr>
            <w:tcW w:w="868" w:type="dxa"/>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rPr>
            </w:pPr>
            <w:r>
              <w:rPr>
                <w:noProof/>
                <w:sz w:val="20"/>
              </w:rPr>
              <w:t>157,070</w:t>
            </w:r>
          </w:p>
        </w:tc>
        <w:tc>
          <w:tcPr>
            <w:tcW w:w="868" w:type="dxa"/>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rPr>
            </w:pPr>
            <w:r>
              <w:rPr>
                <w:noProof/>
                <w:sz w:val="20"/>
              </w:rPr>
              <w:t>157,070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rPr>
            </w:pPr>
            <w:r>
              <w:rPr>
                <w:noProof/>
                <w:sz w:val="20"/>
              </w:rPr>
              <w:t>157,070</w:t>
            </w:r>
          </w:p>
        </w:tc>
        <w:tc>
          <w:tcPr>
            <w:tcW w:w="87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rPr>
            </w:pPr>
            <w:r>
              <w:rPr>
                <w:noProof/>
                <w:sz w:val="20"/>
              </w:rPr>
              <w:t>114,955</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b/>
                <w:noProof/>
                <w:sz w:val="20"/>
              </w:rPr>
            </w:pPr>
            <w:r>
              <w:rPr>
                <w:b/>
                <w:noProof/>
                <w:sz w:val="20"/>
              </w:rPr>
              <w:t>1 096,090</w:t>
            </w:r>
          </w:p>
        </w:tc>
      </w:tr>
    </w:tbl>
    <w:p>
      <w:pPr>
        <w:spacing w:before="0" w:after="0"/>
        <w:jc w:val="left"/>
        <w:rPr>
          <w:noProof/>
        </w:rPr>
        <w:sectPr>
          <w:headerReference w:type="default" r:id="rId16"/>
          <w:footerReference w:type="default" r:id="rId17"/>
          <w:headerReference w:type="first" r:id="rId18"/>
          <w:footerReference w:type="first" r:id="rId19"/>
          <w:pgSz w:w="16840" w:h="11907" w:orient="landscape"/>
          <w:pgMar w:top="1134" w:right="1418" w:bottom="567" w:left="1418" w:header="709" w:footer="709" w:gutter="0"/>
          <w:cols w:space="720"/>
          <w:docGrid w:linePitch="326"/>
        </w:sectPr>
      </w:pPr>
    </w:p>
    <w:p>
      <w:pPr>
        <w:pStyle w:val="ManualHeading3"/>
        <w:rPr>
          <w:bCs/>
          <w:noProof/>
          <w:szCs w:val="24"/>
        </w:rPr>
      </w:pPr>
      <w:r>
        <w:rPr>
          <w:noProof/>
        </w:rPr>
        <w:t>3.2.2.</w:t>
      </w:r>
      <w:r>
        <w:rPr>
          <w:noProof/>
        </w:rPr>
        <w:tab/>
        <w:t>Очаквано отражение върху бюджетните кредити за административни разходи</w:t>
      </w:r>
    </w:p>
    <w:p>
      <w:pPr>
        <w:pStyle w:val="ManualHeading4"/>
        <w:rPr>
          <w:noProof/>
        </w:rPr>
      </w:pPr>
      <w:r>
        <w:rPr>
          <w:noProof/>
        </w:rPr>
        <w:t>3.2.2.1.</w:t>
      </w:r>
      <w:r>
        <w:rPr>
          <w:noProof/>
        </w:rPr>
        <w:tab/>
        <w:t xml:space="preserve">Резюме </w:t>
      </w:r>
    </w:p>
    <w:p>
      <w:pPr>
        <w:pStyle w:val="ListDash1"/>
        <w:numPr>
          <w:ilvl w:val="0"/>
          <w:numId w:val="33"/>
        </w:numPr>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numPr>
          <w:ilvl w:val="0"/>
          <w:numId w:val="33"/>
        </w:numPr>
        <w:rPr>
          <w:noProof/>
        </w:rPr>
      </w:pPr>
      <w:r>
        <w:rPr>
          <w:b/>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в млн. евро (до третия знак след десетичната запетая)</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00" w:lineRule="exact"/>
              <w:jc w:val="lef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2021 г.</w:t>
            </w:r>
            <w:r>
              <w:rPr>
                <w:rStyle w:val="FootnoteReference"/>
                <w:b/>
                <w:noProof/>
                <w:sz w:val="16"/>
              </w:rPr>
              <w:footnoteReference w:id="34"/>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2022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2023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2024 г.</w:t>
            </w:r>
          </w:p>
        </w:tc>
        <w:tc>
          <w:tcPr>
            <w:tcW w:w="1080" w:type="dxa"/>
            <w:tcBorders>
              <w:top w:val="single" w:sz="2" w:space="0" w:color="auto"/>
              <w:left w:val="single" w:sz="2" w:space="0" w:color="auto"/>
              <w:bottom w:val="single" w:sz="2" w:space="0" w:color="auto"/>
              <w:right w:val="single" w:sz="2" w:space="0" w:color="auto"/>
            </w:tcBorders>
            <w:hideMark/>
          </w:tcPr>
          <w:p>
            <w:pPr>
              <w:spacing w:before="60" w:after="60" w:line="200" w:lineRule="exact"/>
              <w:jc w:val="center"/>
              <w:rPr>
                <w:b/>
                <w:noProof/>
                <w:sz w:val="16"/>
              </w:rPr>
            </w:pPr>
            <w:r>
              <w:rPr>
                <w:noProof/>
                <w:sz w:val="16"/>
              </w:rPr>
              <w:t>Година</w:t>
            </w:r>
            <w:r>
              <w:rPr>
                <w:noProof/>
              </w:rPr>
              <w:t xml:space="preserve"> </w:t>
            </w:r>
            <w:r>
              <w:rPr>
                <w:noProof/>
              </w:rPr>
              <w:br/>
            </w:r>
            <w:r>
              <w:rPr>
                <w:b/>
                <w:noProof/>
                <w:sz w:val="16"/>
              </w:rPr>
              <w:t>2025 г.</w:t>
            </w:r>
          </w:p>
        </w:tc>
        <w:tc>
          <w:tcPr>
            <w:tcW w:w="1080" w:type="dxa"/>
            <w:tcBorders>
              <w:top w:val="single" w:sz="2" w:space="0" w:color="auto"/>
              <w:left w:val="single" w:sz="2" w:space="0" w:color="auto"/>
              <w:bottom w:val="single" w:sz="2" w:space="0" w:color="auto"/>
              <w:right w:val="single" w:sz="2" w:space="0" w:color="auto"/>
            </w:tcBorders>
            <w:hideMark/>
          </w:tcPr>
          <w:p>
            <w:pPr>
              <w:spacing w:before="60" w:after="60" w:line="200" w:lineRule="exact"/>
              <w:jc w:val="center"/>
              <w:rPr>
                <w:b/>
                <w:noProof/>
                <w:sz w:val="16"/>
              </w:rPr>
            </w:pPr>
            <w:r>
              <w:rPr>
                <w:noProof/>
                <w:sz w:val="16"/>
              </w:rPr>
              <w:t>Година</w:t>
            </w:r>
            <w:r>
              <w:rPr>
                <w:noProof/>
              </w:rPr>
              <w:t xml:space="preserve"> </w:t>
            </w:r>
            <w:r>
              <w:rPr>
                <w:noProof/>
              </w:rPr>
              <w:br/>
            </w:r>
            <w:r>
              <w:rPr>
                <w:b/>
                <w:noProof/>
                <w:sz w:val="16"/>
              </w:rPr>
              <w:t>2026 г.</w:t>
            </w:r>
          </w:p>
        </w:tc>
        <w:tc>
          <w:tcPr>
            <w:tcW w:w="1080" w:type="dxa"/>
            <w:tcBorders>
              <w:top w:val="single" w:sz="2" w:space="0" w:color="auto"/>
              <w:left w:val="single" w:sz="2" w:space="0" w:color="auto"/>
              <w:bottom w:val="single" w:sz="2" w:space="0" w:color="auto"/>
              <w:right w:val="single" w:sz="2" w:space="0" w:color="auto"/>
            </w:tcBorders>
            <w:hideMark/>
          </w:tcPr>
          <w:p>
            <w:pPr>
              <w:spacing w:before="60" w:after="60" w:line="200" w:lineRule="exact"/>
              <w:jc w:val="center"/>
              <w:rPr>
                <w:b/>
                <w:noProof/>
                <w:sz w:val="16"/>
              </w:rPr>
            </w:pPr>
            <w:r>
              <w:rPr>
                <w:noProof/>
                <w:sz w:val="16"/>
              </w:rPr>
              <w:t>Година</w:t>
            </w:r>
            <w:r>
              <w:rPr>
                <w:noProof/>
              </w:rPr>
              <w:t xml:space="preserve"> </w:t>
            </w:r>
            <w:r>
              <w:rPr>
                <w:noProof/>
              </w:rPr>
              <w:br/>
            </w:r>
            <w:r>
              <w:rPr>
                <w:b/>
                <w:noProof/>
                <w:sz w:val="16"/>
              </w:rPr>
              <w:t>2027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rPr>
              <w:t>ОБЩО</w:t>
            </w:r>
          </w:p>
        </w:tc>
      </w:tr>
    </w:tbl>
    <w:p>
      <w:pPr>
        <w:spacing w:before="0" w:after="200" w:line="200" w:lineRule="exact"/>
        <w:jc w:val="lef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rPr>
              <w:t>ФУНКЦИЯ 7</w:t>
            </w:r>
            <w:r>
              <w:rPr>
                <w:noProof/>
              </w:rPr>
              <w:t xml:space="preserve"> </w:t>
            </w:r>
            <w:r>
              <w:rPr>
                <w:noProof/>
              </w:rPr>
              <w:br/>
            </w:r>
            <w:r>
              <w:rPr>
                <w:b/>
                <w:noProof/>
                <w:sz w:val="16"/>
              </w:rPr>
              <w:t>от многогодишната финансова рамка</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29,890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31,945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31,945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31,945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rPr>
            </w:pPr>
            <w:r>
              <w:rPr>
                <w:noProof/>
                <w:sz w:val="16"/>
              </w:rPr>
              <w:t>31,945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rPr>
            </w:pPr>
            <w:r>
              <w:rPr>
                <w:noProof/>
                <w:sz w:val="16"/>
              </w:rPr>
              <w:t>31,945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rPr>
            </w:pPr>
            <w:r>
              <w:rPr>
                <w:noProof/>
                <w:sz w:val="16"/>
              </w:rPr>
              <w:t>31,945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221,560</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1,400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1,655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1,695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1,695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rPr>
            </w:pPr>
            <w:r>
              <w:rPr>
                <w:noProof/>
                <w:sz w:val="16"/>
              </w:rPr>
              <w:t>1,695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rPr>
            </w:pPr>
            <w:r>
              <w:rPr>
                <w:noProof/>
                <w:sz w:val="16"/>
              </w:rPr>
              <w:t>1,695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rPr>
            </w:pPr>
            <w:r>
              <w:rPr>
                <w:noProof/>
                <w:sz w:val="16"/>
              </w:rPr>
              <w:t>1,695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11,530</w:t>
            </w: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rPr>
              <w:t>Междинен сбор за ФУНКЦИЯ 7</w:t>
            </w:r>
            <w:r>
              <w:rPr>
                <w:noProof/>
              </w:rPr>
              <w:t xml:space="preserve"> </w:t>
            </w:r>
            <w:r>
              <w:rPr>
                <w:noProof/>
              </w:rPr>
              <w:br/>
            </w:r>
            <w:r>
              <w:rPr>
                <w:b/>
                <w:noProof/>
                <w:sz w:val="16"/>
              </w:rP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31,290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33,600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33,640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33,640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rPr>
            </w:pPr>
            <w:r>
              <w:rPr>
                <w:noProof/>
                <w:sz w:val="16"/>
              </w:rPr>
              <w:t>33,640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rPr>
            </w:pPr>
            <w:r>
              <w:rPr>
                <w:noProof/>
                <w:sz w:val="16"/>
              </w:rPr>
              <w:t>33,640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rPr>
            </w:pPr>
            <w:r>
              <w:rPr>
                <w:noProof/>
                <w:sz w:val="16"/>
              </w:rPr>
              <w:t>33,640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233,090</w:t>
            </w:r>
          </w:p>
        </w:tc>
      </w:tr>
    </w:tbl>
    <w:p>
      <w:pPr>
        <w:spacing w:before="0" w:after="200" w:line="200" w:lineRule="exact"/>
        <w:jc w:val="lef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rPr>
            </w:pPr>
            <w:r>
              <w:rPr>
                <w:b/>
                <w:noProof/>
                <w:sz w:val="16"/>
              </w:rPr>
              <w:t>Извън ФУНКЦИЯ 7</w:t>
            </w:r>
            <w:r>
              <w:rPr>
                <w:rStyle w:val="FootnoteReference"/>
                <w:b/>
                <w:noProof/>
                <w:sz w:val="16"/>
              </w:rPr>
              <w:footnoteReference w:id="35"/>
            </w:r>
            <w:r>
              <w:rPr>
                <w:noProof/>
              </w:rPr>
              <w:t xml:space="preserve"> </w:t>
            </w:r>
            <w:r>
              <w:rPr>
                <w:noProof/>
              </w:rPr>
              <w:br/>
            </w:r>
            <w:r>
              <w:rPr>
                <w:b/>
                <w:noProof/>
                <w:sz w:val="16"/>
              </w:rPr>
              <w:t>от многогодишната финансова рамка</w:t>
            </w:r>
          </w:p>
          <w:p>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Други разходи </w:t>
            </w:r>
            <w:r>
              <w:rPr>
                <w:noProof/>
              </w:rPr>
              <w:t xml:space="preserve"> </w:t>
            </w:r>
            <w:r>
              <w:rPr>
                <w:noProof/>
              </w:rPr>
              <w:br/>
            </w:r>
            <w:r>
              <w:rPr>
                <w:noProof/>
                <w:sz w:val="16"/>
              </w:rPr>
              <w:t>с административен характер</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2,000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2,000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2,000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2,000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rPr>
            </w:pPr>
            <w:r>
              <w:rPr>
                <w:noProof/>
                <w:sz w:val="16"/>
              </w:rPr>
              <w:t>2,000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rPr>
            </w:pPr>
            <w:r>
              <w:rPr>
                <w:noProof/>
                <w:sz w:val="16"/>
              </w:rPr>
              <w:t>2,000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rPr>
            </w:pPr>
            <w:r>
              <w:rPr>
                <w:noProof/>
                <w:sz w:val="16"/>
              </w:rPr>
              <w:t>2,000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14,000</w:t>
            </w: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rPr>
              <w:t xml:space="preserve">Междинен сбор </w:t>
            </w:r>
            <w:r>
              <w:rPr>
                <w:noProof/>
              </w:rPr>
              <w:t xml:space="preserve"> </w:t>
            </w:r>
            <w:r>
              <w:rPr>
                <w:noProof/>
              </w:rPr>
              <w:br/>
            </w:r>
            <w:r>
              <w:rPr>
                <w:b/>
                <w:noProof/>
                <w:sz w:val="16"/>
              </w:rPr>
              <w:t>извън ФУНКЦИЯ 7</w:t>
            </w:r>
            <w:r>
              <w:rPr>
                <w:noProof/>
              </w:rPr>
              <w:t xml:space="preserve"> </w:t>
            </w:r>
            <w:r>
              <w:rPr>
                <w:noProof/>
              </w:rPr>
              <w:br/>
            </w:r>
            <w:r>
              <w:rPr>
                <w:b/>
                <w:noProof/>
                <w:sz w:val="16"/>
              </w:rP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2,000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2,000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2,000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szCs w:val="16"/>
              </w:rPr>
              <w:t>2,000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rPr>
            </w:pPr>
            <w:r>
              <w:rPr>
                <w:noProof/>
                <w:sz w:val="16"/>
              </w:rPr>
              <w:t>2,000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rPr>
            </w:pPr>
            <w:r>
              <w:rPr>
                <w:noProof/>
                <w:sz w:val="16"/>
              </w:rPr>
              <w:t>2,000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rPr>
            </w:pPr>
            <w:r>
              <w:rPr>
                <w:noProof/>
                <w:sz w:val="16"/>
              </w:rPr>
              <w:t>2,000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14,000</w:t>
            </w:r>
          </w:p>
        </w:tc>
      </w:tr>
    </w:tbl>
    <w:p>
      <w:pPr>
        <w:spacing w:before="0" w:after="200" w:line="200" w:lineRule="exact"/>
        <w:jc w:val="left"/>
        <w:rPr>
          <w:noProof/>
          <w:sz w:val="16"/>
          <w:szCs w:val="16"/>
        </w:rPr>
      </w:pPr>
    </w:p>
    <w:tbl>
      <w:tblPr>
        <w:tblW w:w="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33,290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35,600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35,640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35,640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35,640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35,640</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szCs w:val="16"/>
              </w:rPr>
              <w:t>35,640</w:t>
            </w: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00" w:lineRule="exact"/>
              <w:jc w:val="right"/>
              <w:rPr>
                <w:b/>
                <w:noProof/>
                <w:sz w:val="16"/>
                <w:szCs w:val="16"/>
              </w:rPr>
            </w:pPr>
            <w:r>
              <w:rPr>
                <w:b/>
                <w:noProof/>
                <w:sz w:val="16"/>
                <w:szCs w:val="16"/>
              </w:rPr>
              <w:t>247,090</w:t>
            </w:r>
          </w:p>
        </w:tc>
      </w:tr>
    </w:tbl>
    <w:p>
      <w:pPr>
        <w:rPr>
          <w:noProof/>
          <w:sz w:val="20"/>
        </w:rPr>
      </w:pPr>
    </w:p>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0"/>
        <w:jc w:val="left"/>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20"/>
          <w:docGrid w:linePitch="326"/>
        </w:sectPr>
      </w:pPr>
    </w:p>
    <w:p>
      <w:pPr>
        <w:pStyle w:val="ManualHeading4"/>
        <w:rPr>
          <w:bCs/>
          <w:noProof/>
          <w:szCs w:val="24"/>
        </w:rPr>
      </w:pPr>
      <w:r>
        <w:rPr>
          <w:noProof/>
        </w:rPr>
        <w:t>3.2.2.2.</w:t>
      </w:r>
      <w:r>
        <w:rPr>
          <w:noProof/>
        </w:rPr>
        <w:tab/>
        <w:t>Очаквани нужди от човешки ресурси</w:t>
      </w:r>
    </w:p>
    <w:p>
      <w:pPr>
        <w:pStyle w:val="ListDash1"/>
        <w:numPr>
          <w:ilvl w:val="0"/>
          <w:numId w:val="33"/>
        </w:numPr>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numPr>
          <w:ilvl w:val="0"/>
          <w:numId w:val="33"/>
        </w:numPr>
        <w:rPr>
          <w:noProof/>
        </w:rPr>
      </w:pPr>
      <w:r>
        <w:rPr>
          <w:b/>
          <w:noProof/>
        </w:rPr>
        <w:t>X</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25"/>
        <w:gridCol w:w="2040"/>
        <w:gridCol w:w="638"/>
        <w:gridCol w:w="638"/>
        <w:gridCol w:w="1184"/>
        <w:gridCol w:w="1256"/>
        <w:gridCol w:w="833"/>
        <w:gridCol w:w="555"/>
        <w:gridCol w:w="410"/>
        <w:gridCol w:w="737"/>
      </w:tblGrid>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i/>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sz w:val="16"/>
                <w:szCs w:val="16"/>
              </w:rPr>
            </w:pPr>
            <w:r>
              <w:rPr>
                <w:b/>
                <w:noProof/>
                <w:sz w:val="16"/>
                <w:szCs w:val="16"/>
              </w:rPr>
              <w:t>2021 г.</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sz w:val="16"/>
                <w:szCs w:val="16"/>
              </w:rPr>
            </w:pPr>
            <w:r>
              <w:rPr>
                <w:b/>
                <w:noProof/>
                <w:sz w:val="16"/>
                <w:szCs w:val="16"/>
              </w:rPr>
              <w:t>2022 г.</w:t>
            </w:r>
          </w:p>
        </w:tc>
        <w:tc>
          <w:tcPr>
            <w:tcW w:w="585"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sz w:val="16"/>
                <w:szCs w:val="16"/>
              </w:rPr>
            </w:pPr>
            <w:r>
              <w:rPr>
                <w:b/>
                <w:noProof/>
                <w:sz w:val="16"/>
                <w:szCs w:val="16"/>
              </w:rPr>
              <w:t>2023 г.</w:t>
            </w:r>
          </w:p>
        </w:tc>
        <w:tc>
          <w:tcPr>
            <w:tcW w:w="620"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sz w:val="16"/>
                <w:szCs w:val="16"/>
              </w:rPr>
            </w:pPr>
            <w:r>
              <w:rPr>
                <w:b/>
                <w:noProof/>
                <w:sz w:val="16"/>
                <w:szCs w:val="16"/>
              </w:rPr>
              <w:t>2024 г.</w:t>
            </w:r>
          </w:p>
        </w:tc>
        <w:tc>
          <w:tcPr>
            <w:tcW w:w="41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sz w:val="16"/>
                <w:szCs w:val="16"/>
              </w:rPr>
            </w:pPr>
            <w:r>
              <w:rPr>
                <w:b/>
                <w:noProof/>
                <w:sz w:val="16"/>
                <w:szCs w:val="16"/>
              </w:rPr>
              <w:t>2025 г.</w:t>
            </w:r>
          </w:p>
        </w:tc>
        <w:tc>
          <w:tcPr>
            <w:tcW w:w="481" w:type="pct"/>
            <w:gridSpan w:val="2"/>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sz w:val="16"/>
                <w:szCs w:val="16"/>
              </w:rPr>
            </w:pPr>
            <w:r>
              <w:rPr>
                <w:b/>
                <w:noProof/>
                <w:sz w:val="16"/>
                <w:szCs w:val="16"/>
              </w:rPr>
              <w:t>2026 г.</w:t>
            </w:r>
          </w:p>
        </w:tc>
        <w:tc>
          <w:tcPr>
            <w:tcW w:w="363"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16"/>
                <w:szCs w:val="16"/>
              </w:rPr>
            </w:pPr>
            <w:r>
              <w:rPr>
                <w:b/>
                <w:noProof/>
                <w:sz w:val="16"/>
                <w:szCs w:val="16"/>
              </w:rPr>
              <w:t>2027 г.</w:t>
            </w:r>
          </w:p>
        </w:tc>
      </w:tr>
      <w:tr>
        <w:trPr>
          <w:trHeight w:val="289"/>
          <w:jc w:val="center"/>
        </w:trPr>
        <w:tc>
          <w:tcPr>
            <w:tcW w:w="3118" w:type="pct"/>
            <w:gridSpan w:val="5"/>
            <w:tcBorders>
              <w:top w:val="single" w:sz="6" w:space="0" w:color="auto"/>
              <w:left w:val="single" w:sz="6" w:space="0" w:color="auto"/>
              <w:bottom w:val="single" w:sz="6" w:space="0" w:color="auto"/>
              <w:right w:val="single" w:sz="6" w:space="0" w:color="auto"/>
            </w:tcBorders>
            <w:hideMark/>
          </w:tcPr>
          <w:p>
            <w:pPr>
              <w:spacing w:before="20" w:after="20" w:line="276" w:lineRule="auto"/>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c>
          <w:tcPr>
            <w:tcW w:w="620" w:type="pct"/>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rPr>
            </w:pPr>
          </w:p>
        </w:tc>
        <w:tc>
          <w:tcPr>
            <w:tcW w:w="1257" w:type="pct"/>
            <w:gridSpan w:val="4"/>
            <w:tcBorders>
              <w:top w:val="single" w:sz="6" w:space="0" w:color="auto"/>
              <w:left w:val="single" w:sz="6" w:space="0" w:color="auto"/>
              <w:bottom w:val="single" w:sz="6" w:space="0" w:color="auto"/>
              <w:right w:val="single" w:sz="6" w:space="0" w:color="auto"/>
            </w:tcBorders>
            <w:vAlign w:val="center"/>
          </w:tcPr>
          <w:p>
            <w:pPr>
              <w:spacing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b/>
                <w:noProof/>
                <w:sz w:val="16"/>
                <w:szCs w:val="16"/>
              </w:rPr>
            </w:pPr>
            <w:r>
              <w:rPr>
                <w:noProof/>
                <w:sz w:val="16"/>
              </w:rPr>
              <w:t>XX 01 01 01 (централа и представителства на Комисията)</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162</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173</w:t>
            </w:r>
          </w:p>
        </w:tc>
        <w:tc>
          <w:tcPr>
            <w:tcW w:w="585"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173</w:t>
            </w:r>
          </w:p>
        </w:tc>
        <w:tc>
          <w:tcPr>
            <w:tcW w:w="620"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173</w:t>
            </w:r>
          </w:p>
        </w:tc>
        <w:tc>
          <w:tcPr>
            <w:tcW w:w="41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173</w:t>
            </w:r>
          </w:p>
        </w:tc>
        <w:tc>
          <w:tcPr>
            <w:tcW w:w="483"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173</w:t>
            </w:r>
          </w:p>
        </w:tc>
        <w:tc>
          <w:tcPr>
            <w:tcW w:w="361"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173</w:t>
            </w: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sz w:val="16"/>
                <w:szCs w:val="16"/>
              </w:rPr>
            </w:pPr>
            <w:r>
              <w:rPr>
                <w:noProof/>
                <w:sz w:val="16"/>
              </w:rPr>
              <w:t>XX 01 01 02 (делегации)</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2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1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83"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sz w:val="16"/>
                <w:szCs w:val="16"/>
              </w:rPr>
            </w:pPr>
            <w:r>
              <w:rPr>
                <w:noProof/>
                <w:sz w:val="16"/>
              </w:rPr>
              <w:t>XX 01 05 01 (непреки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2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1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83"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sz w:val="16"/>
                <w:szCs w:val="16"/>
              </w:rPr>
            </w:pPr>
            <w:r>
              <w:rPr>
                <w:noProof/>
                <w:sz w:val="16"/>
              </w:rPr>
              <w:t>10 01 05 01 (Преки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2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1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83"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2"/>
          <w:wAfter w:w="572" w:type="pct"/>
          <w:trHeight w:val="248"/>
          <w:jc w:val="center"/>
        </w:trPr>
        <w:tc>
          <w:tcPr>
            <w:tcW w:w="4428" w:type="pct"/>
            <w:gridSpan w:val="8"/>
            <w:tcBorders>
              <w:top w:val="single" w:sz="6" w:space="0" w:color="auto"/>
              <w:left w:val="single" w:sz="6" w:space="0" w:color="auto"/>
              <w:bottom w:val="single" w:sz="6" w:space="0" w:color="auto"/>
              <w:right w:val="single" w:sz="6" w:space="0" w:color="auto"/>
            </w:tcBorders>
            <w:vAlign w:val="center"/>
          </w:tcPr>
          <w:p>
            <w:pPr>
              <w:pStyle w:val="Text1"/>
              <w:spacing w:before="60" w:after="60" w:line="276" w:lineRule="auto"/>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w:t>
            </w:r>
            <w:r>
              <w:rPr>
                <w:rStyle w:val="FootnoteReference"/>
                <w:b/>
                <w:noProof/>
                <w:sz w:val="16"/>
              </w:rPr>
              <w:footnoteReference w:id="36"/>
            </w:r>
          </w:p>
          <w:p>
            <w:pPr>
              <w:pStyle w:val="Text1"/>
              <w:spacing w:before="0" w:after="0" w:line="276" w:lineRule="auto"/>
              <w:ind w:left="0"/>
              <w:jc w:val="left"/>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sz w:val="16"/>
                <w:szCs w:val="16"/>
              </w:rPr>
            </w:pPr>
            <w:r>
              <w:rPr>
                <w:noProof/>
                <w:sz w:val="16"/>
              </w:rPr>
              <w:t>XX 01 02 01 (ДНП, КНЕ и ПНА от общия финансов пакет)</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69</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74</w:t>
            </w:r>
          </w:p>
        </w:tc>
        <w:tc>
          <w:tcPr>
            <w:tcW w:w="585"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74</w:t>
            </w:r>
          </w:p>
        </w:tc>
        <w:tc>
          <w:tcPr>
            <w:tcW w:w="620"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74</w:t>
            </w:r>
          </w:p>
        </w:tc>
        <w:tc>
          <w:tcPr>
            <w:tcW w:w="41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74</w:t>
            </w:r>
          </w:p>
        </w:tc>
        <w:tc>
          <w:tcPr>
            <w:tcW w:w="483"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74</w:t>
            </w:r>
          </w:p>
        </w:tc>
        <w:tc>
          <w:tcPr>
            <w:tcW w:w="361"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szCs w:val="16"/>
              </w:rPr>
              <w:t>74</w:t>
            </w: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sz w:val="16"/>
                <w:szCs w:val="16"/>
              </w:rPr>
            </w:pPr>
            <w:r>
              <w:rPr>
                <w:noProof/>
                <w:sz w:val="16"/>
              </w:rPr>
              <w:t>XX 01 02 02 (ДНП, МП, КНЕ, ПНА и МЕД в делегациите)</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2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1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83"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948" w:type="pct"/>
            <w:vMerge w:val="restar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37"/>
            </w:r>
          </w:p>
          <w:p>
            <w:pPr>
              <w:pStyle w:val="Text1"/>
              <w:spacing w:beforeLines="20" w:before="48" w:afterLines="20" w:after="48" w:line="276" w:lineRule="auto"/>
              <w:ind w:left="986"/>
              <w:jc w:val="left"/>
              <w:rPr>
                <w:b/>
                <w:noProof/>
                <w:sz w:val="16"/>
                <w:szCs w:val="16"/>
              </w:rPr>
            </w:pPr>
          </w:p>
        </w:tc>
        <w:tc>
          <w:tcPr>
            <w:tcW w:w="949"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rPr>
            </w:pPr>
            <w:r>
              <w:rPr>
                <w:noProof/>
                <w:sz w:val="16"/>
              </w:rPr>
              <w:t>- в централата</w:t>
            </w:r>
          </w:p>
          <w:p>
            <w:pPr>
              <w:pStyle w:val="Text1"/>
              <w:spacing w:beforeLines="20" w:before="48" w:afterLines="20" w:after="48" w:line="276" w:lineRule="auto"/>
              <w:ind w:left="986"/>
              <w:jc w:val="left"/>
              <w:rPr>
                <w:b/>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2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1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83"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sz w:val="16"/>
                <w:szCs w:val="16"/>
              </w:rPr>
            </w:pPr>
          </w:p>
        </w:tc>
        <w:tc>
          <w:tcPr>
            <w:tcW w:w="949"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sz w:val="16"/>
                <w:szCs w:val="16"/>
              </w:rPr>
            </w:pPr>
            <w:r>
              <w:rPr>
                <w:noProof/>
                <w:sz w:val="16"/>
              </w:rPr>
              <w:t xml:space="preserve">- в делегациите </w:t>
            </w: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2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1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83"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sz w:val="16"/>
                <w:szCs w:val="16"/>
              </w:rPr>
            </w:pPr>
            <w:r>
              <w:rPr>
                <w:b/>
                <w:noProof/>
                <w:sz w:val="16"/>
                <w:szCs w:val="16"/>
              </w:rPr>
              <w:t>XX</w:t>
            </w:r>
            <w:r>
              <w:rPr>
                <w:noProof/>
                <w:sz w:val="16"/>
                <w:szCs w:val="16"/>
              </w:rPr>
              <w:t xml:space="preserve"> 01 05 02 (ДНП, КНЕ и ПНА — непреки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2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1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83"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sz w:val="16"/>
                <w:szCs w:val="16"/>
              </w:rPr>
            </w:pPr>
            <w:r>
              <w:rPr>
                <w:noProof/>
                <w:sz w:val="16"/>
              </w:rPr>
              <w:t>10 01 05 02 (ДНП, КНЕ и ПНА — 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5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2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1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83"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6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984"/>
              <w:jc w:val="left"/>
              <w:rPr>
                <w:noProof/>
                <w:sz w:val="16"/>
                <w:szCs w:val="16"/>
              </w:rPr>
            </w:pPr>
            <w:r>
              <w:rPr>
                <w:noProof/>
                <w:sz w:val="16"/>
              </w:rPr>
              <w:t>Други бюджетни редове (да се посочат)</w:t>
            </w: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58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620"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41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483" w:type="pct"/>
            <w:gridSpan w:val="2"/>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361"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sz w:val="16"/>
                <w:szCs w:val="16"/>
              </w:rPr>
            </w:pPr>
            <w:r>
              <w:rPr>
                <w:b/>
                <w:noProof/>
                <w:sz w:val="16"/>
              </w:rPr>
              <w:t>ОБЩО</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16"/>
                <w:szCs w:val="16"/>
              </w:rPr>
            </w:pPr>
            <w:r>
              <w:rPr>
                <w:b/>
                <w:noProof/>
                <w:sz w:val="16"/>
                <w:szCs w:val="16"/>
              </w:rPr>
              <w:t>231</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16"/>
                <w:szCs w:val="16"/>
              </w:rPr>
            </w:pPr>
            <w:r>
              <w:rPr>
                <w:b/>
                <w:noProof/>
                <w:sz w:val="16"/>
                <w:szCs w:val="16"/>
              </w:rPr>
              <w:t>247</w:t>
            </w:r>
          </w:p>
        </w:tc>
        <w:tc>
          <w:tcPr>
            <w:tcW w:w="585"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16"/>
                <w:szCs w:val="16"/>
              </w:rPr>
            </w:pPr>
            <w:r>
              <w:rPr>
                <w:b/>
                <w:noProof/>
                <w:sz w:val="16"/>
                <w:szCs w:val="16"/>
              </w:rPr>
              <w:t>247</w:t>
            </w:r>
          </w:p>
        </w:tc>
        <w:tc>
          <w:tcPr>
            <w:tcW w:w="620"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16"/>
                <w:szCs w:val="16"/>
              </w:rPr>
            </w:pPr>
            <w:r>
              <w:rPr>
                <w:b/>
                <w:noProof/>
                <w:sz w:val="16"/>
                <w:szCs w:val="16"/>
              </w:rPr>
              <w:t>247</w:t>
            </w:r>
          </w:p>
        </w:tc>
        <w:tc>
          <w:tcPr>
            <w:tcW w:w="41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16"/>
                <w:szCs w:val="16"/>
              </w:rPr>
            </w:pPr>
            <w:r>
              <w:rPr>
                <w:b/>
                <w:noProof/>
                <w:sz w:val="16"/>
                <w:szCs w:val="16"/>
              </w:rPr>
              <w:t>247</w:t>
            </w:r>
          </w:p>
        </w:tc>
        <w:tc>
          <w:tcPr>
            <w:tcW w:w="483" w:type="pct"/>
            <w:gridSpan w:val="2"/>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16"/>
                <w:szCs w:val="16"/>
              </w:rPr>
            </w:pPr>
            <w:r>
              <w:rPr>
                <w:b/>
                <w:noProof/>
                <w:sz w:val="16"/>
                <w:szCs w:val="16"/>
              </w:rPr>
              <w:t>247</w:t>
            </w:r>
          </w:p>
        </w:tc>
        <w:tc>
          <w:tcPr>
            <w:tcW w:w="361"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16"/>
                <w:szCs w:val="16"/>
              </w:rPr>
            </w:pPr>
            <w:r>
              <w:rPr>
                <w:b/>
                <w:noProof/>
                <w:sz w:val="16"/>
                <w:szCs w:val="16"/>
              </w:rPr>
              <w:t>247</w:t>
            </w:r>
          </w:p>
        </w:tc>
      </w:tr>
    </w:tbl>
    <w:p>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 или съответният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rPr>
            </w:pPr>
            <w:r>
              <w:rPr>
                <w:noProof/>
                <w:sz w:val="20"/>
              </w:rPr>
              <w:t>Длъжностни лица и срочно наети служители</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sz w:val="20"/>
              </w:rPr>
            </w:pPr>
            <w:r>
              <w:rPr>
                <w:noProof/>
                <w:sz w:val="20"/>
              </w:rPr>
              <w:t>Външен персонал</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3"/>
        <w:rPr>
          <w:bCs/>
          <w:noProof/>
          <w:szCs w:val="24"/>
        </w:rPr>
      </w:pPr>
      <w:r>
        <w:rPr>
          <w:noProof/>
        </w:rPr>
        <w:t>3.2.3.</w:t>
      </w:r>
      <w:r>
        <w:rPr>
          <w:noProof/>
        </w:rPr>
        <w:tab/>
        <w:t xml:space="preserve">Съвместимост с настоящата многогодишна финансова рамка </w:t>
      </w:r>
    </w:p>
    <w:p>
      <w:pPr>
        <w:pStyle w:val="ListDash1"/>
        <w:numPr>
          <w:ilvl w:val="0"/>
          <w:numId w:val="33"/>
        </w:numPr>
        <w:rPr>
          <w:noProof/>
        </w:rPr>
      </w:pPr>
      <w:r>
        <w:rPr>
          <w:noProof/>
        </w:rPr>
        <w:sym w:font="Wingdings" w:char="F0A8"/>
      </w:r>
      <w:r>
        <w:rPr>
          <w:noProof/>
        </w:rPr>
        <w:tab/>
        <w:t>Предложението/инициативата е съвместимо(а) с настоящата многогодишна финансова рамка.</w:t>
      </w:r>
    </w:p>
    <w:p>
      <w:pPr>
        <w:pStyle w:val="ListDash1"/>
        <w:numPr>
          <w:ilvl w:val="0"/>
          <w:numId w:val="33"/>
        </w:numPr>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ListDash1"/>
        <w:numPr>
          <w:ilvl w:val="0"/>
          <w:numId w:val="33"/>
        </w:numPr>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3.2.4.</w:t>
      </w:r>
      <w:r>
        <w:rPr>
          <w:noProof/>
        </w:rPr>
        <w:tab/>
        <w:t xml:space="preserve">Финансово участие от трети страни </w:t>
      </w:r>
    </w:p>
    <w:p>
      <w:pPr>
        <w:pStyle w:val="ListDash1"/>
        <w:numPr>
          <w:ilvl w:val="0"/>
          <w:numId w:val="33"/>
        </w:numPr>
        <w:rPr>
          <w:noProof/>
        </w:rPr>
      </w:pPr>
      <w:r>
        <w:rPr>
          <w:noProof/>
        </w:rPr>
        <w:t xml:space="preserve">Предложението/инициативата не предвижда съфинансиране от трети страни. </w:t>
      </w:r>
    </w:p>
    <w:p>
      <w:pPr>
        <w:pStyle w:val="ListDash1"/>
        <w:numPr>
          <w:ilvl w:val="0"/>
          <w:numId w:val="33"/>
        </w:numPr>
        <w:rPr>
          <w:noProof/>
        </w:rPr>
      </w:pPr>
      <w:r>
        <w:rPr>
          <w:noProof/>
        </w:rPr>
        <w:t>Предложението/инициативата предвижда следното разчетно съфинансиране:</w:t>
      </w:r>
    </w:p>
    <w:p>
      <w:pPr>
        <w:jc w:val="right"/>
        <w:rPr>
          <w:noProof/>
          <w:sz w:val="20"/>
        </w:rPr>
      </w:pPr>
      <w:r>
        <w:rPr>
          <w:noProof/>
          <w:sz w:val="20"/>
        </w:rPr>
        <w:t>Бюджетни кредити в млн. евро (до третия знак след десетичната запетая)</w:t>
      </w:r>
    </w:p>
    <w:tbl>
      <w:tblPr>
        <w:tblW w:w="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trPr>
          <w:cantSplit/>
        </w:trPr>
        <w:tc>
          <w:tcPr>
            <w:tcW w:w="2340" w:type="dxa"/>
            <w:tcBorders>
              <w:top w:val="single" w:sz="6" w:space="0" w:color="auto"/>
              <w:left w:val="single" w:sz="6" w:space="0" w:color="auto"/>
              <w:bottom w:val="single" w:sz="6" w:space="0" w:color="auto"/>
              <w:right w:val="single" w:sz="6" w:space="0" w:color="auto"/>
            </w:tcBorders>
          </w:tcPr>
          <w:p>
            <w:pPr>
              <w:spacing w:before="60" w:after="60" w:line="276" w:lineRule="auto"/>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N</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N+1</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sz w:val="20"/>
              </w:rPr>
              <w:t>Година</w:t>
            </w:r>
            <w:r>
              <w:rPr>
                <w:noProof/>
              </w:rPr>
              <w:t xml:space="preserve"> </w:t>
            </w:r>
            <w:r>
              <w:rPr>
                <w:noProof/>
              </w:rPr>
              <w:br/>
            </w:r>
            <w:r>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rPr>
            </w:pPr>
            <w:r>
              <w:rPr>
                <w:noProof/>
                <w:sz w:val="20"/>
              </w:rPr>
              <w:t>Добавят се толкова години, колкото е необходимо, за да се обхване продължителността на отражението (вж. точка 1.6)</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Общо</w:t>
            </w: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line="276" w:lineRule="auto"/>
              <w:rPr>
                <w:noProof/>
                <w:sz w:val="22"/>
              </w:rPr>
            </w:pPr>
            <w:r>
              <w:rPr>
                <w:noProof/>
                <w:sz w:val="20"/>
              </w:rPr>
              <w:t>Да се посочи съфинансиращият орган</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sz w:val="20"/>
              </w:rPr>
            </w:pPr>
            <w:r>
              <w:rPr>
                <w:noProof/>
                <w:sz w:val="20"/>
              </w:rPr>
              <w:t xml:space="preserve">ОБЩО съфинансирани бюджетни кредити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t>3.3.</w:t>
      </w:r>
      <w:r>
        <w:rPr>
          <w:noProof/>
        </w:rPr>
        <w:tab/>
        <w:t xml:space="preserve">Очаквано отражение върху приходите </w:t>
      </w:r>
    </w:p>
    <w:p>
      <w:pPr>
        <w:pStyle w:val="ListDash1"/>
        <w:numPr>
          <w:ilvl w:val="0"/>
          <w:numId w:val="33"/>
        </w:numPr>
        <w:rPr>
          <w:noProof/>
        </w:rPr>
      </w:pPr>
      <w:r>
        <w:rPr>
          <w:noProof/>
        </w:rPr>
        <w:sym w:font="Wingdings" w:char="F0A8"/>
      </w:r>
      <w:r>
        <w:rPr>
          <w:noProof/>
        </w:rPr>
        <w:tab/>
        <w:t>Предложението/инициативата няма финансово отражение върху приходите.</w:t>
      </w:r>
    </w:p>
    <w:p>
      <w:pPr>
        <w:pStyle w:val="ListDash1"/>
        <w:numPr>
          <w:ilvl w:val="0"/>
          <w:numId w:val="33"/>
        </w:numPr>
        <w:rPr>
          <w:noProof/>
        </w:rPr>
      </w:pPr>
      <w:r>
        <w:rPr>
          <w:noProof/>
        </w:rPr>
        <w:sym w:font="Wingdings" w:char="F0A8"/>
      </w:r>
      <w:r>
        <w:rPr>
          <w:noProof/>
        </w:rPr>
        <w:tab/>
        <w:t>Предложението/инициативата има следното финансово отражение:</w:t>
      </w:r>
    </w:p>
    <w:p>
      <w:pPr>
        <w:pStyle w:val="ListNumberLevel3"/>
        <w:numPr>
          <w:ilvl w:val="2"/>
          <w:numId w:val="31"/>
        </w:numPr>
        <w:rPr>
          <w:noProof/>
        </w:rPr>
      </w:pPr>
      <w:r>
        <w:rPr>
          <w:noProof/>
        </w:rPr>
        <w:sym w:font="Wingdings" w:char="F0A8"/>
      </w:r>
      <w:r>
        <w:rPr>
          <w:noProof/>
        </w:rPr>
        <w:tab/>
        <w:t xml:space="preserve">върху собствените ресурси </w:t>
      </w:r>
    </w:p>
    <w:p>
      <w:pPr>
        <w:pStyle w:val="ListNumberLevel3"/>
        <w:numPr>
          <w:ilvl w:val="2"/>
          <w:numId w:val="31"/>
        </w:numPr>
        <w:rPr>
          <w:noProof/>
        </w:rPr>
      </w:pPr>
      <w:r>
        <w:rPr>
          <w:noProof/>
        </w:rPr>
        <w:sym w:font="Wingdings" w:char="F0A8"/>
      </w:r>
      <w:r>
        <w:rPr>
          <w:noProof/>
        </w:rPr>
        <w:tab/>
        <w:t xml:space="preserve">върху разните приходи </w:t>
      </w:r>
    </w:p>
    <w:p>
      <w:pPr>
        <w:jc w:val="right"/>
        <w:rPr>
          <w:i/>
          <w:noProof/>
          <w:sz w:val="20"/>
        </w:rPr>
      </w:pPr>
      <w:r>
        <w:rPr>
          <w:noProof/>
        </w:rPr>
        <w:t>в млн. евро (до третия знак след десетичната запетая)</w:t>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Приходен бюджетен ред: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Налични бюджетни кредити за текущата финансова година</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Отражение на предложението/инициативата</w:t>
            </w:r>
            <w:r>
              <w:rPr>
                <w:rStyle w:val="FootnoteReference"/>
                <w:noProof/>
                <w:sz w:val="18"/>
              </w:rPr>
              <w:footnoteReference w:id="38"/>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Година</w:t>
            </w:r>
            <w:r>
              <w:rPr>
                <w:noProof/>
              </w:rPr>
              <w:t xml:space="preserve"> </w:t>
            </w:r>
            <w:r>
              <w:rPr>
                <w:noProof/>
              </w:rPr>
              <w:br/>
            </w:r>
            <w:r>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Година</w:t>
            </w:r>
            <w:r>
              <w:rPr>
                <w:noProof/>
              </w:rPr>
              <w:t xml:space="preserve"> </w:t>
            </w:r>
            <w:r>
              <w:rPr>
                <w:noProof/>
              </w:rPr>
              <w:br/>
            </w:r>
            <w:r>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Година</w:t>
            </w:r>
            <w:r>
              <w:rPr>
                <w:noProof/>
              </w:rPr>
              <w:t xml:space="preserve"> </w:t>
            </w:r>
            <w:r>
              <w:rPr>
                <w:noProof/>
              </w:rPr>
              <w:br/>
            </w:r>
            <w:r>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Година</w:t>
            </w:r>
            <w:r>
              <w:rPr>
                <w:noProof/>
              </w:rPr>
              <w:t xml:space="preserve"> </w:t>
            </w:r>
            <w:r>
              <w:rPr>
                <w:noProof/>
              </w:rPr>
              <w:br/>
            </w:r>
            <w:r>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Статия …………</w:t>
            </w:r>
          </w:p>
        </w:tc>
        <w:tc>
          <w:tcPr>
            <w:tcW w:w="1276"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i/>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Регламент (ЕС) 2017/825 на Европейския парламент и на Съвета от 17 май 2017 г. за създаването на Програмата за подкрепа на структурните реформи за периода 2017—2020 г. и за изменение на регламенти (ЕС) № 1303/2013 и (ЕС) № 1305/2013, ОВ L 129, 19.5.2017 г., стр. 1–16.</w:t>
      </w:r>
    </w:p>
  </w:footnote>
  <w:footnote w:id="3">
    <w:p>
      <w:pPr>
        <w:pStyle w:val="FootnoteText"/>
      </w:pPr>
      <w:r>
        <w:rPr>
          <w:rStyle w:val="FootnoteReference"/>
        </w:rPr>
        <w:footnoteRef/>
      </w:r>
      <w:r>
        <w:tab/>
        <w:t>2018/0213 (COD), Брюксел 31.5.2018 г. COM(2018) 391 final.</w:t>
      </w:r>
    </w:p>
  </w:footnote>
  <w:footnote w:id="4">
    <w:p>
      <w:pPr>
        <w:pStyle w:val="FootnoteText"/>
      </w:pPr>
      <w:r>
        <w:rPr>
          <w:rStyle w:val="FootnoteReference"/>
        </w:rPr>
        <w:footnoteRef/>
      </w:r>
      <w:r>
        <w:tab/>
        <w:t>[COD…]</w:t>
      </w:r>
    </w:p>
  </w:footnote>
  <w:footnote w:id="5">
    <w:p>
      <w:pPr>
        <w:pStyle w:val="FootnoteText"/>
      </w:pPr>
      <w:r>
        <w:rPr>
          <w:rStyle w:val="FootnoteReference"/>
        </w:rPr>
        <w:footnoteRef/>
      </w:r>
      <w:r>
        <w:tab/>
        <w:t>ОВ...</w:t>
      </w:r>
    </w:p>
  </w:footnote>
  <w:footnote w:id="6">
    <w:p>
      <w:pPr>
        <w:pStyle w:val="FootnoteText"/>
      </w:pPr>
      <w:r>
        <w:rPr>
          <w:rStyle w:val="FootnoteReference"/>
        </w:rPr>
        <w:footnoteRef/>
      </w:r>
      <w:r>
        <w:tab/>
        <w:t>ОВ...</w:t>
      </w:r>
    </w:p>
  </w:footnote>
  <w:footnote w:id="7">
    <w:p>
      <w:pPr>
        <w:pStyle w:val="FootnoteText"/>
      </w:pPr>
      <w:r>
        <w:rPr>
          <w:rStyle w:val="FootnoteReference"/>
        </w:rPr>
        <w:footnoteRef/>
      </w:r>
      <w:r>
        <w:tab/>
        <w:t>Регламент (ЕС) 2017/825 на Европейския парламент и на Съвета, ОВ L 129, 19.5.2017 г., стр. 1—16, изменен с Регламент (ЕС) 2018/1671, ОВ L 284, 12.11.2018 г., стр. 3—5 (Регламент за ППСР).</w:t>
      </w:r>
    </w:p>
  </w:footnote>
  <w:footnote w:id="8">
    <w:p>
      <w:pPr>
        <w:pStyle w:val="FootnoteText"/>
      </w:pPr>
      <w:r>
        <w:rPr>
          <w:rStyle w:val="FootnoteReference"/>
        </w:rPr>
        <w:footnoteRef/>
      </w:r>
      <w:r>
        <w:tab/>
        <w:t>Приложение към Решение за изпълнение на Комисията относно приемането на работната програма за 2017 г. и относно финансирането на Програмата за подкрепа на структурните реформи и за отмяна на Решение C(2017)3093, 2017 г., C(2017)5780 final.</w:t>
      </w:r>
    </w:p>
  </w:footnote>
  <w:footnote w:id="9">
    <w:p>
      <w:pPr>
        <w:pStyle w:val="FootnoteText"/>
      </w:pPr>
      <w:r>
        <w:rPr>
          <w:rStyle w:val="FootnoteReference"/>
        </w:rPr>
        <w:footnoteRef/>
      </w:r>
      <w:r>
        <w:tab/>
      </w:r>
      <w:hyperlink r:id="rId1" w:history="1">
        <w:r>
          <w:rPr>
            <w:rStyle w:val="Hyperlink"/>
          </w:rPr>
          <w:t>https://ec.europa.eu/info/publications/structural-reform-support-programme-financing-decisions-and-annual-work-programmes_en</w:t>
        </w:r>
      </w:hyperlink>
    </w:p>
  </w:footnote>
  <w:footnote w:id="10">
    <w:p>
      <w:pPr>
        <w:pStyle w:val="FootnoteText"/>
      </w:pPr>
      <w:r>
        <w:rPr>
          <w:rStyle w:val="FootnoteReference"/>
        </w:rPr>
        <w:footnoteRef/>
      </w:r>
      <w:r>
        <w:tab/>
      </w:r>
      <w:hyperlink r:id="rId2" w:history="1">
        <w:r>
          <w:rPr>
            <w:rStyle w:val="Hyperlink"/>
          </w:rPr>
          <w:t>https://ec.europa.eu/info/publications/annual-monitoring-reports_en</w:t>
        </w:r>
      </w:hyperlink>
    </w:p>
  </w:footnote>
  <w:footnote w:id="11">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1—14).</w:t>
      </w:r>
    </w:p>
    <w:p>
      <w:pPr>
        <w:pStyle w:val="FootnoteText"/>
        <w:ind w:left="0" w:firstLine="0"/>
      </w:pPr>
    </w:p>
  </w:footnote>
  <w:footnote w:id="12">
    <w:p>
      <w:pPr>
        <w:pStyle w:val="FootnoteText"/>
      </w:pPr>
      <w:r>
        <w:rPr>
          <w:rStyle w:val="FootnoteReference"/>
        </w:rPr>
        <w:footnoteRef/>
      </w:r>
      <w:r>
        <w:tab/>
        <w:t>ОВ C [...],[...] г., стр. [...].</w:t>
      </w:r>
    </w:p>
  </w:footnote>
  <w:footnote w:id="13">
    <w:p>
      <w:pPr>
        <w:pStyle w:val="FootnoteText"/>
      </w:pPr>
      <w:r>
        <w:rPr>
          <w:rStyle w:val="FootnoteReference"/>
        </w:rPr>
        <w:footnoteRef/>
      </w:r>
      <w:r>
        <w:tab/>
        <w:t>ОВ C [...],[...] г., стр. [...].</w:t>
      </w:r>
    </w:p>
  </w:footnote>
  <w:footnote w:id="14">
    <w:p>
      <w:pPr>
        <w:pStyle w:val="FootnoteText"/>
      </w:pPr>
      <w:r>
        <w:rPr>
          <w:rStyle w:val="FootnoteReference"/>
        </w:rPr>
        <w:footnoteRef/>
      </w:r>
      <w:r>
        <w:tab/>
        <w:t>ОВ C [...],[...] г., стр. [...].</w:t>
      </w:r>
    </w:p>
  </w:footnote>
  <w:footnote w:id="15">
    <w:p>
      <w:pPr>
        <w:pStyle w:val="FootnoteText"/>
      </w:pPr>
      <w:r>
        <w:rPr>
          <w:rStyle w:val="FootnoteReference"/>
        </w:rPr>
        <w:footnoteRef/>
      </w:r>
      <w:r>
        <w:tab/>
        <w:t>ОВ C [...],[...] г., стр. [...].</w:t>
      </w:r>
    </w:p>
  </w:footnote>
  <w:footnote w:id="16">
    <w:p>
      <w:pPr>
        <w:pStyle w:val="FootnoteText"/>
      </w:pPr>
      <w:r>
        <w:rPr>
          <w:rStyle w:val="FootnoteReference"/>
        </w:rPr>
        <w:footnoteRef/>
      </w:r>
      <w:r>
        <w:tab/>
        <w:t>Регламент (ЕС) 2017/825 на Европейския парламент и на Съвета от 17 май 2017 г. за създаването на Програмата за подкрепа на структурните реформи за периода 2017—2020 г. и за изменение на регламенти (ЕС) № 1303/2013 и (ЕС) № 1305/2013 (ОВ L 129, 19.5.2017 г., стр. 1).</w:t>
      </w:r>
    </w:p>
  </w:footnote>
  <w:footnote w:id="17">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1—14).</w:t>
      </w:r>
    </w:p>
  </w:footnote>
  <w:footnote w:id="18">
    <w:p>
      <w:pPr>
        <w:pStyle w:val="FootnoteText"/>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footnote>
  <w:footnote w:id="19">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(OB L 248, 18.9.2013 г., стр. 1).</w:t>
      </w:r>
    </w:p>
  </w:footnote>
  <w:footnote w:id="20">
    <w:p>
      <w:pPr>
        <w:pStyle w:val="FootnoteText"/>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(OB L 312, 23.12.1995 г., стр. 1).</w:t>
      </w:r>
    </w:p>
  </w:footnote>
  <w:footnote w:id="21">
    <w:p>
      <w:pPr>
        <w:pStyle w:val="FootnoteText"/>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w:t>
      </w:r>
    </w:p>
  </w:footnote>
  <w:footnote w:id="22">
    <w:p>
      <w:pPr>
        <w:pStyle w:val="FootnoteText"/>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(OB L 283, 31.10.2017 г., стр. 1).</w:t>
      </w:r>
    </w:p>
  </w:footnote>
  <w:footnote w:id="23">
    <w:p>
      <w:pPr>
        <w:pStyle w:val="FootnoteText"/>
      </w:pPr>
      <w:r>
        <w:rPr>
          <w:rStyle w:val="FootnoteReference"/>
        </w:rPr>
        <w:footnoteRef/>
      </w:r>
      <w:r>
        <w:tab/>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24">
    <w:p>
      <w:pPr>
        <w:pStyle w:val="FootnoteText"/>
      </w:pPr>
      <w:r>
        <w:rPr>
          <w:rStyle w:val="FootnoteReference"/>
        </w:rPr>
        <w:footnoteRef/>
      </w:r>
      <w:r>
        <w:tab/>
        <w:t>ОВ C [...],[...] г., стр. [...].</w:t>
      </w:r>
    </w:p>
  </w:footnote>
  <w:footnote w:id="25">
    <w:p>
      <w:pPr>
        <w:pStyle w:val="FootnoteText"/>
      </w:pPr>
      <w:r>
        <w:rPr>
          <w:rStyle w:val="FootnoteReference"/>
        </w:rPr>
        <w:footnoteRef/>
      </w:r>
      <w:r>
        <w:tab/>
        <w:t>Регламент (ЕС) № 472/2013 на Европейския парламент и на Съвета от 21 май 2013 г. за засилване на икономическото и бюджетно наблюдение над държавите членки в еврозоната, изпитващи или застрашени от сериозни затруднения по отношение на финансовата си стабилност (ОВ L 140, 27.5.2013, стр. 1).</w:t>
      </w:r>
    </w:p>
  </w:footnote>
  <w:footnote w:id="26">
    <w:p>
      <w:pPr>
        <w:pStyle w:val="FootnoteText"/>
      </w:pPr>
      <w:r>
        <w:rPr>
          <w:rStyle w:val="FootnoteReference"/>
        </w:rPr>
        <w:footnoteRef/>
      </w:r>
      <w:r>
        <w:tab/>
        <w:t>Регламент (ЕО) № 332/2002 на Съвета от 18 февруари 2002 г. за установяване на механизъм, осигуряващ средносрочна финансова подкрепа за платежния баланс на държавите членки (ОВ L 53, 23.2.2002 г., стр. 1).</w:t>
      </w:r>
    </w:p>
  </w:footnote>
  <w:footnote w:id="27">
    <w:p>
      <w:pPr>
        <w:pStyle w:val="FootnoteText"/>
      </w:pPr>
      <w:r>
        <w:rPr>
          <w:rStyle w:val="FootnoteReference"/>
        </w:rPr>
        <w:footnoteRef/>
      </w:r>
      <w:r>
        <w:tab/>
        <w:t>УД: управление по дейности; БД: бюджетиране по дейности.</w:t>
      </w:r>
    </w:p>
  </w:footnote>
  <w:footnote w:id="28">
    <w:p>
      <w:pPr>
        <w:pStyle w:val="FootnoteText"/>
      </w:pPr>
      <w:r>
        <w:rPr>
          <w:rStyle w:val="FootnoteReference"/>
        </w:rPr>
        <w:footnoteRef/>
      </w:r>
      <w:r>
        <w:tab/>
        <w:t>Съгласно член 54, параграф 2, буква а) или б) от Финансовия регламент.</w:t>
      </w:r>
    </w:p>
  </w:footnote>
  <w:footnote w:id="29">
    <w:p>
      <w:pPr>
        <w:pStyle w:val="FootnoteText"/>
      </w:pPr>
      <w:r>
        <w:rPr>
          <w:rStyle w:val="FootnoteReference"/>
        </w:rPr>
        <w:footnoteRef/>
      </w:r>
      <w:r>
        <w:tab/>
        <w:t xml:space="preserve">Подробности във връзка с методите на управление и позоваванията на Финансовия регламент се намират на уебсайта BudgWeb: </w:t>
      </w:r>
      <w:hyperlink r:id="rId3" w:history="1">
        <w:r>
          <w:rPr>
            <w:rStyle w:val="Hyperlink"/>
            <w:sz w:val="18"/>
          </w:rPr>
          <w:t>http://www.cc.cec/budg/man/budgmanag/budgmanag_en.html</w:t>
        </w:r>
      </w:hyperlink>
    </w:p>
  </w:footnote>
  <w:footnote w:id="30">
    <w:p>
      <w:pPr>
        <w:pStyle w:val="FootnoteText"/>
      </w:pPr>
      <w:r>
        <w:rPr>
          <w:rStyle w:val="FootnoteReference"/>
        </w:rPr>
        <w:footnoteRef/>
      </w:r>
      <w:r>
        <w:tab/>
        <w:t>Многогод. = многогодишни бюджетни кредити / Едногод. = едногодишни бюджетни кредити.</w:t>
      </w:r>
    </w:p>
  </w:footnote>
  <w:footnote w:id="31">
    <w:p>
      <w:pPr>
        <w:pStyle w:val="FootnoteText"/>
      </w:pPr>
      <w:r>
        <w:rPr>
          <w:rStyle w:val="FootnoteReference"/>
        </w:rPr>
        <w:footnoteRef/>
      </w:r>
      <w:r>
        <w:tab/>
        <w:t>ЕАСТ: Европейска асоциация за свободна търговия.</w:t>
      </w:r>
    </w:p>
  </w:footnote>
  <w:footnote w:id="32">
    <w:p>
      <w:pPr>
        <w:pStyle w:val="FootnoteText"/>
      </w:pPr>
      <w:r>
        <w:rPr>
          <w:rStyle w:val="FootnoteReference"/>
        </w:rPr>
        <w:footnoteRef/>
      </w:r>
      <w:r>
        <w:tab/>
        <w:t>Държави кандидатки и ако е приложимо — потенциални кандидатки от Западните Балкани.</w:t>
      </w:r>
    </w:p>
  </w:footnote>
  <w:footnote w:id="33">
    <w:p>
      <w:pPr>
        <w:pStyle w:val="FootnoteText"/>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34">
    <w:p>
      <w:pPr>
        <w:pStyle w:val="FootnoteText"/>
      </w:pPr>
      <w:r>
        <w:rPr>
          <w:rStyle w:val="FootnoteReference"/>
        </w:rPr>
        <w:footnoteRef/>
      </w:r>
      <w:r>
        <w:tab/>
        <w:t>Година N е годината, в която започва да се изпълнява предложението/инициативата.</w:t>
      </w:r>
    </w:p>
  </w:footnote>
  <w:footnote w:id="35">
    <w:p>
      <w:pPr>
        <w:pStyle w:val="FootnoteText"/>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36">
    <w:p>
      <w:pPr>
        <w:pStyle w:val="FootnoteText"/>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37">
    <w:p>
      <w:pPr>
        <w:pStyle w:val="FootnoteText"/>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38">
    <w:p>
      <w:pPr>
        <w:pStyle w:val="FootnoteText"/>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2">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8"/>
  </w:num>
  <w:num w:numId="4">
    <w:abstractNumId w:val="16"/>
  </w:num>
  <w:num w:numId="5">
    <w:abstractNumId w:val="15"/>
  </w:num>
  <w:num w:numId="6">
    <w:abstractNumId w:val="26"/>
  </w:num>
  <w:num w:numId="7">
    <w:abstractNumId w:val="23"/>
  </w:num>
  <w:num w:numId="8">
    <w:abstractNumId w:val="27"/>
  </w:num>
  <w:num w:numId="9">
    <w:abstractNumId w:val="28"/>
  </w:num>
  <w:num w:numId="10">
    <w:abstractNumId w:val="2"/>
  </w:num>
  <w:num w:numId="11">
    <w:abstractNumId w:val="10"/>
  </w:num>
  <w:num w:numId="12">
    <w:abstractNumId w:val="3"/>
  </w:num>
  <w:num w:numId="13">
    <w:abstractNumId w:val="11"/>
  </w:num>
  <w:num w:numId="14">
    <w:abstractNumId w:val="9"/>
  </w:num>
  <w:num w:numId="15">
    <w:abstractNumId w:val="17"/>
  </w:num>
  <w:num w:numId="16">
    <w:abstractNumId w:val="1"/>
  </w:num>
  <w:num w:numId="17">
    <w:abstractNumId w:val="29"/>
    <w:lvlOverride w:ilvl="0">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6"/>
  </w:num>
  <w:num w:numId="34">
    <w:abstractNumId w:val="15"/>
  </w:num>
  <w:num w:numId="35">
    <w:abstractNumId w:val="22"/>
  </w:num>
  <w:num w:numId="36">
    <w:abstractNumId w:val="12"/>
  </w:num>
  <w:num w:numId="37">
    <w:abstractNumId w:val="25"/>
  </w:num>
  <w:num w:numId="38">
    <w:abstractNumId w:val="7"/>
  </w:num>
  <w:num w:numId="39">
    <w:abstractNumId w:val="13"/>
  </w:num>
  <w:num w:numId="40">
    <w:abstractNumId w:val="5"/>
  </w:num>
  <w:num w:numId="41">
    <w:abstractNumId w:val="24"/>
  </w:num>
  <w:num w:numId="42">
    <w:abstractNumId w:val="4"/>
  </w:num>
  <w:num w:numId="43">
    <w:abstractNumId w:val="14"/>
  </w:num>
  <w:num w:numId="44">
    <w:abstractNumId w:val="20"/>
  </w:num>
  <w:num w:numId="45">
    <w:abstractNumId w:val="21"/>
  </w:num>
  <w:num w:numId="46">
    <w:abstractNumId w:val="6"/>
  </w:num>
  <w:num w:numId="47">
    <w:abstractNumId w:val="18"/>
  </w:num>
  <w:num w:numId="48">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1 12:12: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E7770FF2-FB16-45CC-843A-BA712640CD29"/>
    <w:docVar w:name="LW_COVERPAGE_TYPE" w:val="1"/>
    <w:docVar w:name="LW_CROSSREFERENCE" w:val="&lt;UNUSED&gt;"/>
    <w:docVar w:name="LW_DocType" w:val="COM"/>
    <w:docVar w:name="LW_EMISSION" w:val="28.5.2020"/>
    <w:docVar w:name="LW_EMISSION_ISODATE" w:val="2020-05-28"/>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03"/>
    <w:docVar w:name="LW_REF.II.NEW.CP_YEAR" w:val="2020"/>
    <w:docVar w:name="LW_REF.INST.NEW" w:val="COM"/>
    <w:docVar w:name="LW_REF.INST.NEW_ADOPTED" w:val="final"/>
    <w:docVar w:name="LW_REF.INST.NEW_TEXT" w:val="(2020) 4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80?\u1085?\u1089?\u1090?\u1088?\u1091?\u1084?\u1077?\u1085?\u1090? \u1079?\u1072? \u1090?\u1077?\u1093?\u1085?\u1080?\u1095?\u1077?\u1089?\u1082?\u1072? \u1087?\u1086?\u1076?\u1082?\u1088?\u1077?\u1087?\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lang w:val="bg-BG"/>
    </w:rPr>
  </w:style>
  <w:style w:type="paragraph" w:customStyle="1" w:styleId="Dash4">
    <w:name w:val="Dash 4"/>
    <w:basedOn w:val="Normal"/>
    <w:pPr>
      <w:numPr>
        <w:numId w:val="16"/>
      </w:numPr>
      <w:spacing w:before="0" w:after="200" w:line="360" w:lineRule="auto"/>
      <w:jc w:val="left"/>
    </w:pPr>
  </w:style>
  <w:style w:type="character" w:customStyle="1" w:styleId="Text1Char">
    <w:name w:val="Text 1 Char"/>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lang w:val="bg-BG"/>
    </w:rPr>
  </w:style>
  <w:style w:type="paragraph" w:customStyle="1" w:styleId="Dash4">
    <w:name w:val="Dash 4"/>
    <w:basedOn w:val="Normal"/>
    <w:pPr>
      <w:numPr>
        <w:numId w:val="16"/>
      </w:numPr>
      <w:spacing w:before="0" w:after="200" w:line="360" w:lineRule="auto"/>
      <w:jc w:val="left"/>
    </w:pPr>
  </w:style>
  <w:style w:type="character" w:customStyle="1" w:styleId="Text1Char">
    <w:name w:val="Text 1 Char"/>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5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en.html" TargetMode="External"/><Relationship Id="rId2" Type="http://schemas.openxmlformats.org/officeDocument/2006/relationships/hyperlink" Target="https://ec.europa.eu/info/publications/annual-monitoring-reports_en" TargetMode="External"/><Relationship Id="rId1" Type="http://schemas.openxmlformats.org/officeDocument/2006/relationships/hyperlink" Target="https://ec.europa.eu/info/publications/structural-reform-support-programme-financing-decisions-and-annual-work-programme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DEF87-7B80-47DB-B0D0-0B96E10F0E30}">
  <ds:schemaRefs>
    <ds:schemaRef ds:uri="http://schemas.microsoft.com/sharepoint/v3/contenttype/forms"/>
  </ds:schemaRefs>
</ds:datastoreItem>
</file>

<file path=customXml/itemProps2.xml><?xml version="1.0" encoding="utf-8"?>
<ds:datastoreItem xmlns:ds="http://schemas.openxmlformats.org/officeDocument/2006/customXml" ds:itemID="{E8B46175-F381-4D9B-8EB3-0C42B8A5C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DB5BEC-BFBC-4F6D-B9B6-28002DC86968}">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BCABD78-532F-42A6-BD2A-FF097770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39</Pages>
  <Words>12622</Words>
  <Characters>77502</Characters>
  <Application>Microsoft Office Word</Application>
  <DocSecurity>0</DocSecurity>
  <Lines>2039</Lines>
  <Paragraphs>797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2020-06-01T10:11:00Z</dcterms:created>
  <dcterms:modified xsi:type="dcterms:W3CDTF">2020-06-02T09:24:00Z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Yellow (DQC version 03)</vt:lpwstr>
  </property>
</Properties>
</file>