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E25" w:rsidRDefault="007775D0" w:rsidP="007775D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81F1A8C-9849-4EDE-AD12-D644D9C71B2A" style="width:450.6pt;height:370.45pt">
            <v:imagedata r:id="rId8" o:title=""/>
          </v:shape>
        </w:pict>
      </w:r>
    </w:p>
    <w:p w:rsidR="00806E25" w:rsidRDefault="00806E25">
      <w:pPr>
        <w:rPr>
          <w:noProof/>
        </w:rPr>
        <w:sectPr w:rsidR="00806E25" w:rsidSect="007775D0">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806E25" w:rsidRDefault="007775D0">
      <w:pPr>
        <w:pStyle w:val="Annexetitre"/>
        <w:rPr>
          <w:noProof/>
        </w:rPr>
      </w:pPr>
      <w:bookmarkStart w:id="0" w:name="_GoBack"/>
      <w:bookmarkEnd w:id="0"/>
      <w:r>
        <w:rPr>
          <w:noProof/>
        </w:rPr>
        <w:lastRenderedPageBreak/>
        <w:t>ANNEX I</w:t>
      </w:r>
    </w:p>
    <w:p w:rsidR="00806E25" w:rsidRDefault="00806E25">
      <w:pPr>
        <w:rPr>
          <w:noProof/>
        </w:rPr>
      </w:pPr>
    </w:p>
    <w:p w:rsidR="00806E25" w:rsidRDefault="007775D0">
      <w:pPr>
        <w:pStyle w:val="ListParagraph"/>
        <w:rPr>
          <w:b/>
          <w:noProof/>
        </w:rPr>
      </w:pPr>
      <w:r>
        <w:rPr>
          <w:noProof/>
        </w:rPr>
        <w:t>Methodology for the calculation of the maximum financial contribution (</w:t>
      </w:r>
      <w:r>
        <w:rPr>
          <w:b/>
          <w:noProof/>
        </w:rPr>
        <w:t xml:space="preserve">i.e. </w:t>
      </w:r>
      <w:r>
        <w:rPr>
          <w:b/>
          <w:noProof/>
          <w:szCs w:val="24"/>
        </w:rPr>
        <w:t>the non-repayable financial support)</w:t>
      </w:r>
      <w:r>
        <w:rPr>
          <w:b/>
          <w:noProof/>
        </w:rPr>
        <w:t xml:space="preserve"> per Member State under the Facility</w:t>
      </w:r>
    </w:p>
    <w:p w:rsidR="00806E25" w:rsidRDefault="00806E25">
      <w:pPr>
        <w:rPr>
          <w:noProof/>
        </w:rPr>
      </w:pPr>
    </w:p>
    <w:p w:rsidR="00806E25" w:rsidRDefault="007775D0">
      <w:pPr>
        <w:spacing w:before="0" w:after="200"/>
        <w:rPr>
          <w:noProof/>
        </w:rPr>
      </w:pPr>
      <w:r>
        <w:rPr>
          <w:noProof/>
        </w:rPr>
        <w:t>This annex sets out the methodology for calculating the maximum financial contribution available for each Member State. The method takes into account:</w:t>
      </w:r>
    </w:p>
    <w:p w:rsidR="00806E25" w:rsidRDefault="007775D0">
      <w:pPr>
        <w:pStyle w:val="Bullet0"/>
        <w:rPr>
          <w:noProof/>
          <w:lang w:val="en-IE"/>
        </w:rPr>
      </w:pPr>
      <w:r>
        <w:rPr>
          <w:noProof/>
          <w:lang w:val="en-IE"/>
        </w:rPr>
        <w:t>Population;</w:t>
      </w:r>
    </w:p>
    <w:p w:rsidR="00806E25" w:rsidRDefault="007775D0">
      <w:pPr>
        <w:pStyle w:val="Bullet0"/>
        <w:rPr>
          <w:noProof/>
          <w:lang w:val="en-IE"/>
        </w:rPr>
      </w:pPr>
      <w:r>
        <w:rPr>
          <w:noProof/>
          <w:lang w:val="en-IE"/>
        </w:rPr>
        <w:t>The inverse of GDP per capita;</w:t>
      </w:r>
    </w:p>
    <w:p w:rsidR="00806E25" w:rsidRDefault="007775D0">
      <w:pPr>
        <w:pStyle w:val="Bullet0"/>
        <w:rPr>
          <w:noProof/>
          <w:lang w:val="en-IE"/>
        </w:rPr>
      </w:pPr>
      <w:r>
        <w:rPr>
          <w:noProof/>
          <w:lang w:val="en-IE"/>
        </w:rPr>
        <w:t xml:space="preserve">The </w:t>
      </w:r>
      <w:r>
        <w:rPr>
          <w:bCs/>
          <w:noProof/>
          <w:lang w:val="en-IE"/>
        </w:rPr>
        <w:t>average unemployment</w:t>
      </w:r>
      <w:r>
        <w:rPr>
          <w:bCs/>
          <w:noProof/>
          <w:lang w:val="en-IE"/>
        </w:rPr>
        <w:t xml:space="preserve"> rate</w:t>
      </w:r>
      <w:r>
        <w:rPr>
          <w:b/>
          <w:bCs/>
          <w:noProof/>
          <w:lang w:val="en-IE"/>
        </w:rPr>
        <w:t xml:space="preserve"> </w:t>
      </w:r>
      <w:r>
        <w:rPr>
          <w:noProof/>
          <w:lang w:val="en-IE"/>
        </w:rPr>
        <w:t xml:space="preserve">over the past 5 years compared to the EU average (2015-2019). </w:t>
      </w:r>
    </w:p>
    <w:p w:rsidR="00806E25" w:rsidRDefault="007775D0">
      <w:pPr>
        <w:rPr>
          <w:noProof/>
          <w:lang w:val="en-IE"/>
        </w:rPr>
      </w:pPr>
      <w:r>
        <w:rPr>
          <w:noProof/>
          <w:lang w:val="en-IE"/>
        </w:rPr>
        <w:t>To avoid excessive concentration of resources:</w:t>
      </w:r>
    </w:p>
    <w:p w:rsidR="00806E25" w:rsidRDefault="007775D0">
      <w:pPr>
        <w:pStyle w:val="Bullet0"/>
        <w:rPr>
          <w:noProof/>
          <w:lang w:val="en-IE"/>
        </w:rPr>
      </w:pPr>
      <w:r>
        <w:rPr>
          <w:noProof/>
        </w:rPr>
        <w:t>the inverse GDP per capita is capped at 150% of EU average</w:t>
      </w:r>
    </w:p>
    <w:p w:rsidR="00806E25" w:rsidRDefault="007775D0">
      <w:pPr>
        <w:pStyle w:val="Bullet0"/>
        <w:rPr>
          <w:noProof/>
          <w:lang w:val="en-IE"/>
        </w:rPr>
      </w:pPr>
      <w:r>
        <w:rPr>
          <w:noProof/>
          <w:lang w:val="en-IE"/>
        </w:rPr>
        <w:t xml:space="preserve">the deviation of individual country’s unemployment rate from the EU average is </w:t>
      </w:r>
      <w:r>
        <w:rPr>
          <w:noProof/>
          <w:lang w:val="en-IE"/>
        </w:rPr>
        <w:t>capped to 150% of EU average</w:t>
      </w:r>
    </w:p>
    <w:p w:rsidR="00806E25" w:rsidRDefault="007775D0">
      <w:pPr>
        <w:pStyle w:val="Bullet0"/>
        <w:rPr>
          <w:rFonts w:eastAsia="Times New Roman"/>
          <w:noProof/>
          <w:szCs w:val="20"/>
          <w:lang w:val="en-IE" w:eastAsia="fr-BE"/>
        </w:rPr>
      </w:pPr>
      <w:r>
        <w:rPr>
          <w:noProof/>
          <w:lang w:val="en-IE"/>
        </w:rPr>
        <w:t>To account for the generally more stable labour markets of wealthier Member States (with GNI per capita above EU average) the deviation of their unemployment rate from the EU average is capped to 75%.</w:t>
      </w:r>
    </w:p>
    <w:p w:rsidR="00806E25" w:rsidRDefault="007775D0">
      <w:pPr>
        <w:spacing w:before="0" w:after="200"/>
        <w:rPr>
          <w:noProof/>
        </w:rPr>
      </w:pPr>
      <w:r>
        <w:rPr>
          <w:noProof/>
        </w:rPr>
        <w:t>The maximum financial cont</w:t>
      </w:r>
      <w:r>
        <w:rPr>
          <w:noProof/>
        </w:rPr>
        <w:t>ribution of a Member State under the Facility (</w:t>
      </w:r>
      <m:oMath>
        <m:sSub>
          <m:sSubPr>
            <m:ctrlPr>
              <w:rPr>
                <w:rFonts w:ascii="Cambria Math" w:hAnsi="Cambria Math"/>
                <w:i/>
                <w:noProof/>
              </w:rPr>
            </m:ctrlPr>
          </m:sSubPr>
          <m:e>
            <m:r>
              <w:rPr>
                <w:rFonts w:ascii="Cambria Math" w:hAnsi="Cambria Math"/>
                <w:noProof/>
              </w:rPr>
              <m:t>MFC</m:t>
            </m:r>
          </m:e>
          <m:sub>
            <m:r>
              <w:rPr>
                <w:rFonts w:ascii="Cambria Math" w:hAnsi="Cambria Math"/>
                <w:noProof/>
              </w:rPr>
              <m:t>i</m:t>
            </m:r>
          </m:sub>
        </m:sSub>
      </m:oMath>
      <w:r>
        <w:rPr>
          <w:noProof/>
        </w:rPr>
        <w:t>) is defined as follows:</w:t>
      </w:r>
    </w:p>
    <w:p w:rsidR="00806E25" w:rsidRDefault="007775D0">
      <w:pPr>
        <w:spacing w:before="0" w:after="200"/>
        <w:rPr>
          <w:noProof/>
        </w:rPr>
      </w:pPr>
      <m:oMathPara>
        <m:oMathParaPr>
          <m:jc m:val="center"/>
        </m:oMathParaPr>
        <m:oMath>
          <m:sSub>
            <m:sSubPr>
              <m:ctrlPr>
                <w:rPr>
                  <w:rFonts w:ascii="Cambria Math" w:hAnsi="Cambria Math"/>
                  <w:i/>
                  <w:noProof/>
                </w:rPr>
              </m:ctrlPr>
            </m:sSubPr>
            <m:e>
              <m:sSub>
                <m:sSubPr>
                  <m:ctrlPr>
                    <w:rPr>
                      <w:rFonts w:ascii="Cambria Math" w:hAnsi="Cambria Math"/>
                      <w:i/>
                      <w:noProof/>
                    </w:rPr>
                  </m:ctrlPr>
                </m:sSubPr>
                <m:e>
                  <m:r>
                    <w:rPr>
                      <w:rFonts w:ascii="Cambria Math" w:hAnsi="Cambria Math"/>
                      <w:noProof/>
                    </w:rPr>
                    <m:t>MFC</m:t>
                  </m:r>
                </m:e>
                <m:sub>
                  <m:r>
                    <w:rPr>
                      <w:rFonts w:ascii="Cambria Math" w:hAnsi="Cambria Math"/>
                      <w:noProof/>
                    </w:rPr>
                    <m:t>i</m:t>
                  </m:r>
                </m:sub>
              </m:sSub>
              <m:r>
                <w:rPr>
                  <w:rFonts w:ascii="Cambria Math" w:hAnsi="Cambria Math"/>
                  <w:noProof/>
                </w:rPr>
                <m:t>=</m:t>
              </m:r>
              <m:r>
                <w:rPr>
                  <w:rFonts w:ascii="Cambria Math" w:hAnsi="Cambria Math"/>
                  <w:noProof/>
                </w:rPr>
                <m:t>α</m:t>
              </m:r>
            </m:e>
            <m:sub>
              <m:r>
                <w:rPr>
                  <w:rFonts w:ascii="Cambria Math" w:hAnsi="Cambria Math"/>
                  <w:noProof/>
                </w:rPr>
                <m:t>i</m:t>
              </m:r>
            </m:sub>
          </m:sSub>
          <m:r>
            <w:rPr>
              <w:rFonts w:ascii="Cambria Math" w:hAnsi="Cambria Math"/>
              <w:noProof/>
            </w:rPr>
            <m:t>×(</m:t>
          </m:r>
          <m:r>
            <w:rPr>
              <w:rFonts w:ascii="Cambria Math" w:hAnsi="Cambria Math"/>
              <w:noProof/>
            </w:rPr>
            <m:t>FS</m:t>
          </m:r>
          <m:r>
            <w:rPr>
              <w:rFonts w:ascii="Cambria Math" w:hAnsi="Cambria Math"/>
              <w:noProof/>
            </w:rPr>
            <m:t>)</m:t>
          </m:r>
        </m:oMath>
      </m:oMathPara>
    </w:p>
    <w:p w:rsidR="00806E25" w:rsidRDefault="007775D0">
      <w:pPr>
        <w:spacing w:before="0" w:after="200"/>
        <w:rPr>
          <w:noProof/>
        </w:rPr>
      </w:pPr>
      <w:r>
        <w:rPr>
          <w:noProof/>
        </w:rPr>
        <w:t>where:</w:t>
      </w:r>
    </w:p>
    <w:p w:rsidR="00806E25" w:rsidRDefault="007775D0">
      <w:pPr>
        <w:spacing w:before="0" w:after="200"/>
        <w:rPr>
          <w:noProof/>
        </w:rPr>
      </w:pPr>
      <w:r>
        <w:rPr>
          <w:i/>
          <w:noProof/>
        </w:rPr>
        <w:t>FS</w:t>
      </w:r>
      <w:r>
        <w:rPr>
          <w:noProof/>
        </w:rPr>
        <w:t xml:space="preserve"> (Financial Support) is the available financial envelope under the facility as referred to Article 5(1)(a); and </w:t>
      </w:r>
    </w:p>
    <w:p w:rsidR="00806E25" w:rsidRDefault="007775D0">
      <w:pPr>
        <w:spacing w:before="0" w:after="200"/>
        <w:rPr>
          <w:noProof/>
        </w:rPr>
      </w:p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oMath>
      <w:r>
        <w:rPr>
          <w:noProof/>
        </w:rPr>
        <w:t xml:space="preserve"> is the allocation key of Member State </w:t>
      </w:r>
      <w:r>
        <w:rPr>
          <w:i/>
          <w:noProof/>
        </w:rPr>
        <w:t xml:space="preserve">i, </w:t>
      </w:r>
      <w:r>
        <w:rPr>
          <w:noProof/>
        </w:rPr>
        <w:t>defined as:</w:t>
      </w:r>
    </w:p>
    <w:p w:rsidR="00806E25" w:rsidRDefault="007775D0">
      <w:pPr>
        <w:spacing w:before="0" w:after="200"/>
        <w:jc w:val="center"/>
        <w:rPr>
          <w:noProof/>
        </w:rPr>
      </w:p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r>
          <w:rPr>
            <w:rFonts w:ascii="Cambria Math" w:hAnsi="Cambria Math"/>
            <w:noProof/>
          </w:rPr>
          <m:t xml:space="preserve">= </m:t>
        </m:r>
        <m:f>
          <m:fPr>
            <m:ctrlPr>
              <w:rPr>
                <w:rFonts w:ascii="Cambria Math" w:hAnsi="Cambria Math"/>
                <w:i/>
                <w:noProof/>
              </w:rPr>
            </m:ctrlPr>
          </m:fPr>
          <m:num>
            <m:f>
              <m:fPr>
                <m:ctrlPr>
                  <w:rPr>
                    <w:rFonts w:ascii="Cambria Math" w:hAnsi="Cambria Math"/>
                    <w:i/>
                    <w:noProof/>
                  </w:rPr>
                </m:ctrlPr>
              </m:fPr>
              <m:num>
                <m:sSubSup>
                  <m:sSubSupPr>
                    <m:ctrlPr>
                      <w:rPr>
                        <w:rFonts w:ascii="Cambria Math" w:hAnsi="Cambria Math"/>
                        <w:i/>
                        <w:noProof/>
                      </w:rPr>
                    </m:ctrlPr>
                  </m:sSubSupPr>
                  <m:e>
                    <m:r>
                      <w:rPr>
                        <w:rFonts w:ascii="Cambria Math" w:hAnsi="Cambria Math"/>
                        <w:noProof/>
                      </w:rPr>
                      <m:t>GDP</m:t>
                    </m:r>
                  </m:e>
                  <m:sub>
                    <m:r>
                      <w:rPr>
                        <w:rFonts w:ascii="Cambria Math" w:hAnsi="Cambria Math"/>
                        <w:noProof/>
                      </w:rPr>
                      <m:t>average</m:t>
                    </m:r>
                  </m:sub>
                  <m:sup>
                    <m:r>
                      <w:rPr>
                        <w:rFonts w:ascii="Cambria Math" w:hAnsi="Cambria Math"/>
                        <w:noProof/>
                      </w:rPr>
                      <m:t>PC</m:t>
                    </m:r>
                  </m:sup>
                </m:sSubSup>
              </m:num>
              <m:den>
                <m:sSubSup>
                  <m:sSubSupPr>
                    <m:ctrlPr>
                      <w:rPr>
                        <w:rFonts w:ascii="Cambria Math" w:hAnsi="Cambria Math"/>
                        <w:i/>
                        <w:noProof/>
                      </w:rPr>
                    </m:ctrlPr>
                  </m:sSubSupPr>
                  <m:e>
                    <m:r>
                      <w:rPr>
                        <w:rFonts w:ascii="Cambria Math" w:hAnsi="Cambria Math"/>
                        <w:noProof/>
                      </w:rPr>
                      <m:t>GDP</m:t>
                    </m:r>
                  </m:e>
                  <m:sub>
                    <m:r>
                      <w:rPr>
                        <w:rFonts w:ascii="Cambria Math" w:hAnsi="Cambria Math"/>
                        <w:noProof/>
                      </w:rPr>
                      <m:t>i</m:t>
                    </m:r>
                  </m:sub>
                  <m:sup>
                    <m:r>
                      <w:rPr>
                        <w:rFonts w:ascii="Cambria Math" w:hAnsi="Cambria Math"/>
                        <w:noProof/>
                      </w:rPr>
                      <m:t>PC</m:t>
                    </m:r>
                  </m:sup>
                </m:sSubSup>
              </m:den>
            </m:f>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pop</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pop</m:t>
                    </m:r>
                  </m:e>
                  <m:sub>
                    <m:r>
                      <w:rPr>
                        <w:rFonts w:ascii="Cambria Math" w:hAnsi="Cambria Math"/>
                        <w:noProof/>
                      </w:rPr>
                      <m:t>EU</m:t>
                    </m:r>
                  </m:sub>
                </m:sSub>
              </m:den>
            </m:f>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U</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U</m:t>
                    </m:r>
                  </m:e>
                  <m:sub>
                    <m:r>
                      <w:rPr>
                        <w:rFonts w:ascii="Cambria Math" w:hAnsi="Cambria Math"/>
                        <w:noProof/>
                      </w:rPr>
                      <m:t>EU</m:t>
                    </m:r>
                  </m:sub>
                </m:sSub>
              </m:den>
            </m:f>
          </m:num>
          <m:den>
            <m:nary>
              <m:naryPr>
                <m:chr m:val="∑"/>
                <m:grow m:val="1"/>
                <m:ctrlPr>
                  <w:rPr>
                    <w:rFonts w:ascii="Cambria Math" w:hAnsi="Cambria Math"/>
                    <w:noProof/>
                  </w:rPr>
                </m:ctrlPr>
              </m:naryPr>
              <m:sub>
                <m:r>
                  <w:rPr>
                    <w:rFonts w:ascii="Cambria Math" w:hAnsi="Cambria Math"/>
                    <w:noProof/>
                  </w:rPr>
                  <m:t>i</m:t>
                </m:r>
                <m:r>
                  <w:rPr>
                    <w:rFonts w:ascii="Cambria Math" w:hAnsi="Cambria Math"/>
                    <w:noProof/>
                  </w:rPr>
                  <m:t>=1</m:t>
                </m:r>
              </m:sub>
              <m:sup>
                <m:r>
                  <w:rPr>
                    <w:rFonts w:ascii="Cambria Math" w:hAnsi="Cambria Math"/>
                    <w:noProof/>
                  </w:rPr>
                  <m:t>19</m:t>
                </m:r>
              </m:sup>
              <m:e>
                <m:f>
                  <m:fPr>
                    <m:ctrlPr>
                      <w:rPr>
                        <w:rFonts w:ascii="Cambria Math" w:hAnsi="Cambria Math"/>
                        <w:i/>
                        <w:noProof/>
                      </w:rPr>
                    </m:ctrlPr>
                  </m:fPr>
                  <m:num>
                    <m:sSubSup>
                      <m:sSubSupPr>
                        <m:ctrlPr>
                          <w:rPr>
                            <w:rFonts w:ascii="Cambria Math" w:hAnsi="Cambria Math"/>
                            <w:i/>
                            <w:noProof/>
                          </w:rPr>
                        </m:ctrlPr>
                      </m:sSubSupPr>
                      <m:e>
                        <m:r>
                          <w:rPr>
                            <w:rFonts w:ascii="Cambria Math" w:hAnsi="Cambria Math"/>
                            <w:noProof/>
                          </w:rPr>
                          <m:t>GDP</m:t>
                        </m:r>
                      </m:e>
                      <m:sub>
                        <m:r>
                          <w:rPr>
                            <w:rFonts w:ascii="Cambria Math" w:hAnsi="Cambria Math"/>
                            <w:noProof/>
                          </w:rPr>
                          <m:t>average</m:t>
                        </m:r>
                      </m:sub>
                      <m:sup>
                        <m:r>
                          <w:rPr>
                            <w:rFonts w:ascii="Cambria Math" w:hAnsi="Cambria Math"/>
                            <w:noProof/>
                          </w:rPr>
                          <m:t>PC</m:t>
                        </m:r>
                      </m:sup>
                    </m:sSubSup>
                  </m:num>
                  <m:den>
                    <m:sSubSup>
                      <m:sSubSupPr>
                        <m:ctrlPr>
                          <w:rPr>
                            <w:rFonts w:ascii="Cambria Math" w:hAnsi="Cambria Math"/>
                            <w:i/>
                            <w:noProof/>
                          </w:rPr>
                        </m:ctrlPr>
                      </m:sSubSupPr>
                      <m:e>
                        <m:r>
                          <w:rPr>
                            <w:rFonts w:ascii="Cambria Math" w:hAnsi="Cambria Math"/>
                            <w:noProof/>
                          </w:rPr>
                          <m:t>GDP</m:t>
                        </m:r>
                      </m:e>
                      <m:sub>
                        <m:r>
                          <w:rPr>
                            <w:rFonts w:ascii="Cambria Math" w:hAnsi="Cambria Math"/>
                            <w:noProof/>
                          </w:rPr>
                          <m:t>i</m:t>
                        </m:r>
                      </m:sub>
                      <m:sup>
                        <m:r>
                          <w:rPr>
                            <w:rFonts w:ascii="Cambria Math" w:hAnsi="Cambria Math"/>
                            <w:noProof/>
                          </w:rPr>
                          <m:t>PC</m:t>
                        </m:r>
                      </m:sup>
                    </m:sSubSup>
                  </m:den>
                </m:f>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pop</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pop</m:t>
                        </m:r>
                      </m:e>
                      <m:sub>
                        <m:r>
                          <w:rPr>
                            <w:rFonts w:ascii="Cambria Math" w:hAnsi="Cambria Math"/>
                            <w:noProof/>
                          </w:rPr>
                          <m:t>EU</m:t>
                        </m:r>
                      </m:sub>
                    </m:sSub>
                  </m:den>
                </m:f>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U</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U</m:t>
                        </m:r>
                      </m:e>
                      <m:sub>
                        <m:r>
                          <w:rPr>
                            <w:rFonts w:ascii="Cambria Math" w:hAnsi="Cambria Math"/>
                            <w:noProof/>
                          </w:rPr>
                          <m:t>EU</m:t>
                        </m:r>
                      </m:sub>
                    </m:sSub>
                  </m:den>
                </m:f>
              </m:e>
            </m:nary>
          </m:den>
        </m:f>
      </m:oMath>
      <w:r>
        <w:rPr>
          <w:noProof/>
        </w:rPr>
        <w:t xml:space="preserve">, </w:t>
      </w:r>
    </w:p>
    <w:p w:rsidR="00806E25" w:rsidRDefault="007775D0">
      <w:pPr>
        <w:spacing w:before="0" w:after="200"/>
        <w:jc w:val="center"/>
        <w:rPr>
          <w:noProof/>
        </w:rPr>
      </w:pPr>
      <w:r>
        <w:rPr>
          <w:noProof/>
        </w:rPr>
        <w:t xml:space="preserve">with </w:t>
      </w:r>
      <w:r>
        <w:rPr>
          <w:rFonts w:asciiTheme="minorHAnsi" w:hAnsi="Calibri" w:cstheme="minorBidi"/>
          <w:noProof/>
          <w:color w:val="000000" w:themeColor="text1"/>
          <w:kern w:val="24"/>
          <w:sz w:val="20"/>
          <w:szCs w:val="20"/>
          <w:lang w:val="en-IE"/>
        </w:rPr>
        <w:t>1.</w:t>
      </w:r>
      <m:oMath>
        <m:r>
          <m:rPr>
            <m:sty m:val="p"/>
          </m:rPr>
          <w:rPr>
            <w:rFonts w:ascii="Cambria Math" w:eastAsia="Cambria Math" w:hAnsi="Cambria Math" w:cstheme="minorBidi"/>
            <w:noProof/>
            <w:color w:val="000000" w:themeColor="text1"/>
            <w:kern w:val="24"/>
            <w:sz w:val="20"/>
            <w:szCs w:val="20"/>
            <w:lang w:val="en-IE"/>
          </w:rPr>
          <m:t>5</m:t>
        </m:r>
        <m:r>
          <w:rPr>
            <w:rFonts w:ascii="Cambria Math" w:eastAsia="Cambria Math" w:hAnsi="Cambria Math" w:cstheme="minorBidi"/>
            <w:noProof/>
            <w:color w:val="000000" w:themeColor="text1"/>
            <w:kern w:val="24"/>
            <w:sz w:val="20"/>
            <w:szCs w:val="20"/>
            <w:lang w:val="en-IE"/>
          </w:rPr>
          <m:t>≥</m:t>
        </m:r>
        <m:f>
          <m:fPr>
            <m:ctrlPr>
              <w:rPr>
                <w:rFonts w:ascii="Cambria Math" w:eastAsiaTheme="minorEastAsia" w:hAnsi="Cambria Math" w:cstheme="minorBidi"/>
                <w:i/>
                <w:iCs/>
                <w:noProof/>
                <w:color w:val="000000" w:themeColor="text1"/>
                <w:kern w:val="24"/>
                <w:sz w:val="20"/>
                <w:szCs w:val="20"/>
                <w:lang w:val="en-IE"/>
              </w:rPr>
            </m:ctrlPr>
          </m:fPr>
          <m:num>
            <m:sSubSup>
              <m:sSubSupPr>
                <m:ctrlPr>
                  <w:rPr>
                    <w:rFonts w:ascii="Cambria Math" w:eastAsiaTheme="minorEastAsia" w:hAnsi="Cambria Math" w:cstheme="minorBidi"/>
                    <w:i/>
                    <w:iCs/>
                    <w:noProof/>
                    <w:color w:val="000000" w:themeColor="text1"/>
                    <w:kern w:val="24"/>
                    <w:sz w:val="20"/>
                    <w:szCs w:val="20"/>
                    <w:lang w:val="en-IE"/>
                  </w:rPr>
                </m:ctrlPr>
              </m:sSubSupPr>
              <m:e>
                <m:r>
                  <w:rPr>
                    <w:rFonts w:ascii="Cambria Math" w:hAnsi="Cambria Math" w:cstheme="minorBidi"/>
                    <w:noProof/>
                    <w:color w:val="000000" w:themeColor="text1"/>
                    <w:kern w:val="24"/>
                    <w:sz w:val="20"/>
                    <w:szCs w:val="20"/>
                    <w:lang w:val="en-IE"/>
                  </w:rPr>
                  <m:t>GDP</m:t>
                </m:r>
              </m:e>
              <m:sub>
                <m:r>
                  <w:rPr>
                    <w:rFonts w:ascii="Cambria Math" w:hAnsi="Cambria Math" w:cstheme="minorBidi"/>
                    <w:noProof/>
                    <w:color w:val="000000" w:themeColor="text1"/>
                    <w:kern w:val="24"/>
                    <w:sz w:val="20"/>
                    <w:szCs w:val="20"/>
                    <w:lang w:val="en-IE"/>
                  </w:rPr>
                  <m:t>average</m:t>
                </m:r>
                <m:r>
                  <w:rPr>
                    <w:rFonts w:ascii="Cambria Math" w:hAnsi="Cambria Math" w:cstheme="minorBidi"/>
                    <w:noProof/>
                    <w:color w:val="000000" w:themeColor="text1"/>
                    <w:kern w:val="24"/>
                    <w:sz w:val="20"/>
                    <w:szCs w:val="20"/>
                    <w:lang w:val="en-IE"/>
                  </w:rPr>
                  <m:t> </m:t>
                </m:r>
              </m:sub>
              <m:sup>
                <m:r>
                  <w:rPr>
                    <w:rFonts w:ascii="Cambria Math" w:hAnsi="Cambria Math" w:cstheme="minorBidi"/>
                    <w:noProof/>
                    <w:color w:val="000000" w:themeColor="text1"/>
                    <w:kern w:val="24"/>
                    <w:sz w:val="20"/>
                    <w:szCs w:val="20"/>
                    <w:lang w:val="en-IE"/>
                  </w:rPr>
                  <m:t>PC</m:t>
                </m:r>
              </m:sup>
            </m:sSubSup>
          </m:num>
          <m:den>
            <m:sSubSup>
              <m:sSubSupPr>
                <m:ctrlPr>
                  <w:rPr>
                    <w:rFonts w:ascii="Cambria Math" w:eastAsiaTheme="minorEastAsia" w:hAnsi="Cambria Math" w:cstheme="minorBidi"/>
                    <w:i/>
                    <w:iCs/>
                    <w:noProof/>
                    <w:color w:val="000000" w:themeColor="text1"/>
                    <w:kern w:val="24"/>
                    <w:sz w:val="20"/>
                    <w:szCs w:val="20"/>
                    <w:lang w:val="en-IE"/>
                  </w:rPr>
                </m:ctrlPr>
              </m:sSubSupPr>
              <m:e>
                <m:r>
                  <w:rPr>
                    <w:rFonts w:ascii="Cambria Math" w:hAnsi="Cambria Math" w:cstheme="minorBidi"/>
                    <w:noProof/>
                    <w:color w:val="000000" w:themeColor="text1"/>
                    <w:kern w:val="24"/>
                    <w:sz w:val="20"/>
                    <w:szCs w:val="20"/>
                    <w:lang w:val="en-IE"/>
                  </w:rPr>
                  <m:t>GDP</m:t>
                </m:r>
              </m:e>
              <m:sub>
                <m:r>
                  <w:rPr>
                    <w:rFonts w:ascii="Cambria Math" w:hAnsi="Cambria Math" w:cstheme="minorBidi"/>
                    <w:noProof/>
                    <w:color w:val="000000" w:themeColor="text1"/>
                    <w:kern w:val="24"/>
                    <w:sz w:val="20"/>
                    <w:szCs w:val="20"/>
                    <w:lang w:val="en-IE"/>
                  </w:rPr>
                  <m:t>i</m:t>
                </m:r>
              </m:sub>
              <m:sup>
                <m:r>
                  <w:rPr>
                    <w:rFonts w:ascii="Cambria Math" w:hAnsi="Cambria Math" w:cstheme="minorBidi"/>
                    <w:noProof/>
                    <w:color w:val="000000" w:themeColor="text1"/>
                    <w:kern w:val="24"/>
                    <w:sz w:val="20"/>
                    <w:szCs w:val="20"/>
                    <w:lang w:val="en-IE"/>
                  </w:rPr>
                  <m:t>PC</m:t>
                </m:r>
              </m:sup>
            </m:sSubSup>
          </m:den>
        </m:f>
      </m:oMath>
      <w:r>
        <w:rPr>
          <w:noProof/>
        </w:rPr>
        <w:t xml:space="preserve">  </w:t>
      </w:r>
    </w:p>
    <w:p w:rsidR="00806E25" w:rsidRDefault="007775D0">
      <w:pPr>
        <w:spacing w:before="0" w:after="200"/>
        <w:jc w:val="center"/>
        <w:rPr>
          <w:noProof/>
        </w:rPr>
      </w:pPr>
      <w:r>
        <w:rPr>
          <w:noProof/>
        </w:rPr>
        <w:t>and wi</w:t>
      </w:r>
      <w:r>
        <w:rPr>
          <w:noProof/>
        </w:rPr>
        <w:t xml:space="preserve">th   </w:t>
      </w:r>
      <m:oMath>
        <m:sSub>
          <m:sSubPr>
            <m:ctrlPr>
              <w:rPr>
                <w:rFonts w:ascii="Cambria Math" w:hAnsi="Cambria Math"/>
                <w:i/>
                <w:noProof/>
              </w:rPr>
            </m:ctrlPr>
          </m:sSubPr>
          <m:e>
            <m:r>
              <w:rPr>
                <w:rFonts w:ascii="Cambria Math" w:hAnsi="Cambria Math"/>
                <w:noProof/>
              </w:rPr>
              <m:t>1.5≥</m:t>
            </m:r>
            <m:r>
              <w:rPr>
                <w:rFonts w:ascii="Cambria Math" w:hAnsi="Cambria Math"/>
                <w:noProof/>
              </w:rPr>
              <m:t>U</m:t>
            </m:r>
          </m:e>
          <m:sub>
            <m:r>
              <w:rPr>
                <w:rFonts w:ascii="Cambria Math" w:hAnsi="Cambria Math"/>
                <w:noProof/>
              </w:rPr>
              <m:t>i</m:t>
            </m:r>
          </m:sub>
        </m:sSub>
        <m:r>
          <w:rPr>
            <w:rFonts w:ascii="Cambria Math" w:hAnsi="Cambria Math"/>
            <w:noProof/>
          </w:rPr>
          <m:t>/</m:t>
        </m:r>
        <m:sSub>
          <m:sSubPr>
            <m:ctrlPr>
              <w:rPr>
                <w:rFonts w:ascii="Cambria Math" w:hAnsi="Cambria Math"/>
                <w:i/>
                <w:noProof/>
              </w:rPr>
            </m:ctrlPr>
          </m:sSubPr>
          <m:e>
            <m:r>
              <w:rPr>
                <w:rFonts w:ascii="Cambria Math" w:hAnsi="Cambria Math"/>
                <w:noProof/>
              </w:rPr>
              <m:t>U</m:t>
            </m:r>
          </m:e>
          <m:sub>
            <m:r>
              <w:rPr>
                <w:rFonts w:ascii="Cambria Math" w:hAnsi="Cambria Math"/>
                <w:noProof/>
              </w:rPr>
              <m:t>iEU</m:t>
            </m:r>
          </m:sub>
        </m:sSub>
      </m:oMath>
      <w:r>
        <w:rPr>
          <w:rFonts w:eastAsiaTheme="minorEastAsia"/>
          <w:noProof/>
        </w:rPr>
        <w:t xml:space="preserve">  </w:t>
      </w:r>
      <w:r>
        <w:rPr>
          <w:rFonts w:eastAsiaTheme="minorEastAsia"/>
          <w:noProof/>
          <w:sz w:val="20"/>
          <w:szCs w:val="20"/>
        </w:rPr>
        <w:t>and</w:t>
      </w:r>
      <w:r>
        <w:rPr>
          <w:rFonts w:eastAsiaTheme="minorEastAsia"/>
          <w:noProof/>
        </w:rPr>
        <w:t xml:space="preserve"> </w:t>
      </w:r>
      <w:r>
        <w:rPr>
          <w:noProof/>
          <w:color w:val="000000" w:themeColor="text1"/>
          <w:kern w:val="24"/>
          <w:sz w:val="20"/>
          <w:szCs w:val="20"/>
          <w:lang w:val="en-IE"/>
        </w:rPr>
        <w:t>0.75</w:t>
      </w:r>
      <m:oMath>
        <m:r>
          <w:rPr>
            <w:rFonts w:ascii="Cambria Math" w:eastAsia="Cambria Math" w:hAnsi="Cambria Math" w:cstheme="minorBidi"/>
            <w:noProof/>
            <w:color w:val="000000" w:themeColor="text1"/>
            <w:kern w:val="24"/>
            <w:sz w:val="20"/>
            <w:szCs w:val="20"/>
            <w:lang w:val="en-IE"/>
          </w:rPr>
          <m:t>≥</m:t>
        </m:r>
        <m:sSub>
          <m:sSubPr>
            <m:ctrlPr>
              <w:rPr>
                <w:rFonts w:ascii="Cambria Math" w:eastAsiaTheme="minorEastAsia" w:hAnsi="Cambria Math" w:cstheme="minorBidi"/>
                <w:i/>
                <w:iCs/>
                <w:noProof/>
                <w:color w:val="000000" w:themeColor="text1"/>
                <w:kern w:val="24"/>
                <w:sz w:val="20"/>
                <w:szCs w:val="20"/>
                <w:lang w:val="en-IE"/>
              </w:rPr>
            </m:ctrlPr>
          </m:sSubPr>
          <m:e>
            <m:r>
              <w:rPr>
                <w:rFonts w:ascii="Cambria Math" w:hAnsi="Cambria Math" w:cstheme="minorBidi"/>
                <w:noProof/>
                <w:color w:val="000000" w:themeColor="text1"/>
                <w:kern w:val="24"/>
                <w:sz w:val="20"/>
                <w:szCs w:val="20"/>
                <w:lang w:val="en-IE"/>
              </w:rPr>
              <m:t>U</m:t>
            </m:r>
          </m:e>
          <m:sub>
            <m:r>
              <w:rPr>
                <w:rFonts w:ascii="Cambria Math" w:hAnsi="Cambria Math" w:cstheme="minorBidi"/>
                <w:noProof/>
                <w:color w:val="000000" w:themeColor="text1"/>
                <w:kern w:val="24"/>
                <w:sz w:val="20"/>
                <w:szCs w:val="20"/>
                <w:lang w:val="en-IE"/>
              </w:rPr>
              <m:t>i</m:t>
            </m:r>
          </m:sub>
        </m:sSub>
        <m:r>
          <w:rPr>
            <w:rFonts w:ascii="Cambria Math" w:hAnsi="Cambria Math" w:cstheme="minorBidi"/>
            <w:noProof/>
            <w:color w:val="000000" w:themeColor="text1"/>
            <w:kern w:val="24"/>
            <w:sz w:val="20"/>
            <w:szCs w:val="20"/>
            <w:lang w:val="en-IE"/>
          </w:rPr>
          <m:t>/</m:t>
        </m:r>
        <m:sSub>
          <m:sSubPr>
            <m:ctrlPr>
              <w:rPr>
                <w:rFonts w:ascii="Cambria Math" w:eastAsiaTheme="minorEastAsia" w:hAnsi="Cambria Math" w:cstheme="minorBidi"/>
                <w:i/>
                <w:iCs/>
                <w:noProof/>
                <w:color w:val="000000" w:themeColor="text1"/>
                <w:kern w:val="24"/>
                <w:sz w:val="20"/>
                <w:szCs w:val="20"/>
                <w:lang w:val="en-IE"/>
              </w:rPr>
            </m:ctrlPr>
          </m:sSubPr>
          <m:e>
            <m:r>
              <w:rPr>
                <w:rFonts w:ascii="Cambria Math" w:hAnsi="Cambria Math" w:cstheme="minorBidi"/>
                <w:noProof/>
                <w:color w:val="000000" w:themeColor="text1"/>
                <w:kern w:val="24"/>
                <w:sz w:val="20"/>
                <w:szCs w:val="20"/>
                <w:lang w:val="en-IE"/>
              </w:rPr>
              <m:t>U</m:t>
            </m:r>
          </m:e>
          <m:sub>
            <m:r>
              <w:rPr>
                <w:rFonts w:ascii="Cambria Math" w:hAnsi="Cambria Math" w:cstheme="minorBidi"/>
                <w:noProof/>
                <w:color w:val="000000" w:themeColor="text1"/>
                <w:kern w:val="24"/>
                <w:sz w:val="20"/>
                <w:szCs w:val="20"/>
                <w:lang w:val="en-IE"/>
              </w:rPr>
              <m:t>iEU</m:t>
            </m:r>
          </m:sub>
        </m:sSub>
      </m:oMath>
      <w:r>
        <w:rPr>
          <w:rFonts w:asciiTheme="minorHAnsi" w:hAnsi="Calibri" w:cstheme="minorBidi"/>
          <w:noProof/>
          <w:color w:val="000000" w:themeColor="text1"/>
          <w:kern w:val="24"/>
          <w:sz w:val="20"/>
          <w:szCs w:val="20"/>
          <w:lang w:val="en-IE"/>
        </w:rPr>
        <w:t xml:space="preserve"> </w:t>
      </w:r>
      <w:r>
        <w:rPr>
          <w:noProof/>
          <w:color w:val="000000" w:themeColor="text1"/>
          <w:kern w:val="24"/>
          <w:sz w:val="20"/>
          <w:szCs w:val="20"/>
          <w:lang w:val="en-IE"/>
        </w:rPr>
        <w:t>for Member States with</w:t>
      </w:r>
      <w:r>
        <w:rPr>
          <w:rFonts w:asciiTheme="minorHAnsi" w:hAnsi="Calibri" w:cstheme="minorBidi"/>
          <w:noProof/>
          <w:color w:val="000000" w:themeColor="text1"/>
          <w:kern w:val="24"/>
          <w:sz w:val="20"/>
          <w:szCs w:val="20"/>
          <w:lang w:val="en-IE"/>
        </w:rPr>
        <w:t xml:space="preserve"> </w:t>
      </w:r>
      <m:oMath>
        <m:sSubSup>
          <m:sSubSupPr>
            <m:ctrlPr>
              <w:rPr>
                <w:rFonts w:ascii="Cambria Math" w:eastAsiaTheme="minorEastAsia" w:hAnsi="Cambria Math" w:cstheme="minorBidi"/>
                <w:i/>
                <w:iCs/>
                <w:noProof/>
                <w:color w:val="000000" w:themeColor="text1"/>
                <w:kern w:val="24"/>
                <w:sz w:val="20"/>
                <w:szCs w:val="20"/>
                <w:lang w:val="en-IE"/>
              </w:rPr>
            </m:ctrlPr>
          </m:sSubSupPr>
          <m:e>
            <m:r>
              <w:rPr>
                <w:rFonts w:ascii="Cambria Math" w:hAnsi="Cambria Math" w:cstheme="minorBidi"/>
                <w:noProof/>
                <w:color w:val="000000" w:themeColor="text1"/>
                <w:kern w:val="24"/>
                <w:sz w:val="20"/>
                <w:szCs w:val="20"/>
                <w:lang w:val="en-IE"/>
              </w:rPr>
              <m:t>GDP</m:t>
            </m:r>
          </m:e>
          <m:sub>
            <m:r>
              <w:rPr>
                <w:rFonts w:ascii="Cambria Math" w:hAnsi="Cambria Math" w:cstheme="minorBidi"/>
                <w:noProof/>
                <w:color w:val="000000" w:themeColor="text1"/>
                <w:kern w:val="24"/>
                <w:sz w:val="20"/>
                <w:szCs w:val="20"/>
                <w:lang w:val="en-IE"/>
              </w:rPr>
              <m:t>i</m:t>
            </m:r>
          </m:sub>
          <m:sup>
            <m:r>
              <w:rPr>
                <w:rFonts w:ascii="Cambria Math" w:hAnsi="Cambria Math" w:cstheme="minorBidi"/>
                <w:noProof/>
                <w:color w:val="000000" w:themeColor="text1"/>
                <w:kern w:val="24"/>
                <w:sz w:val="20"/>
                <w:szCs w:val="20"/>
                <w:lang w:val="en-IE"/>
              </w:rPr>
              <m:t>PC</m:t>
            </m:r>
          </m:sup>
        </m:sSubSup>
        <m:r>
          <w:rPr>
            <w:rFonts w:ascii="Cambria Math" w:eastAsia="Cambria Math" w:hAnsi="Cambria Math" w:cstheme="minorBidi"/>
            <w:noProof/>
            <w:color w:val="000000" w:themeColor="text1"/>
            <w:kern w:val="24"/>
            <w:sz w:val="20"/>
            <w:szCs w:val="20"/>
            <w:lang w:val="en-IE"/>
          </w:rPr>
          <m:t>&gt;100% * </m:t>
        </m:r>
        <m:sSubSup>
          <m:sSubSupPr>
            <m:ctrlPr>
              <w:rPr>
                <w:rFonts w:ascii="Cambria Math" w:eastAsiaTheme="minorEastAsia" w:hAnsi="Cambria Math" w:cstheme="minorBidi"/>
                <w:i/>
                <w:iCs/>
                <w:noProof/>
                <w:color w:val="000000" w:themeColor="text1"/>
                <w:kern w:val="24"/>
                <w:sz w:val="20"/>
                <w:szCs w:val="20"/>
                <w:lang w:val="en-IE"/>
              </w:rPr>
            </m:ctrlPr>
          </m:sSubSupPr>
          <m:e>
            <m:r>
              <w:rPr>
                <w:rFonts w:ascii="Cambria Math" w:hAnsi="Cambria Math" w:cstheme="minorBidi"/>
                <w:noProof/>
                <w:color w:val="000000" w:themeColor="text1"/>
                <w:kern w:val="24"/>
                <w:sz w:val="20"/>
                <w:szCs w:val="20"/>
                <w:lang w:val="en-IE"/>
              </w:rPr>
              <m:t>GDP</m:t>
            </m:r>
          </m:e>
          <m:sub>
            <m:r>
              <w:rPr>
                <w:rFonts w:ascii="Cambria Math" w:hAnsi="Cambria Math" w:cstheme="minorBidi"/>
                <w:noProof/>
                <w:color w:val="000000" w:themeColor="text1"/>
                <w:kern w:val="24"/>
                <w:sz w:val="20"/>
                <w:szCs w:val="20"/>
                <w:lang w:val="en-IE"/>
              </w:rPr>
              <m:t>average</m:t>
            </m:r>
            <m:r>
              <w:rPr>
                <w:rFonts w:ascii="Cambria Math" w:hAnsi="Cambria Math" w:cstheme="minorBidi"/>
                <w:noProof/>
                <w:color w:val="000000" w:themeColor="text1"/>
                <w:kern w:val="24"/>
                <w:sz w:val="20"/>
                <w:szCs w:val="20"/>
                <w:lang w:val="en-IE"/>
              </w:rPr>
              <m:t> </m:t>
            </m:r>
          </m:sub>
          <m:sup>
            <m:r>
              <w:rPr>
                <w:rFonts w:ascii="Cambria Math" w:hAnsi="Cambria Math" w:cstheme="minorBidi"/>
                <w:noProof/>
                <w:color w:val="000000" w:themeColor="text1"/>
                <w:kern w:val="24"/>
                <w:sz w:val="20"/>
                <w:szCs w:val="20"/>
                <w:lang w:val="en-IE"/>
              </w:rPr>
              <m:t>PC</m:t>
            </m:r>
          </m:sup>
        </m:sSubSup>
      </m:oMath>
    </w:p>
    <w:p w:rsidR="00806E25" w:rsidRDefault="00806E25">
      <w:pPr>
        <w:spacing w:before="0" w:after="200"/>
        <w:rPr>
          <w:noProof/>
          <w:lang w:val="en-IE"/>
        </w:rPr>
      </w:pPr>
    </w:p>
    <w:p w:rsidR="00806E25" w:rsidRDefault="007775D0">
      <w:pPr>
        <w:spacing w:before="0" w:after="200"/>
        <w:rPr>
          <w:noProof/>
        </w:rPr>
      </w:pPr>
      <w:r>
        <w:rPr>
          <w:noProof/>
        </w:rPr>
        <w:t>With:</w:t>
      </w:r>
    </w:p>
    <w:p w:rsidR="00806E25" w:rsidRDefault="007775D0">
      <w:pPr>
        <w:spacing w:before="0" w:after="200"/>
        <w:rPr>
          <w:i/>
          <w:noProof/>
        </w:rPr>
      </w:p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oMath>
      <w:r>
        <w:rPr>
          <w:noProof/>
        </w:rPr>
        <w:t xml:space="preserve">  is the allocation key of country </w:t>
      </w:r>
      <w:r>
        <w:rPr>
          <w:i/>
          <w:noProof/>
        </w:rPr>
        <w:t>i</w:t>
      </w:r>
    </w:p>
    <w:p w:rsidR="00806E25" w:rsidRDefault="007775D0">
      <w:pPr>
        <w:spacing w:before="0" w:after="200"/>
        <w:rPr>
          <w:i/>
          <w:noProof/>
        </w:rPr>
      </w:pPr>
      <m:oMath>
        <m:sSubSup>
          <m:sSubSupPr>
            <m:ctrlPr>
              <w:rPr>
                <w:rFonts w:ascii="Cambria Math" w:hAnsi="Cambria Math"/>
                <w:i/>
                <w:noProof/>
              </w:rPr>
            </m:ctrlPr>
          </m:sSubSupPr>
          <m:e>
            <m:r>
              <w:rPr>
                <w:rFonts w:ascii="Cambria Math" w:hAnsi="Cambria Math"/>
                <w:noProof/>
              </w:rPr>
              <m:t>GDP</m:t>
            </m:r>
          </m:e>
          <m:sub>
            <m:r>
              <w:rPr>
                <w:rFonts w:ascii="Cambria Math" w:hAnsi="Cambria Math"/>
                <w:noProof/>
              </w:rPr>
              <m:t>i</m:t>
            </m:r>
          </m:sub>
          <m:sup>
            <m:r>
              <w:rPr>
                <w:rFonts w:ascii="Cambria Math" w:hAnsi="Cambria Math"/>
                <w:noProof/>
              </w:rPr>
              <m:t>PC</m:t>
            </m:r>
          </m:sup>
        </m:sSubSup>
      </m:oMath>
      <w:r>
        <w:rPr>
          <w:noProof/>
        </w:rPr>
        <w:t xml:space="preserve"> is the 2019 Gross domestic product per capita of country </w:t>
      </w:r>
      <w:r>
        <w:rPr>
          <w:i/>
          <w:noProof/>
        </w:rPr>
        <w:t>i,</w:t>
      </w:r>
    </w:p>
    <w:p w:rsidR="00806E25" w:rsidRDefault="007775D0">
      <w:pPr>
        <w:spacing w:before="0" w:after="200"/>
        <w:rPr>
          <w:i/>
          <w:noProof/>
        </w:rPr>
      </w:pPr>
      <m:oMath>
        <m:sSubSup>
          <m:sSubSupPr>
            <m:ctrlPr>
              <w:rPr>
                <w:rFonts w:ascii="Cambria Math" w:hAnsi="Cambria Math"/>
                <w:i/>
                <w:noProof/>
              </w:rPr>
            </m:ctrlPr>
          </m:sSubSupPr>
          <m:e>
            <m:r>
              <w:rPr>
                <w:rFonts w:ascii="Cambria Math" w:hAnsi="Cambria Math"/>
                <w:noProof/>
              </w:rPr>
              <m:t>GDP</m:t>
            </m:r>
          </m:e>
          <m:sub>
            <m:r>
              <w:rPr>
                <w:rFonts w:ascii="Cambria Math" w:hAnsi="Cambria Math"/>
                <w:noProof/>
              </w:rPr>
              <m:t>average</m:t>
            </m:r>
          </m:sub>
          <m:sup>
            <m:r>
              <w:rPr>
                <w:rFonts w:ascii="Cambria Math" w:hAnsi="Cambria Math"/>
                <w:noProof/>
              </w:rPr>
              <m:t>PC</m:t>
            </m:r>
          </m:sup>
        </m:sSubSup>
      </m:oMath>
      <w:r>
        <w:rPr>
          <w:i/>
          <w:noProof/>
        </w:rPr>
        <w:t xml:space="preserve"> </w:t>
      </w:r>
      <w:r>
        <w:rPr>
          <w:noProof/>
        </w:rPr>
        <w:t>the 2019 weighted Average Gross Domestic product per capita of the EU-27 Member States,</w:t>
      </w:r>
    </w:p>
    <w:p w:rsidR="00806E25" w:rsidRDefault="007775D0">
      <w:pPr>
        <w:spacing w:before="0" w:after="200"/>
        <w:rPr>
          <w:noProof/>
        </w:rPr>
      </w:pPr>
      <m:oMath>
        <m:sSub>
          <m:sSubPr>
            <m:ctrlPr>
              <w:rPr>
                <w:rFonts w:ascii="Cambria Math" w:hAnsi="Cambria Math"/>
                <w:i/>
                <w:noProof/>
              </w:rPr>
            </m:ctrlPr>
          </m:sSubPr>
          <m:e>
            <m:r>
              <w:rPr>
                <w:rFonts w:ascii="Cambria Math" w:hAnsi="Cambria Math"/>
                <w:noProof/>
              </w:rPr>
              <m:t>pop</m:t>
            </m:r>
          </m:e>
          <m:sub>
            <m:r>
              <w:rPr>
                <w:rFonts w:ascii="Cambria Math" w:hAnsi="Cambria Math"/>
                <w:noProof/>
              </w:rPr>
              <m:t>i</m:t>
            </m:r>
          </m:sub>
        </m:sSub>
      </m:oMath>
      <w:r>
        <w:rPr>
          <w:noProof/>
        </w:rPr>
        <w:t xml:space="preserve"> is the 2019 total population in country </w:t>
      </w:r>
      <w:r>
        <w:rPr>
          <w:i/>
          <w:noProof/>
        </w:rPr>
        <w:t>i,</w:t>
      </w:r>
    </w:p>
    <w:p w:rsidR="00806E25" w:rsidRDefault="007775D0">
      <w:pPr>
        <w:spacing w:before="0" w:after="200"/>
        <w:rPr>
          <w:noProof/>
        </w:rPr>
      </w:pPr>
      <m:oMath>
        <m:sSub>
          <m:sSubPr>
            <m:ctrlPr>
              <w:rPr>
                <w:rFonts w:ascii="Cambria Math" w:hAnsi="Cambria Math"/>
                <w:i/>
                <w:noProof/>
              </w:rPr>
            </m:ctrlPr>
          </m:sSubPr>
          <m:e>
            <m:r>
              <w:rPr>
                <w:rFonts w:ascii="Cambria Math" w:hAnsi="Cambria Math"/>
                <w:noProof/>
              </w:rPr>
              <m:t>pop</m:t>
            </m:r>
          </m:e>
          <m:sub>
            <m:r>
              <w:rPr>
                <w:rFonts w:ascii="Cambria Math" w:hAnsi="Cambria Math"/>
                <w:noProof/>
              </w:rPr>
              <m:t>EU</m:t>
            </m:r>
          </m:sub>
        </m:sSub>
      </m:oMath>
      <w:r>
        <w:rPr>
          <w:noProof/>
        </w:rPr>
        <w:t xml:space="preserve"> is the 2019 total population in EU-27 Member States</w:t>
      </w:r>
    </w:p>
    <w:p w:rsidR="00806E25" w:rsidRDefault="007775D0">
      <w:pPr>
        <w:spacing w:before="0" w:after="200"/>
        <w:rPr>
          <w:noProof/>
        </w:rPr>
      </w:pPr>
      <m:oMath>
        <m:sSub>
          <m:sSubPr>
            <m:ctrlPr>
              <w:rPr>
                <w:rFonts w:ascii="Cambria Math" w:hAnsi="Cambria Math"/>
                <w:i/>
                <w:noProof/>
              </w:rPr>
            </m:ctrlPr>
          </m:sSubPr>
          <m:e>
            <m:r>
              <w:rPr>
                <w:rFonts w:ascii="Cambria Math" w:hAnsi="Cambria Math"/>
                <w:noProof/>
              </w:rPr>
              <m:t>U</m:t>
            </m:r>
          </m:e>
          <m:sub>
            <m:r>
              <w:rPr>
                <w:rFonts w:ascii="Cambria Math" w:hAnsi="Cambria Math"/>
                <w:noProof/>
              </w:rPr>
              <m:t>i</m:t>
            </m:r>
          </m:sub>
        </m:sSub>
      </m:oMath>
      <w:r>
        <w:rPr>
          <w:noProof/>
        </w:rPr>
        <w:t xml:space="preserve"> is the average unemployment r</w:t>
      </w:r>
      <w:r>
        <w:rPr>
          <w:noProof/>
        </w:rPr>
        <w:t xml:space="preserve">ate over the period 2015-2019 of country </w:t>
      </w:r>
      <w:r>
        <w:rPr>
          <w:i/>
          <w:noProof/>
        </w:rPr>
        <w:t xml:space="preserve">i </w:t>
      </w:r>
    </w:p>
    <w:p w:rsidR="00806E25" w:rsidRDefault="007775D0">
      <w:pPr>
        <w:spacing w:before="0" w:after="200"/>
        <w:rPr>
          <w:noProof/>
        </w:rPr>
      </w:pPr>
      <m:oMath>
        <m:sSub>
          <m:sSubPr>
            <m:ctrlPr>
              <w:rPr>
                <w:rFonts w:ascii="Cambria Math" w:hAnsi="Cambria Math"/>
                <w:i/>
                <w:noProof/>
              </w:rPr>
            </m:ctrlPr>
          </m:sSubPr>
          <m:e>
            <m:r>
              <w:rPr>
                <w:rFonts w:ascii="Cambria Math" w:hAnsi="Cambria Math"/>
                <w:noProof/>
              </w:rPr>
              <m:t>U</m:t>
            </m:r>
          </m:e>
          <m:sub>
            <m:r>
              <w:rPr>
                <w:rFonts w:ascii="Cambria Math" w:hAnsi="Cambria Math"/>
                <w:noProof/>
              </w:rPr>
              <m:t>EU</m:t>
            </m:r>
          </m:sub>
        </m:sSub>
      </m:oMath>
      <w:r>
        <w:rPr>
          <w:noProof/>
        </w:rPr>
        <w:t xml:space="preserve"> is the average unemployment rate over the period 2015-2019 in the EU-27</w:t>
      </w:r>
      <w:r>
        <w:rPr>
          <w:i/>
          <w:noProof/>
        </w:rPr>
        <w:t xml:space="preserve"> </w:t>
      </w:r>
    </w:p>
    <w:p w:rsidR="00806E25" w:rsidRDefault="007775D0">
      <w:pPr>
        <w:spacing w:before="0" w:after="200"/>
        <w:rPr>
          <w:noProof/>
        </w:rPr>
      </w:pPr>
      <w:r>
        <w:rPr>
          <w:noProof/>
        </w:rPr>
        <w:t>The application of the methodology will result in the following share and amount for the maximum financial contribution per Member S</w:t>
      </w:r>
      <w:r>
        <w:rPr>
          <w:noProof/>
        </w:rPr>
        <w:t>tate.</w:t>
      </w:r>
    </w:p>
    <w:p w:rsidR="00806E25" w:rsidRDefault="00806E25">
      <w:pPr>
        <w:rPr>
          <w:noProof/>
          <w:lang w:val="en-IE"/>
        </w:rPr>
      </w:pPr>
    </w:p>
    <w:p w:rsidR="00806E25" w:rsidRDefault="007775D0">
      <w:pPr>
        <w:jc w:val="center"/>
        <w:rPr>
          <w:noProof/>
          <w:lang w:val="en-IE"/>
        </w:rPr>
        <w:sectPr w:rsidR="00806E25" w:rsidSect="007775D0">
          <w:footerReference w:type="default" r:id="rId15"/>
          <w:footerReference w:type="first" r:id="rId16"/>
          <w:pgSz w:w="11907" w:h="16839"/>
          <w:pgMar w:top="1134" w:right="1417" w:bottom="1134" w:left="1417" w:header="709" w:footer="709" w:gutter="0"/>
          <w:cols w:space="720"/>
          <w:docGrid w:linePitch="360"/>
        </w:sectPr>
      </w:pPr>
      <w:r>
        <w:rPr>
          <w:noProof/>
          <w:lang w:eastAsia="en-GB"/>
        </w:rPr>
        <w:drawing>
          <wp:inline distT="0" distB="0" distL="0" distR="0">
            <wp:extent cx="2044700" cy="6318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44700" cy="6318250"/>
                    </a:xfrm>
                    <a:prstGeom prst="rect">
                      <a:avLst/>
                    </a:prstGeom>
                    <a:noFill/>
                    <a:ln>
                      <a:noFill/>
                    </a:ln>
                  </pic:spPr>
                </pic:pic>
              </a:graphicData>
            </a:graphic>
          </wp:inline>
        </w:drawing>
      </w:r>
    </w:p>
    <w:p w:rsidR="00806E25" w:rsidRDefault="007775D0">
      <w:pPr>
        <w:pStyle w:val="Annexetitre"/>
        <w:rPr>
          <w:noProof/>
        </w:rPr>
      </w:pPr>
      <w:r>
        <w:rPr>
          <w:noProof/>
        </w:rPr>
        <w:t>ANNEX II</w:t>
      </w:r>
    </w:p>
    <w:p w:rsidR="00806E25" w:rsidRDefault="007775D0">
      <w:pPr>
        <w:jc w:val="center"/>
        <w:rPr>
          <w:noProof/>
        </w:rPr>
      </w:pPr>
      <w:r>
        <w:rPr>
          <w:b/>
          <w:noProof/>
        </w:rPr>
        <w:t>Assessment guidance for the Facility</w:t>
      </w:r>
    </w:p>
    <w:p w:rsidR="00806E25" w:rsidRDefault="007775D0">
      <w:pPr>
        <w:spacing w:before="0" w:after="200"/>
        <w:rPr>
          <w:b/>
          <w:noProof/>
        </w:rPr>
      </w:pPr>
      <w:r>
        <w:rPr>
          <w:b/>
          <w:noProof/>
        </w:rPr>
        <w:t xml:space="preserve">1. Scope </w:t>
      </w:r>
    </w:p>
    <w:p w:rsidR="00806E25" w:rsidRDefault="007775D0">
      <w:pPr>
        <w:spacing w:before="0" w:after="200"/>
        <w:rPr>
          <w:noProof/>
        </w:rPr>
      </w:pPr>
      <w:r>
        <w:rPr>
          <w:noProof/>
        </w:rPr>
        <w:t>The purpose of these assessment guidelines is to serve together with this Regulation as a basis for the Commission to assess - in a transparent and equitable manner - the proposals for recovery and resilience plans put forward by Member States and to deter</w:t>
      </w:r>
      <w:r>
        <w:rPr>
          <w:noProof/>
        </w:rPr>
        <w:t>mine the financial contribution in conformity with the objectives and any other relevant requirements laid down in this Regulation. These guidelines notably represent the basis for the application of the assessment criteria and the determination of the fin</w:t>
      </w:r>
      <w:r>
        <w:rPr>
          <w:noProof/>
        </w:rPr>
        <w:t xml:space="preserve">ancial contribution as referred to, respectively, in Articles 16(3) and 17(3). </w:t>
      </w:r>
    </w:p>
    <w:p w:rsidR="00806E25" w:rsidRDefault="007775D0">
      <w:pPr>
        <w:spacing w:before="0" w:after="200"/>
        <w:rPr>
          <w:noProof/>
        </w:rPr>
      </w:pPr>
      <w:r>
        <w:rPr>
          <w:noProof/>
        </w:rPr>
        <w:t xml:space="preserve">The assessment guidelines are designed to: </w:t>
      </w:r>
    </w:p>
    <w:p w:rsidR="00806E25" w:rsidRDefault="007775D0">
      <w:pPr>
        <w:spacing w:before="0" w:after="200"/>
        <w:rPr>
          <w:noProof/>
        </w:rPr>
      </w:pPr>
      <w:r>
        <w:rPr>
          <w:noProof/>
        </w:rPr>
        <w:t xml:space="preserve">(a) give further guidance on the assessment process of the proposals for recovery and resilience plans submitted by Member States; </w:t>
      </w:r>
    </w:p>
    <w:p w:rsidR="00806E25" w:rsidRDefault="007775D0">
      <w:pPr>
        <w:spacing w:before="0" w:after="200"/>
        <w:rPr>
          <w:noProof/>
        </w:rPr>
      </w:pPr>
      <w:r>
        <w:rPr>
          <w:noProof/>
        </w:rPr>
        <w:t>(b) provide further details on the assessment criteria and provide for a rating system, to be established with a view to ensuring an equitable and transparent process; and</w:t>
      </w:r>
    </w:p>
    <w:p w:rsidR="00806E25" w:rsidRDefault="007775D0">
      <w:pPr>
        <w:spacing w:before="0" w:after="200"/>
        <w:rPr>
          <w:noProof/>
        </w:rPr>
      </w:pPr>
      <w:r>
        <w:rPr>
          <w:noProof/>
        </w:rPr>
        <w:t>(c) define the link between the assessment to be made by the Commission under the as</w:t>
      </w:r>
      <w:r>
        <w:rPr>
          <w:noProof/>
        </w:rPr>
        <w:t xml:space="preserve">sessment criteria and the determination of the financial contribution to be set out in the Commission decision in relation to the  recovery and resilience plans selected. </w:t>
      </w:r>
    </w:p>
    <w:p w:rsidR="00806E25" w:rsidRDefault="007775D0">
      <w:pPr>
        <w:spacing w:before="0" w:after="200"/>
        <w:rPr>
          <w:noProof/>
        </w:rPr>
      </w:pPr>
      <w:r>
        <w:rPr>
          <w:noProof/>
        </w:rPr>
        <w:t>The guidelines are a tool to facilitate assessment by the Commission of the proposal</w:t>
      </w:r>
      <w:r>
        <w:rPr>
          <w:noProof/>
        </w:rPr>
        <w:t>s for</w:t>
      </w:r>
      <w:r>
        <w:rPr>
          <w:strike/>
          <w:noProof/>
        </w:rPr>
        <w:t xml:space="preserve"> </w:t>
      </w:r>
      <w:r>
        <w:rPr>
          <w:noProof/>
        </w:rPr>
        <w:t xml:space="preserve">recovery and resilience plans as submitted by Member States, and to ensure that the recovery and resilience plans support reforms and public investment that are relevant and display high added value, while ensuring equal treatment among the Member States. </w:t>
      </w:r>
    </w:p>
    <w:p w:rsidR="00806E25" w:rsidRDefault="007775D0">
      <w:pPr>
        <w:spacing w:before="0" w:after="200"/>
        <w:rPr>
          <w:b/>
          <w:noProof/>
        </w:rPr>
      </w:pPr>
      <w:r>
        <w:rPr>
          <w:b/>
          <w:noProof/>
        </w:rPr>
        <w:t>2. Assessment criteria</w:t>
      </w:r>
    </w:p>
    <w:p w:rsidR="00806E25" w:rsidRDefault="007775D0">
      <w:pPr>
        <w:spacing w:before="0" w:after="200"/>
        <w:rPr>
          <w:noProof/>
        </w:rPr>
      </w:pPr>
      <w:r>
        <w:rPr>
          <w:noProof/>
        </w:rPr>
        <w:t>In accordance with Article 16(3), the Commission shall assess the importance and coherence of the recovery and resilience plans, and its contribution to the green and digital transitions, and for that purpose, it shall take into acc</w:t>
      </w:r>
      <w:r>
        <w:rPr>
          <w:noProof/>
        </w:rPr>
        <w:t xml:space="preserve">ount the following criteria: </w:t>
      </w:r>
    </w:p>
    <w:p w:rsidR="00806E25" w:rsidRDefault="007775D0">
      <w:pPr>
        <w:pStyle w:val="Point1letter"/>
        <w:numPr>
          <w:ilvl w:val="3"/>
          <w:numId w:val="11"/>
        </w:numPr>
        <w:rPr>
          <w:noProof/>
        </w:rPr>
      </w:pPr>
      <w:r>
        <w:rPr>
          <w:noProof/>
        </w:rPr>
        <w:t>whether the recovery and resilience plan is expected to contribute</w:t>
      </w:r>
      <w:r>
        <w:rPr>
          <w:i/>
          <w:noProof/>
        </w:rPr>
        <w:t xml:space="preserve"> </w:t>
      </w:r>
      <w:r>
        <w:rPr>
          <w:noProof/>
        </w:rPr>
        <w:t>to</w:t>
      </w:r>
      <w:r>
        <w:rPr>
          <w:i/>
          <w:noProof/>
        </w:rPr>
        <w:t xml:space="preserve"> </w:t>
      </w:r>
      <w:r>
        <w:rPr>
          <w:noProof/>
        </w:rPr>
        <w:t>effectively address challenges identified in the relevant country-specific recommendations addressed to the Member State concerned or in other relevant docu</w:t>
      </w:r>
      <w:r>
        <w:rPr>
          <w:noProof/>
        </w:rPr>
        <w:t>ments officially adopted by the Commission in the European Semester;</w:t>
      </w:r>
    </w:p>
    <w:p w:rsidR="00806E25" w:rsidRDefault="007775D0">
      <w:pPr>
        <w:pStyle w:val="Point1letter"/>
        <w:rPr>
          <w:noProof/>
        </w:rPr>
      </w:pPr>
      <w:r>
        <w:rPr>
          <w:noProof/>
        </w:rPr>
        <w:t>whether the plan contains measures that effectively contribute to the  green and the digital transitions or to addressing the challenges resulting from them;</w:t>
      </w:r>
    </w:p>
    <w:p w:rsidR="00806E25" w:rsidRDefault="007775D0">
      <w:pPr>
        <w:pStyle w:val="Point1letter"/>
        <w:rPr>
          <w:noProof/>
        </w:rPr>
      </w:pPr>
      <w:r>
        <w:rPr>
          <w:noProof/>
        </w:rPr>
        <w:t>whether the recovery and resi</w:t>
      </w:r>
      <w:r>
        <w:rPr>
          <w:noProof/>
        </w:rPr>
        <w:t xml:space="preserve">lience plan is expected to have a lasting impact on the Member State concerned; </w:t>
      </w:r>
    </w:p>
    <w:p w:rsidR="00806E25" w:rsidRDefault="007775D0">
      <w:pPr>
        <w:pStyle w:val="Point1letter"/>
        <w:rPr>
          <w:noProof/>
        </w:rPr>
      </w:pPr>
      <w:r>
        <w:rPr>
          <w:noProof/>
        </w:rPr>
        <w:t>whether the recovery and resilience plan is expected to effectively contribute to strengthen the growth potential, job creation, and economic and social resilience of the Memb</w:t>
      </w:r>
      <w:r>
        <w:rPr>
          <w:noProof/>
        </w:rPr>
        <w:t xml:space="preserve">er State, mitigate the economic and social impact of the crisis, and contribute to enhance economic, social and territorial cohesion; </w:t>
      </w:r>
    </w:p>
    <w:p w:rsidR="00806E25" w:rsidRDefault="007775D0">
      <w:pPr>
        <w:pStyle w:val="Point1letter"/>
        <w:rPr>
          <w:noProof/>
        </w:rPr>
      </w:pPr>
      <w:r>
        <w:rPr>
          <w:noProof/>
        </w:rPr>
        <w:t>whether the justification provided by the Member State on the amount of the estimated total costs of the recovery and res</w:t>
      </w:r>
      <w:r>
        <w:rPr>
          <w:noProof/>
        </w:rPr>
        <w:t xml:space="preserve">ilience plan submitted is reasonable and plausible and is commensurate to the expected impact on the economy and employment; </w:t>
      </w:r>
    </w:p>
    <w:p w:rsidR="00806E25" w:rsidRDefault="007775D0">
      <w:pPr>
        <w:pStyle w:val="Point1letter"/>
        <w:rPr>
          <w:noProof/>
        </w:rPr>
      </w:pPr>
      <w:r>
        <w:rPr>
          <w:noProof/>
        </w:rPr>
        <w:t xml:space="preserve">whether the  recovery and resilience plan contains measures for the implementation of reforms and public investment projects that </w:t>
      </w:r>
      <w:r>
        <w:rPr>
          <w:noProof/>
        </w:rPr>
        <w:t>represent coherent actions;</w:t>
      </w:r>
    </w:p>
    <w:p w:rsidR="00806E25" w:rsidRDefault="007775D0">
      <w:pPr>
        <w:pStyle w:val="Point1letter"/>
        <w:rPr>
          <w:noProof/>
        </w:rPr>
      </w:pPr>
      <w:r>
        <w:rPr>
          <w:noProof/>
        </w:rPr>
        <w:t xml:space="preserve"> whether the arrangements proposed by the Member States concerned are expected to ensure an effective implementation of the  recovery and resilience plan, including the envisaged timetable, milestones and targets, and the relate</w:t>
      </w:r>
      <w:r>
        <w:rPr>
          <w:noProof/>
        </w:rPr>
        <w:t xml:space="preserve">d indicators.  </w:t>
      </w:r>
    </w:p>
    <w:p w:rsidR="00806E25" w:rsidRDefault="00806E25">
      <w:pPr>
        <w:spacing w:before="0" w:after="200"/>
        <w:ind w:left="720" w:firstLine="1"/>
        <w:contextualSpacing/>
        <w:rPr>
          <w:noProof/>
        </w:rPr>
      </w:pPr>
    </w:p>
    <w:p w:rsidR="00806E25" w:rsidRDefault="007775D0">
      <w:pPr>
        <w:spacing w:before="0" w:after="200"/>
        <w:rPr>
          <w:noProof/>
        </w:rPr>
      </w:pPr>
      <w:r>
        <w:rPr>
          <w:noProof/>
        </w:rPr>
        <w:t>As a result of the assessment process, the Commission shall give ratings to the recovery and resilience plans submitted by the Member States, under each of the assessment criteria referred to in Article 16(3), in order to assess the import</w:t>
      </w:r>
      <w:r>
        <w:rPr>
          <w:noProof/>
        </w:rPr>
        <w:t>ance and coherence of the plans and with a view to establishing the financial allocation in accordance with Article 17(3).</w:t>
      </w:r>
    </w:p>
    <w:p w:rsidR="00806E25" w:rsidRDefault="007775D0">
      <w:pPr>
        <w:spacing w:before="0" w:after="200"/>
        <w:rPr>
          <w:noProof/>
        </w:rPr>
      </w:pPr>
      <w:r>
        <w:rPr>
          <w:noProof/>
        </w:rPr>
        <w:t>For the sake of simplification and efficiency, the rating system shall range from A to C, as set out in the following:</w:t>
      </w:r>
    </w:p>
    <w:p w:rsidR="00806E25" w:rsidRDefault="007775D0">
      <w:pPr>
        <w:spacing w:before="0" w:after="200"/>
        <w:ind w:left="567"/>
        <w:rPr>
          <w:b/>
          <w:i/>
          <w:noProof/>
        </w:rPr>
      </w:pPr>
      <w:r>
        <w:rPr>
          <w:b/>
          <w:i/>
          <w:noProof/>
        </w:rPr>
        <w:t>2.1 The recove</w:t>
      </w:r>
      <w:r>
        <w:rPr>
          <w:b/>
          <w:i/>
          <w:noProof/>
        </w:rPr>
        <w:t>ry and resilience plan is expected to contribute to effectively address challenges identified in the relevant country-specific recommendations addressed to the Member State concerned or in other relevant documents officially adopted by the Commission in th</w:t>
      </w:r>
      <w:r>
        <w:rPr>
          <w:b/>
          <w:i/>
          <w:noProof/>
        </w:rPr>
        <w:t>e European Semester.</w:t>
      </w:r>
    </w:p>
    <w:p w:rsidR="00806E25" w:rsidRDefault="007775D0">
      <w:pPr>
        <w:spacing w:before="0" w:after="0"/>
        <w:rPr>
          <w:noProof/>
        </w:rPr>
      </w:pPr>
      <w:r>
        <w:rPr>
          <w:noProof/>
        </w:rPr>
        <w:t xml:space="preserve">The Commission shall take into account the following elements for the assessment under this criterion: </w:t>
      </w:r>
    </w:p>
    <w:p w:rsidR="00806E25" w:rsidRDefault="00806E25">
      <w:pPr>
        <w:spacing w:before="0" w:after="0"/>
        <w:rPr>
          <w:b/>
          <w:i/>
          <w:noProof/>
        </w:rPr>
      </w:pPr>
    </w:p>
    <w:p w:rsidR="00806E25" w:rsidRDefault="007775D0">
      <w:pPr>
        <w:spacing w:before="0" w:after="0"/>
        <w:rPr>
          <w:b/>
          <w:i/>
          <w:noProof/>
        </w:rPr>
      </w:pPr>
      <w:r>
        <w:rPr>
          <w:b/>
          <w:i/>
          <w:noProof/>
        </w:rPr>
        <w:t xml:space="preserve">Scope </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w:t>
      </w:r>
      <w:r>
        <w:rPr>
          <w:bCs/>
          <w:noProof/>
          <w:szCs w:val="24"/>
        </w:rPr>
        <w:t xml:space="preserve"> </w:t>
      </w:r>
      <w:r>
        <w:rPr>
          <w:noProof/>
        </w:rPr>
        <w:t>recovery and resilience plan is expected to contribute to effectively</w:t>
      </w:r>
      <w:r>
        <w:rPr>
          <w:i/>
          <w:noProof/>
        </w:rPr>
        <w:t xml:space="preserve"> </w:t>
      </w:r>
      <w:r>
        <w:rPr>
          <w:noProof/>
        </w:rPr>
        <w:t xml:space="preserve">address challenges identified in the relevant country-specific recommendations, including fiscal aspects, or in other relevant documents officially adopted by the Commission in the European Semester addressed to the Member States concerned, </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these</w:t>
      </w:r>
      <w:r>
        <w:rPr>
          <w:noProof/>
        </w:rPr>
        <w:t xml:space="preserve"> challenges are considered as significant to boost the growth potential of the economy of the Member State concerned, </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Following the completion of the proposed reforms and investments, the related challenges would be expected to have been resolved o</w:t>
      </w:r>
      <w:r>
        <w:rPr>
          <w:noProof/>
        </w:rPr>
        <w:t xml:space="preserve">r addressed in a satisfactory manner. </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recovery and resilience plan represents a comprehensive and adequate response to the economic and social situation of the Member State concerned; </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806E25">
      <w:pPr>
        <w:spacing w:before="0" w:after="0"/>
        <w:rPr>
          <w:b/>
          <w:i/>
          <w:noProof/>
        </w:rPr>
      </w:pPr>
    </w:p>
    <w:p w:rsidR="00806E25" w:rsidRDefault="00806E25">
      <w:pPr>
        <w:spacing w:before="0" w:after="0"/>
        <w:rPr>
          <w:b/>
          <w:i/>
          <w:noProof/>
        </w:rPr>
      </w:pPr>
    </w:p>
    <w:p w:rsidR="00806E25" w:rsidRDefault="007775D0">
      <w:pPr>
        <w:spacing w:before="0" w:after="0"/>
        <w:rPr>
          <w:b/>
          <w:i/>
          <w:noProof/>
        </w:rPr>
      </w:pPr>
      <w:r>
        <w:rPr>
          <w:b/>
          <w:i/>
          <w:noProof/>
        </w:rPr>
        <w:t>Rating</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A – The recovery and resilience plan contributes </w:t>
      </w:r>
      <w:r>
        <w:rPr>
          <w:noProof/>
        </w:rPr>
        <w:t>to effectively address challenges identified in the CSRs, or in other relevant documents officially adopted by the Commission in the European Semester, and the plan represents an adequate response to the economic and social situation of the Member State co</w:t>
      </w:r>
      <w:r>
        <w:rPr>
          <w:noProof/>
        </w:rPr>
        <w:t>ncerned.</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B – The recovery and resilience plan contributes to partially address challenges identified in the CSRs, or in other relevant documents officially adopted by the Commission in the European Semester and the plan represents a partially adequate res</w:t>
      </w:r>
      <w:r>
        <w:rPr>
          <w:noProof/>
        </w:rPr>
        <w:t>ponse to the economic and social situation of the Member State concerned.</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C – The recovery and resilience plan does not contribute to address any challenges identified in the</w:t>
      </w:r>
      <w:r>
        <w:rPr>
          <w:strike/>
          <w:noProof/>
        </w:rPr>
        <w:t xml:space="preserve"> </w:t>
      </w:r>
      <w:r>
        <w:rPr>
          <w:noProof/>
        </w:rPr>
        <w:t>CSRs, or in other relevant documents officially adopted by the Commission in the</w:t>
      </w:r>
      <w:r>
        <w:rPr>
          <w:noProof/>
        </w:rPr>
        <w:t xml:space="preserve"> European Semester and the plan does not represent an adequate response to the economic and social situation of the Member State concerned.</w:t>
      </w:r>
    </w:p>
    <w:p w:rsidR="00806E25" w:rsidRDefault="00806E25">
      <w:pPr>
        <w:spacing w:before="0" w:after="200"/>
        <w:ind w:left="720"/>
        <w:rPr>
          <w:i/>
          <w:noProof/>
        </w:rPr>
      </w:pPr>
    </w:p>
    <w:p w:rsidR="00806E25" w:rsidRDefault="007775D0">
      <w:pPr>
        <w:spacing w:before="0" w:after="200"/>
        <w:ind w:left="426"/>
        <w:rPr>
          <w:b/>
          <w:i/>
          <w:noProof/>
        </w:rPr>
      </w:pPr>
      <w:r>
        <w:rPr>
          <w:b/>
          <w:i/>
          <w:noProof/>
        </w:rPr>
        <w:t xml:space="preserve">2.2 The plan contains measures that effectively contribute to the green and the digital transitions or to </w:t>
      </w:r>
      <w:r>
        <w:rPr>
          <w:b/>
          <w:i/>
          <w:noProof/>
        </w:rPr>
        <w:t>addressing the challenges resulting from them.</w:t>
      </w:r>
    </w:p>
    <w:p w:rsidR="00806E25" w:rsidRDefault="007775D0">
      <w:pPr>
        <w:spacing w:before="0" w:after="0"/>
        <w:rPr>
          <w:noProof/>
        </w:rPr>
      </w:pPr>
      <w:r>
        <w:rPr>
          <w:noProof/>
        </w:rPr>
        <w:t>The Commission shall take into account the following elements for the assessment under this criterion:</w:t>
      </w:r>
    </w:p>
    <w:p w:rsidR="00806E25" w:rsidRDefault="00806E25">
      <w:pPr>
        <w:spacing w:before="0" w:after="0"/>
        <w:rPr>
          <w:b/>
          <w:i/>
          <w:noProof/>
        </w:rPr>
      </w:pPr>
    </w:p>
    <w:p w:rsidR="00806E25" w:rsidRDefault="007775D0">
      <w:pPr>
        <w:spacing w:before="0" w:after="0"/>
        <w:rPr>
          <w:b/>
          <w:i/>
          <w:noProof/>
        </w:rPr>
      </w:pPr>
      <w:r>
        <w:rPr>
          <w:b/>
          <w:i/>
          <w:noProof/>
        </w:rPr>
        <w:t>Scope</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the implementation of the envisaged measures is expected to significantly contribute to establish</w:t>
      </w:r>
      <w:r>
        <w:rPr>
          <w:noProof/>
        </w:rPr>
        <w:t xml:space="preserve"> climate- and environmental-friendly systems and to the greening of economic or social sectors with a view to contribute to the overall objective of a climate-neutral Europe by 2050; </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or  </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implementation of the envisaged measures is expected to significantly contribute to the digital transformation of economic or social sectors; </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or</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implementation of the envisaged measures is expected to significantly contribute to address the </w:t>
      </w:r>
      <w:r>
        <w:rPr>
          <w:noProof/>
        </w:rPr>
        <w:t>challenges resulting from the green and/or digital transitions</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implementation of the envisaged measures  is expected to have a lasting impact. </w:t>
      </w:r>
    </w:p>
    <w:p w:rsidR="00806E25" w:rsidRDefault="00806E25">
      <w:pPr>
        <w:spacing w:before="0" w:after="200"/>
        <w:rPr>
          <w:b/>
          <w:i/>
          <w:noProof/>
        </w:rPr>
      </w:pPr>
    </w:p>
    <w:p w:rsidR="00806E25" w:rsidRDefault="007775D0">
      <w:pPr>
        <w:spacing w:before="0" w:after="0"/>
        <w:rPr>
          <w:b/>
          <w:i/>
          <w:noProof/>
        </w:rPr>
      </w:pPr>
      <w:r>
        <w:rPr>
          <w:b/>
          <w:i/>
          <w:noProof/>
        </w:rPr>
        <w:t>Rating</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A – To a large extent </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B – To a moderate extent </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C – To a small extent </w:t>
      </w:r>
    </w:p>
    <w:p w:rsidR="00806E25" w:rsidRDefault="00806E25">
      <w:pPr>
        <w:spacing w:before="0" w:after="200"/>
        <w:ind w:left="426"/>
        <w:rPr>
          <w:b/>
          <w:i/>
          <w:noProof/>
        </w:rPr>
      </w:pPr>
    </w:p>
    <w:p w:rsidR="00806E25" w:rsidRDefault="007775D0">
      <w:pPr>
        <w:spacing w:before="0" w:after="200"/>
        <w:ind w:left="426"/>
        <w:rPr>
          <w:b/>
          <w:i/>
          <w:noProof/>
        </w:rPr>
      </w:pPr>
      <w:r>
        <w:rPr>
          <w:b/>
          <w:i/>
          <w:noProof/>
        </w:rPr>
        <w:t xml:space="preserve">2.3 The recovery and resilience plan is expected to have a lasting impact on the Member State concerned  </w:t>
      </w:r>
    </w:p>
    <w:p w:rsidR="00806E25" w:rsidRDefault="007775D0">
      <w:pPr>
        <w:spacing w:before="0" w:after="0"/>
        <w:rPr>
          <w:noProof/>
        </w:rPr>
      </w:pPr>
      <w:r>
        <w:rPr>
          <w:noProof/>
        </w:rPr>
        <w:t>The Commission shall take into account the following elements for the assessment under this criterion:</w:t>
      </w:r>
    </w:p>
    <w:p w:rsidR="00806E25" w:rsidRDefault="00806E25">
      <w:pPr>
        <w:spacing w:before="0" w:after="0"/>
        <w:rPr>
          <w:b/>
          <w:i/>
          <w:noProof/>
        </w:rPr>
      </w:pPr>
    </w:p>
    <w:p w:rsidR="00806E25" w:rsidRDefault="007775D0">
      <w:pPr>
        <w:spacing w:before="0" w:after="0"/>
        <w:rPr>
          <w:b/>
          <w:i/>
          <w:noProof/>
        </w:rPr>
      </w:pPr>
      <w:r>
        <w:rPr>
          <w:b/>
          <w:i/>
          <w:noProof/>
        </w:rPr>
        <w:t>Scope</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the implementation of the envisaged me</w:t>
      </w:r>
      <w:r>
        <w:rPr>
          <w:noProof/>
        </w:rPr>
        <w:t xml:space="preserve">asures is expected to bring about a structural change in the administration or in relevant institutions; </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or  </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implementation of the envisaged measures is expected to bring about a structural change in relevant policies; </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the implementation</w:t>
      </w:r>
      <w:r>
        <w:rPr>
          <w:noProof/>
        </w:rPr>
        <w:t xml:space="preserve"> of the envisaged measures is expected to have a lasting impact. </w:t>
      </w:r>
    </w:p>
    <w:p w:rsidR="00806E25" w:rsidRDefault="00806E25">
      <w:pPr>
        <w:spacing w:before="0" w:after="200"/>
        <w:rPr>
          <w:b/>
          <w:i/>
          <w:noProof/>
        </w:rPr>
      </w:pPr>
    </w:p>
    <w:p w:rsidR="00806E25" w:rsidRDefault="007775D0">
      <w:pPr>
        <w:spacing w:before="0" w:after="0"/>
        <w:rPr>
          <w:b/>
          <w:i/>
          <w:noProof/>
        </w:rPr>
      </w:pPr>
      <w:r>
        <w:rPr>
          <w:b/>
          <w:i/>
          <w:noProof/>
        </w:rPr>
        <w:t>Rating</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A – To a large extent </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B – To a moderate extent </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C – To a small extent </w:t>
      </w:r>
    </w:p>
    <w:p w:rsidR="00806E25" w:rsidRDefault="00806E25">
      <w:pPr>
        <w:ind w:left="426"/>
        <w:rPr>
          <w:b/>
          <w:i/>
          <w:noProof/>
        </w:rPr>
      </w:pPr>
    </w:p>
    <w:p w:rsidR="00806E25" w:rsidRDefault="007775D0">
      <w:pPr>
        <w:ind w:left="567"/>
        <w:rPr>
          <w:b/>
          <w:i/>
          <w:noProof/>
        </w:rPr>
      </w:pPr>
      <w:r>
        <w:rPr>
          <w:b/>
          <w:i/>
          <w:noProof/>
        </w:rPr>
        <w:t>2.4 The recovery and resilience plan is expected to effectively contribute to strengthen the growth potential</w:t>
      </w:r>
      <w:r>
        <w:rPr>
          <w:b/>
          <w:i/>
          <w:noProof/>
        </w:rPr>
        <w:t>, job creation, and economic and social  resilience of the Member State, mitigate the economic and social impact of the crisis, and contribute to enhance economic, social and territorial cohesion</w:t>
      </w:r>
      <w:r>
        <w:rPr>
          <w:noProof/>
        </w:rPr>
        <w:t>;</w:t>
      </w:r>
    </w:p>
    <w:p w:rsidR="00806E25" w:rsidRDefault="007775D0">
      <w:pPr>
        <w:spacing w:after="0"/>
        <w:jc w:val="left"/>
        <w:rPr>
          <w:noProof/>
        </w:rPr>
      </w:pPr>
      <w:r>
        <w:rPr>
          <w:noProof/>
        </w:rPr>
        <w:t xml:space="preserve">The Commission shall take into account the following elements for the assessment under this criterion: </w:t>
      </w:r>
    </w:p>
    <w:p w:rsidR="00806E25" w:rsidRDefault="007775D0">
      <w:pPr>
        <w:spacing w:after="0"/>
        <w:jc w:val="left"/>
        <w:rPr>
          <w:b/>
          <w:i/>
          <w:noProof/>
        </w:rPr>
      </w:pPr>
      <w:r>
        <w:rPr>
          <w:b/>
          <w:i/>
          <w:noProof/>
        </w:rPr>
        <w:t xml:space="preserve">Scope </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the recovery and resilience plan contains measures that aim at addressing weaknesses of the economy of the Member States and at boosting the gr</w:t>
      </w:r>
      <w:r>
        <w:rPr>
          <w:noProof/>
        </w:rPr>
        <w:t xml:space="preserve">owth potential of the economy of the Member State concerned, stimulating job creation and mitigating the adverse effects of the crisis, while avoiding adverse impacts of those measures on climate and environment. </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the recovery and resilience plan i</w:t>
      </w:r>
      <w:r>
        <w:rPr>
          <w:noProof/>
        </w:rPr>
        <w:t>s aimed at reducing the vulnerability of the economy of the Member State to shocks,</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or </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recovery and resilience plan is aimed at increasing the capacity of the economic and/or social structures of the Member State to adjust to and withstand shocks </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the recovery and resilience plan is expected to contribute to enhancing economic, social and territorial cohesion </w:t>
      </w:r>
    </w:p>
    <w:p w:rsidR="00806E25" w:rsidRDefault="00806E25">
      <w:pPr>
        <w:spacing w:after="0"/>
        <w:jc w:val="left"/>
        <w:rPr>
          <w:b/>
          <w:i/>
          <w:noProof/>
        </w:rPr>
      </w:pPr>
    </w:p>
    <w:p w:rsidR="00806E25" w:rsidRDefault="007775D0">
      <w:pPr>
        <w:spacing w:after="0"/>
        <w:rPr>
          <w:b/>
          <w:noProof/>
        </w:rPr>
      </w:pPr>
      <w:r>
        <w:rPr>
          <w:b/>
          <w:i/>
          <w:noProof/>
        </w:rPr>
        <w:t xml:space="preserve"> Rating</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A – High expected impact on growth potential and economic and social resilience, and on cohesion </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B – Medium expected impact o</w:t>
      </w:r>
      <w:r>
        <w:rPr>
          <w:noProof/>
        </w:rPr>
        <w:t xml:space="preserve">n growth potential and economic and social resilience, and on cohesion </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C – Low expected impact on growth potential and economic and social resilience, and on cohesion</w:t>
      </w:r>
    </w:p>
    <w:p w:rsidR="00806E25" w:rsidRDefault="00806E25">
      <w:pPr>
        <w:spacing w:before="0" w:after="200"/>
        <w:rPr>
          <w:i/>
          <w:noProof/>
        </w:rPr>
      </w:pPr>
    </w:p>
    <w:p w:rsidR="00806E25" w:rsidRDefault="007775D0">
      <w:pPr>
        <w:spacing w:before="0" w:after="200"/>
        <w:ind w:left="426"/>
        <w:rPr>
          <w:b/>
          <w:i/>
          <w:noProof/>
        </w:rPr>
      </w:pPr>
      <w:r>
        <w:rPr>
          <w:b/>
          <w:i/>
          <w:noProof/>
        </w:rPr>
        <w:t>2.5 The justification provided by the Member State on the amount of the estimated total</w:t>
      </w:r>
      <w:r>
        <w:rPr>
          <w:b/>
          <w:i/>
          <w:noProof/>
        </w:rPr>
        <w:t xml:space="preserve"> costs of the recovery and resilience plan is reasonable and plausible and is commensurate to the expected impact on the economy and employment</w:t>
      </w:r>
      <w:r>
        <w:rPr>
          <w:noProof/>
        </w:rPr>
        <w:t>;</w:t>
      </w:r>
    </w:p>
    <w:p w:rsidR="00806E25" w:rsidRDefault="007775D0">
      <w:pPr>
        <w:spacing w:before="0" w:after="0"/>
        <w:rPr>
          <w:noProof/>
        </w:rPr>
      </w:pPr>
      <w:r>
        <w:rPr>
          <w:noProof/>
        </w:rPr>
        <w:t xml:space="preserve">The Commission shall take into account the following elements for the assessment under this criterion: </w:t>
      </w:r>
    </w:p>
    <w:p w:rsidR="00806E25" w:rsidRDefault="007775D0">
      <w:pPr>
        <w:spacing w:before="0" w:after="0"/>
        <w:rPr>
          <w:i/>
          <w:noProof/>
        </w:rPr>
      </w:pPr>
      <w:r>
        <w:rPr>
          <w:i/>
          <w:noProof/>
        </w:rPr>
        <w:t xml:space="preserve">Scope </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the Member State provided sufficient information and evidence that the amount of the estimated total cost of the  recovery and resilience plan is appropriate (“reasonable”);</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the Member State provided sufficient information and evidence that the a</w:t>
      </w:r>
      <w:r>
        <w:rPr>
          <w:noProof/>
        </w:rPr>
        <w:t xml:space="preserve">mount of the estimated total cost of the recovery and resilience plan is in line with the nature and the type of the envisaged reforms and investments (“plausible”).  </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  </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Member State provided sufficient information and evidence that the amount </w:t>
      </w:r>
      <w:r>
        <w:rPr>
          <w:noProof/>
        </w:rPr>
        <w:t>of the estimated total cost of the  recovery and resilience plan to be financed under the instrument is not covered by existing or planned Union financing.</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the amount of the estimated total cost of the recovery and resilience plan is commensurate to</w:t>
      </w:r>
      <w:r>
        <w:rPr>
          <w:noProof/>
        </w:rPr>
        <w:t xml:space="preserve">  the expected impact of the envisaged measures included in the plan on the economy of the Member State concerned.</w:t>
      </w:r>
    </w:p>
    <w:p w:rsidR="00806E25" w:rsidRDefault="00806E25">
      <w:pPr>
        <w:spacing w:before="0" w:after="0"/>
        <w:rPr>
          <w:b/>
          <w:i/>
          <w:noProof/>
        </w:rPr>
      </w:pPr>
    </w:p>
    <w:p w:rsidR="00806E25" w:rsidRDefault="007775D0">
      <w:pPr>
        <w:spacing w:before="0" w:after="0"/>
        <w:rPr>
          <w:b/>
          <w:i/>
          <w:noProof/>
        </w:rPr>
      </w:pPr>
      <w:r>
        <w:rPr>
          <w:b/>
          <w:i/>
          <w:noProof/>
        </w:rPr>
        <w:t>Rating</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A – To a high extent </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B – To a medium extent </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C – To a low extent </w:t>
      </w:r>
    </w:p>
    <w:p w:rsidR="00806E25" w:rsidRDefault="00806E25">
      <w:pPr>
        <w:spacing w:before="0" w:after="200"/>
        <w:rPr>
          <w:noProof/>
        </w:rPr>
      </w:pPr>
    </w:p>
    <w:p w:rsidR="00806E25" w:rsidRDefault="007775D0">
      <w:pPr>
        <w:spacing w:before="0" w:after="200"/>
        <w:ind w:left="426"/>
        <w:rPr>
          <w:b/>
          <w:i/>
          <w:strike/>
          <w:noProof/>
        </w:rPr>
      </w:pPr>
      <w:r>
        <w:rPr>
          <w:b/>
          <w:i/>
          <w:noProof/>
        </w:rPr>
        <w:t>2.6. The recovery and resilience plan contains measures for the i</w:t>
      </w:r>
      <w:r>
        <w:rPr>
          <w:b/>
          <w:i/>
          <w:noProof/>
        </w:rPr>
        <w:t>mplementation of reforms and public investment projects that represent coherent actions.</w:t>
      </w:r>
    </w:p>
    <w:p w:rsidR="00806E25" w:rsidRDefault="007775D0">
      <w:pPr>
        <w:spacing w:before="0" w:after="200"/>
        <w:rPr>
          <w:noProof/>
        </w:rPr>
      </w:pPr>
      <w:r>
        <w:rPr>
          <w:noProof/>
        </w:rPr>
        <w:t xml:space="preserve">The Commission shall take into account the following elements for the assessment under this criterion: </w:t>
      </w:r>
    </w:p>
    <w:p w:rsidR="00806E25" w:rsidRDefault="007775D0">
      <w:pPr>
        <w:spacing w:before="0" w:after="0"/>
        <w:rPr>
          <w:b/>
          <w:i/>
          <w:noProof/>
        </w:rPr>
      </w:pPr>
      <w:r>
        <w:rPr>
          <w:b/>
          <w:i/>
          <w:noProof/>
        </w:rPr>
        <w:t>Scope</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recovery and resilience plan includes measures that contribute to reinforce the effects of one another. </w:t>
      </w:r>
    </w:p>
    <w:p w:rsidR="00806E25" w:rsidRDefault="00806E25">
      <w:pPr>
        <w:spacing w:before="0" w:after="200"/>
        <w:rPr>
          <w:b/>
          <w:i/>
          <w:noProof/>
        </w:rPr>
      </w:pPr>
    </w:p>
    <w:p w:rsidR="00806E25" w:rsidRDefault="007775D0">
      <w:pPr>
        <w:spacing w:before="0" w:after="0"/>
        <w:rPr>
          <w:b/>
          <w:i/>
          <w:noProof/>
        </w:rPr>
      </w:pPr>
      <w:r>
        <w:rPr>
          <w:b/>
          <w:i/>
          <w:noProof/>
        </w:rPr>
        <w:t xml:space="preserve">Rating </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A – To a high extent </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B – To a medium extent </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C – To a low extent </w:t>
      </w:r>
    </w:p>
    <w:p w:rsidR="00806E25" w:rsidRDefault="00806E25">
      <w:pPr>
        <w:spacing w:before="0" w:after="200"/>
        <w:rPr>
          <w:noProof/>
        </w:rPr>
      </w:pPr>
    </w:p>
    <w:p w:rsidR="00806E25" w:rsidRDefault="007775D0">
      <w:pPr>
        <w:spacing w:before="0" w:after="200"/>
        <w:ind w:left="426"/>
        <w:rPr>
          <w:b/>
          <w:i/>
          <w:noProof/>
        </w:rPr>
      </w:pPr>
      <w:r>
        <w:rPr>
          <w:b/>
          <w:i/>
          <w:noProof/>
        </w:rPr>
        <w:t>2.7 The arrangements proposed by the Member States concerned are exp</w:t>
      </w:r>
      <w:r>
        <w:rPr>
          <w:b/>
          <w:i/>
          <w:noProof/>
        </w:rPr>
        <w:t>ected to ensure effective implementation of the recovery and resilience plan, including the proposed milestones and targets, and the related indicators</w:t>
      </w:r>
    </w:p>
    <w:p w:rsidR="00806E25" w:rsidRDefault="007775D0">
      <w:pPr>
        <w:spacing w:before="0" w:after="0"/>
        <w:rPr>
          <w:noProof/>
        </w:rPr>
      </w:pPr>
      <w:r>
        <w:rPr>
          <w:noProof/>
        </w:rPr>
        <w:t>The Commission shall take into account the following elements for the assessment under this criterion:</w:t>
      </w:r>
    </w:p>
    <w:p w:rsidR="00806E25" w:rsidRDefault="00806E25">
      <w:pPr>
        <w:spacing w:before="0" w:after="0"/>
        <w:rPr>
          <w:b/>
          <w:i/>
          <w:noProof/>
        </w:rPr>
      </w:pPr>
    </w:p>
    <w:p w:rsidR="00806E25" w:rsidRDefault="007775D0">
      <w:pPr>
        <w:spacing w:before="0" w:after="0"/>
        <w:rPr>
          <w:b/>
          <w:i/>
          <w:noProof/>
        </w:rPr>
      </w:pPr>
      <w:r>
        <w:rPr>
          <w:b/>
          <w:i/>
          <w:noProof/>
        </w:rPr>
        <w:t>Scope</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a structure is tasked within the Member State with: (i) the implementation of the  recovery and resilience plan; (ii) the monitoring of progress on milestones and targets; and (iii) the reporting;</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the proposed milestones and targets are cle</w:t>
      </w:r>
      <w:r>
        <w:rPr>
          <w:noProof/>
        </w:rPr>
        <w:t xml:space="preserve">ar and realistic; and the proposed indicators are relevant, acceptable and robust; </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the overall arrangements, proposed by the Member States in terms of organisation (including provision to ensure sufficient staff allocation) of the implementation o</w:t>
      </w:r>
      <w:r>
        <w:rPr>
          <w:noProof/>
        </w:rPr>
        <w:t xml:space="preserve">f the reform and investment, are credible. </w:t>
      </w:r>
    </w:p>
    <w:p w:rsidR="00806E25" w:rsidRDefault="00806E25">
      <w:pPr>
        <w:spacing w:before="0" w:after="200"/>
        <w:rPr>
          <w:b/>
          <w:i/>
          <w:noProof/>
        </w:rPr>
      </w:pPr>
    </w:p>
    <w:p w:rsidR="00806E25" w:rsidRDefault="007775D0">
      <w:pPr>
        <w:spacing w:before="0" w:after="0"/>
        <w:rPr>
          <w:b/>
          <w:i/>
          <w:noProof/>
        </w:rPr>
      </w:pPr>
      <w:r>
        <w:rPr>
          <w:b/>
          <w:i/>
          <w:noProof/>
        </w:rPr>
        <w:t>Rating</w:t>
      </w: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A – Adequate arrangements for effective implementation </w:t>
      </w:r>
    </w:p>
    <w:p w:rsidR="00806E25" w:rsidRDefault="007775D0">
      <w:pPr>
        <w:pBdr>
          <w:top w:val="single" w:sz="4" w:space="1" w:color="auto"/>
          <w:left w:val="single" w:sz="4" w:space="4" w:color="auto"/>
          <w:bottom w:val="single" w:sz="4" w:space="1" w:color="auto"/>
          <w:right w:val="single" w:sz="4" w:space="4" w:color="auto"/>
        </w:pBdr>
        <w:spacing w:before="0" w:after="0"/>
        <w:rPr>
          <w:noProof/>
          <w:lang w:val="en-US"/>
        </w:rPr>
      </w:pPr>
      <w:r>
        <w:rPr>
          <w:noProof/>
          <w:lang w:val="en-US"/>
        </w:rPr>
        <w:t>B – Minimum arrangements for effective implementation</w:t>
      </w:r>
    </w:p>
    <w:p w:rsidR="00806E25" w:rsidRDefault="007775D0">
      <w:pPr>
        <w:pBdr>
          <w:top w:val="single" w:sz="4" w:space="1" w:color="auto"/>
          <w:left w:val="single" w:sz="4" w:space="4" w:color="auto"/>
          <w:bottom w:val="single" w:sz="4" w:space="1" w:color="auto"/>
          <w:right w:val="single" w:sz="4" w:space="4" w:color="auto"/>
        </w:pBdr>
        <w:spacing w:before="0" w:after="0"/>
        <w:rPr>
          <w:noProof/>
          <w:lang w:val="en-IE"/>
        </w:rPr>
      </w:pPr>
      <w:r>
        <w:rPr>
          <w:noProof/>
          <w:lang w:val="en-IE"/>
        </w:rPr>
        <w:t>C – Insufficient arrangements for effective implementation</w:t>
      </w:r>
    </w:p>
    <w:p w:rsidR="00806E25" w:rsidRDefault="00806E25">
      <w:pPr>
        <w:spacing w:before="0" w:after="0"/>
        <w:rPr>
          <w:b/>
          <w:i/>
          <w:noProof/>
          <w:lang w:val="en-IE"/>
        </w:rPr>
      </w:pPr>
    </w:p>
    <w:p w:rsidR="00806E25" w:rsidRDefault="00806E25">
      <w:pPr>
        <w:spacing w:before="0" w:after="0"/>
        <w:rPr>
          <w:b/>
          <w:i/>
          <w:noProof/>
          <w:lang w:val="en-IE"/>
        </w:rPr>
      </w:pPr>
    </w:p>
    <w:p w:rsidR="00806E25" w:rsidRDefault="007775D0">
      <w:pPr>
        <w:spacing w:before="0" w:after="200"/>
        <w:rPr>
          <w:b/>
          <w:noProof/>
          <w:color w:val="000000" w:themeColor="text1"/>
        </w:rPr>
      </w:pPr>
      <w:r>
        <w:rPr>
          <w:b/>
          <w:i/>
          <w:noProof/>
        </w:rPr>
        <w:t>3</w:t>
      </w:r>
      <w:r>
        <w:rPr>
          <w:b/>
          <w:noProof/>
          <w:color w:val="000000" w:themeColor="text1"/>
        </w:rPr>
        <w:t>. Determination of the financial</w:t>
      </w:r>
      <w:r>
        <w:rPr>
          <w:b/>
          <w:noProof/>
          <w:color w:val="000000" w:themeColor="text1"/>
        </w:rPr>
        <w:t xml:space="preserve"> contribution under the budgetary instrument for recovery and resilience</w:t>
      </w:r>
    </w:p>
    <w:p w:rsidR="00806E25" w:rsidRDefault="007775D0">
      <w:pPr>
        <w:spacing w:before="0" w:after="200"/>
        <w:rPr>
          <w:noProof/>
          <w:color w:val="000000" w:themeColor="text1"/>
        </w:rPr>
      </w:pPr>
      <w:r>
        <w:rPr>
          <w:noProof/>
          <w:color w:val="000000" w:themeColor="text1"/>
        </w:rPr>
        <w:t>In accordance with Article 17(3), the Commission shall determine the financial contribution taking into account the importance and coherence of the recovery and resilience plan propos</w:t>
      </w:r>
      <w:r>
        <w:rPr>
          <w:noProof/>
          <w:color w:val="000000" w:themeColor="text1"/>
        </w:rPr>
        <w:t>ed by the Member State concerned, as assessed under the criteria set out in Article 17(3). For that purpose, it shall apply the following criteria:</w:t>
      </w:r>
    </w:p>
    <w:p w:rsidR="00806E25" w:rsidRDefault="007775D0">
      <w:pPr>
        <w:pStyle w:val="Point1letter"/>
        <w:numPr>
          <w:ilvl w:val="3"/>
          <w:numId w:val="9"/>
        </w:numPr>
        <w:rPr>
          <w:noProof/>
        </w:rPr>
      </w:pPr>
      <w:r>
        <w:rPr>
          <w:noProof/>
        </w:rPr>
        <w:t>where the recovery and resilience plan complies satisfactorily with the criteria set out in Article 16(3), a</w:t>
      </w:r>
      <w:r>
        <w:rPr>
          <w:noProof/>
        </w:rPr>
        <w:t>nd the amount of the estimated total costs of the  recovery and resilience plan is equal to, or higher than the maximum financial contribution for that Member State referred to in Article 10, the financial contribution allocated to the Member State concern</w:t>
      </w:r>
      <w:r>
        <w:rPr>
          <w:noProof/>
        </w:rPr>
        <w:t>ed shall be equal to the total amount of the maximum financial contribution referred to in Article 10;</w:t>
      </w:r>
    </w:p>
    <w:p w:rsidR="00806E25" w:rsidRDefault="007775D0">
      <w:pPr>
        <w:pStyle w:val="Point1letter"/>
        <w:rPr>
          <w:noProof/>
        </w:rPr>
      </w:pPr>
      <w:r>
        <w:rPr>
          <w:noProof/>
        </w:rPr>
        <w:t>where the recovery and resilience plan complies satisfactorily with the criteria set out in Article 16(3), and the amount of the estimated total costs of</w:t>
      </w:r>
      <w:r>
        <w:rPr>
          <w:noProof/>
        </w:rPr>
        <w:t xml:space="preserve"> the recovery and resilience plan is lower than the maximum financial contribution for that Member State referred to in Article 10, the financial contribution allocated </w:t>
      </w:r>
      <w:r>
        <w:rPr>
          <w:noProof/>
          <w:lang w:val="mt-MT"/>
        </w:rPr>
        <w:t xml:space="preserve">to </w:t>
      </w:r>
      <w:r>
        <w:rPr>
          <w:noProof/>
        </w:rPr>
        <w:t>the Member State shall be equal to the amount of the estimated total costs of the  r</w:t>
      </w:r>
      <w:r>
        <w:rPr>
          <w:noProof/>
        </w:rPr>
        <w:t>ecovery and resilience plan;</w:t>
      </w:r>
    </w:p>
    <w:p w:rsidR="00806E25" w:rsidRDefault="007775D0">
      <w:pPr>
        <w:pStyle w:val="Point1letter"/>
        <w:rPr>
          <w:noProof/>
        </w:rPr>
      </w:pPr>
      <w:r>
        <w:rPr>
          <w:noProof/>
        </w:rPr>
        <w:t xml:space="preserve">where the recovery and resilience plan does not comply satisfactorily with the criteria set out in Article 16(3), no financial contribution shall be allocated to the Member State concerned. </w:t>
      </w:r>
    </w:p>
    <w:p w:rsidR="00806E25" w:rsidRDefault="007775D0">
      <w:pPr>
        <w:numPr>
          <w:ilvl w:val="3"/>
          <w:numId w:val="0"/>
        </w:numPr>
        <w:tabs>
          <w:tab w:val="num" w:pos="1843"/>
        </w:tabs>
        <w:spacing w:before="0" w:after="240"/>
        <w:rPr>
          <w:noProof/>
        </w:rPr>
      </w:pPr>
      <w:r>
        <w:rPr>
          <w:noProof/>
        </w:rPr>
        <w:t>For the purpose of the implementatio</w:t>
      </w:r>
      <w:r>
        <w:rPr>
          <w:noProof/>
        </w:rPr>
        <w:t xml:space="preserve">n of this subparagraph, the following formulas shall apply:  </w:t>
      </w:r>
    </w:p>
    <w:p w:rsidR="00806E25" w:rsidRDefault="007775D0">
      <w:pPr>
        <w:pStyle w:val="Tiret1"/>
        <w:numPr>
          <w:ilvl w:val="0"/>
          <w:numId w:val="12"/>
        </w:numPr>
        <w:rPr>
          <w:noProof/>
        </w:rPr>
      </w:pPr>
      <w:r>
        <w:rPr>
          <w:noProof/>
        </w:rPr>
        <w:t xml:space="preserve">for (a) above: </w:t>
      </w:r>
      <m:oMath>
        <m:sSup>
          <m:sSupPr>
            <m:ctrlPr>
              <w:rPr>
                <w:rFonts w:ascii="Cambria Math" w:hAnsi="Cambria Math"/>
                <w:noProof/>
              </w:rPr>
            </m:ctrlPr>
          </m:sSupPr>
          <m:e>
            <m:r>
              <m:rPr>
                <m:sty m:val="p"/>
              </m:rPr>
              <w:rPr>
                <w:rFonts w:ascii="Cambria Math" w:hAnsi="Cambria Math"/>
                <w:noProof/>
              </w:rPr>
              <m:t xml:space="preserve"> </m:t>
            </m:r>
            <m:r>
              <w:rPr>
                <w:rFonts w:ascii="Cambria Math" w:hAnsi="Cambria Math"/>
                <w:noProof/>
              </w:rPr>
              <m:t>If</m:t>
            </m:r>
            <m:r>
              <m:rPr>
                <m:sty m:val="p"/>
              </m:rPr>
              <w:rPr>
                <w:rFonts w:ascii="Cambria Math" w:hAnsi="Cambria Math"/>
                <w:noProof/>
              </w:rPr>
              <m:t xml:space="preserve"> </m:t>
            </m:r>
            <m:sSup>
              <m:sSupPr>
                <m:ctrlPr>
                  <w:rPr>
                    <w:rFonts w:ascii="Cambria Math" w:hAnsi="Cambria Math"/>
                    <w:noProof/>
                  </w:rPr>
                </m:ctrlPr>
              </m:sSupPr>
              <m:e>
                <m:r>
                  <w:rPr>
                    <w:rFonts w:ascii="Cambria Math" w:hAnsi="Cambria Math"/>
                    <w:noProof/>
                  </w:rPr>
                  <m:t>C</m:t>
                </m:r>
              </m:e>
              <m:sup>
                <m:r>
                  <w:rPr>
                    <w:rFonts w:ascii="Cambria Math" w:hAnsi="Cambria Math"/>
                    <w:noProof/>
                  </w:rPr>
                  <m:t>i</m:t>
                </m:r>
              </m:sup>
            </m:sSup>
            <m:r>
              <m:rPr>
                <m:sty m:val="p"/>
              </m:rPr>
              <w:rPr>
                <w:rFonts w:ascii="Cambria Math" w:hAnsi="Cambria Math"/>
                <w:noProof/>
              </w:rPr>
              <m:t>≥</m:t>
            </m:r>
            <m:r>
              <w:rPr>
                <w:rFonts w:ascii="Cambria Math" w:hAnsi="Cambria Math"/>
                <w:noProof/>
              </w:rPr>
              <m:t>MFC</m:t>
            </m:r>
          </m:e>
          <m:sup>
            <m:r>
              <w:rPr>
                <w:rFonts w:ascii="Cambria Math" w:hAnsi="Cambria Math"/>
                <w:noProof/>
              </w:rPr>
              <m:t>i</m:t>
            </m:r>
          </m:sup>
        </m:sSup>
        <m:r>
          <m:rPr>
            <m:sty m:val="p"/>
          </m:rPr>
          <w:rPr>
            <w:rFonts w:ascii="Cambria Math" w:hAnsi="Cambria Math"/>
            <w:noProof/>
          </w:rPr>
          <m:t xml:space="preserve">   the Member State </m:t>
        </m:r>
        <m:r>
          <w:rPr>
            <w:rFonts w:ascii="Cambria Math" w:hAnsi="Cambria Math"/>
            <w:noProof/>
          </w:rPr>
          <m:t>i</m:t>
        </m:r>
        <m:r>
          <m:rPr>
            <m:sty m:val="p"/>
          </m:rPr>
          <w:rPr>
            <w:rFonts w:ascii="Cambria Math" w:hAnsi="Cambria Math"/>
            <w:noProof/>
          </w:rPr>
          <m:t xml:space="preserve"> receives </m:t>
        </m:r>
        <m:sSup>
          <m:sSupPr>
            <m:ctrlPr>
              <w:rPr>
                <w:rFonts w:ascii="Cambria Math" w:hAnsi="Cambria Math"/>
                <w:noProof/>
              </w:rPr>
            </m:ctrlPr>
          </m:sSupPr>
          <m:e>
            <m:r>
              <w:rPr>
                <w:rFonts w:ascii="Cambria Math" w:hAnsi="Cambria Math"/>
                <w:noProof/>
              </w:rPr>
              <m:t>MFC</m:t>
            </m:r>
          </m:e>
          <m:sup>
            <m:r>
              <w:rPr>
                <w:rFonts w:ascii="Cambria Math" w:hAnsi="Cambria Math"/>
                <w:noProof/>
              </w:rPr>
              <m:t>i</m:t>
            </m:r>
          </m:sup>
        </m:sSup>
      </m:oMath>
    </w:p>
    <w:p w:rsidR="00806E25" w:rsidRDefault="007775D0">
      <w:pPr>
        <w:pStyle w:val="Tiret1"/>
        <w:rPr>
          <w:noProof/>
        </w:rPr>
      </w:pPr>
      <w:r>
        <w:rPr>
          <w:noProof/>
        </w:rPr>
        <w:t xml:space="preserve">for (b) above:  </w:t>
      </w:r>
      <m:oMath>
        <m:r>
          <w:rPr>
            <w:rFonts w:ascii="Cambria Math" w:hAnsi="Cambria Math"/>
            <w:noProof/>
          </w:rPr>
          <m:t>If</m:t>
        </m:r>
        <m:sSup>
          <m:sSupPr>
            <m:ctrlPr>
              <w:rPr>
                <w:rFonts w:ascii="Cambria Math" w:hAnsi="Cambria Math"/>
                <w:i/>
                <w:noProof/>
              </w:rPr>
            </m:ctrlPr>
          </m:sSupPr>
          <m:e>
            <m:r>
              <w:rPr>
                <w:rFonts w:ascii="Cambria Math" w:hAnsi="Cambria Math"/>
                <w:noProof/>
              </w:rPr>
              <m:t xml:space="preserve"> </m:t>
            </m:r>
            <m:sSup>
              <m:sSupPr>
                <m:ctrlPr>
                  <w:rPr>
                    <w:rFonts w:ascii="Cambria Math" w:hAnsi="Cambria Math"/>
                    <w:i/>
                    <w:noProof/>
                  </w:rPr>
                </m:ctrlPr>
              </m:sSupPr>
              <m:e>
                <m:r>
                  <w:rPr>
                    <w:rFonts w:ascii="Cambria Math" w:hAnsi="Cambria Math"/>
                    <w:noProof/>
                  </w:rPr>
                  <m:t>C</m:t>
                </m:r>
              </m:e>
              <m:sup>
                <m:r>
                  <w:rPr>
                    <w:rFonts w:ascii="Cambria Math" w:hAnsi="Cambria Math"/>
                    <w:noProof/>
                  </w:rPr>
                  <m:t>i</m:t>
                </m:r>
              </m:sup>
            </m:sSup>
            <m:r>
              <w:rPr>
                <w:rFonts w:ascii="Cambria Math" w:hAnsi="Cambria Math"/>
                <w:noProof/>
              </w:rPr>
              <m:t>&lt;</m:t>
            </m:r>
            <m:r>
              <w:rPr>
                <w:rFonts w:ascii="Cambria Math" w:hAnsi="Cambria Math"/>
                <w:noProof/>
              </w:rPr>
              <m:t>MFC</m:t>
            </m:r>
          </m:e>
          <m:sup>
            <m:r>
              <w:rPr>
                <w:rFonts w:ascii="Cambria Math" w:hAnsi="Cambria Math"/>
                <w:noProof/>
              </w:rPr>
              <m:t>i</m:t>
            </m:r>
          </m:sup>
        </m:sSup>
        <m:r>
          <w:rPr>
            <w:rFonts w:ascii="Cambria Math" w:hAnsi="Cambria Math"/>
            <w:noProof/>
          </w:rPr>
          <m:t xml:space="preserve">  </m:t>
        </m:r>
        <m:r>
          <m:rPr>
            <m:sty m:val="p"/>
          </m:rPr>
          <w:rPr>
            <w:rFonts w:ascii="Cambria Math" w:hAnsi="Cambria Math"/>
            <w:noProof/>
          </w:rPr>
          <m:t>the Member State</m:t>
        </m:r>
        <m:r>
          <w:rPr>
            <w:rFonts w:ascii="Cambria Math" w:hAnsi="Cambria Math"/>
            <w:noProof/>
          </w:rPr>
          <m:t xml:space="preserve"> </m:t>
        </m:r>
        <m:r>
          <w:rPr>
            <w:rFonts w:ascii="Cambria Math" w:hAnsi="Cambria Math"/>
            <w:noProof/>
          </w:rPr>
          <m:t>i</m:t>
        </m:r>
        <m:r>
          <w:rPr>
            <w:rFonts w:ascii="Cambria Math" w:hAnsi="Cambria Math"/>
            <w:noProof/>
          </w:rPr>
          <m:t xml:space="preserve"> </m:t>
        </m:r>
        <m:r>
          <m:rPr>
            <m:sty m:val="p"/>
          </m:rPr>
          <w:rPr>
            <w:rFonts w:ascii="Cambria Math" w:hAnsi="Cambria Math"/>
            <w:noProof/>
          </w:rPr>
          <m:t>receives</m:t>
        </m:r>
        <m:r>
          <w:rPr>
            <w:rFonts w:ascii="Cambria Math" w:hAnsi="Cambria Math"/>
            <w:noProof/>
          </w:rPr>
          <m:t xml:space="preserve"> </m:t>
        </m:r>
        <m:sSup>
          <m:sSupPr>
            <m:ctrlPr>
              <w:rPr>
                <w:rFonts w:ascii="Cambria Math" w:hAnsi="Cambria Math"/>
                <w:i/>
                <w:noProof/>
              </w:rPr>
            </m:ctrlPr>
          </m:sSupPr>
          <m:e>
            <m:r>
              <w:rPr>
                <w:rFonts w:ascii="Cambria Math" w:hAnsi="Cambria Math"/>
                <w:noProof/>
              </w:rPr>
              <m:t>C</m:t>
            </m:r>
          </m:e>
          <m:sup>
            <m:r>
              <w:rPr>
                <w:rFonts w:ascii="Cambria Math" w:hAnsi="Cambria Math"/>
                <w:noProof/>
              </w:rPr>
              <m:t>i</m:t>
            </m:r>
          </m:sup>
        </m:sSup>
      </m:oMath>
    </w:p>
    <w:p w:rsidR="00806E25" w:rsidRDefault="007775D0">
      <w:pPr>
        <w:pStyle w:val="Tiret1"/>
        <w:rPr>
          <w:noProof/>
        </w:rPr>
      </w:pPr>
      <w:r>
        <w:rPr>
          <w:noProof/>
        </w:rPr>
        <w:t xml:space="preserve">where: </w:t>
      </w:r>
    </w:p>
    <w:p w:rsidR="00806E25" w:rsidRDefault="007775D0">
      <w:pPr>
        <w:pStyle w:val="Tiret1"/>
        <w:rPr>
          <w:noProof/>
        </w:rPr>
      </w:pPr>
      <w:r>
        <w:rPr>
          <w:i/>
          <w:noProof/>
        </w:rPr>
        <w:t>i</w:t>
      </w:r>
      <w:r>
        <w:rPr>
          <w:noProof/>
        </w:rPr>
        <w:t xml:space="preserve">   refers to the Member State concerned</w:t>
      </w:r>
    </w:p>
    <w:p w:rsidR="00806E25" w:rsidRDefault="007775D0">
      <w:pPr>
        <w:pStyle w:val="Tiret1"/>
        <w:rPr>
          <w:noProof/>
        </w:rPr>
      </w:pPr>
      <w:r>
        <w:rPr>
          <w:i/>
          <w:noProof/>
        </w:rPr>
        <w:t>MFC</w:t>
      </w:r>
      <w:r>
        <w:rPr>
          <w:noProof/>
        </w:rPr>
        <w:t xml:space="preserve">   is the maximum financial contribution for the Member State concerned </w:t>
      </w:r>
    </w:p>
    <w:p w:rsidR="00806E25" w:rsidRDefault="007775D0">
      <w:pPr>
        <w:pStyle w:val="Tiret1"/>
        <w:rPr>
          <w:noProof/>
        </w:rPr>
      </w:pPr>
      <w:r>
        <w:rPr>
          <w:i/>
          <w:noProof/>
        </w:rPr>
        <w:t xml:space="preserve">C   </w:t>
      </w:r>
      <w:r>
        <w:rPr>
          <w:noProof/>
        </w:rPr>
        <w:t>is the amount of the estimated total costs of the  recovery and resilience plan</w:t>
      </w:r>
    </w:p>
    <w:p w:rsidR="00806E25" w:rsidRDefault="00806E25">
      <w:pPr>
        <w:spacing w:before="0" w:after="200"/>
        <w:rPr>
          <w:noProof/>
        </w:rPr>
      </w:pPr>
    </w:p>
    <w:p w:rsidR="00806E25" w:rsidRDefault="007775D0">
      <w:pPr>
        <w:spacing w:before="0" w:after="200"/>
        <w:rPr>
          <w:noProof/>
        </w:rPr>
      </w:pPr>
      <w:r>
        <w:rPr>
          <w:noProof/>
        </w:rPr>
        <w:t xml:space="preserve">As a result of the assessment process, and taking into account the ratings: </w:t>
      </w:r>
    </w:p>
    <w:p w:rsidR="00806E25" w:rsidRDefault="007775D0">
      <w:pPr>
        <w:pBdr>
          <w:top w:val="single" w:sz="4" w:space="1" w:color="auto"/>
          <w:left w:val="single" w:sz="4" w:space="4" w:color="auto"/>
          <w:bottom w:val="single" w:sz="4" w:space="1" w:color="auto"/>
          <w:right w:val="single" w:sz="4" w:space="4" w:color="auto"/>
        </w:pBdr>
        <w:spacing w:before="0" w:after="0"/>
        <w:rPr>
          <w:noProof/>
          <w:u w:val="single"/>
        </w:rPr>
      </w:pPr>
      <w:r>
        <w:rPr>
          <w:noProof/>
          <w:u w:val="single"/>
        </w:rPr>
        <w:t xml:space="preserve">The recovery and </w:t>
      </w:r>
      <w:r>
        <w:rPr>
          <w:noProof/>
          <w:u w:val="single"/>
        </w:rPr>
        <w:t>resilience plan complies satisfactorily with the assessment criteria:</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If the final rating for criteria 2.1 to 2.7 includes scores with:</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 an A for criteria 2.1 and 2.2; </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and for the other criteria:</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 all A's, </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or</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 a majority of A's over B's and no C's, </w:t>
      </w:r>
    </w:p>
    <w:p w:rsidR="00806E25" w:rsidRDefault="00806E25">
      <w:pPr>
        <w:spacing w:before="0" w:after="20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u w:val="single"/>
        </w:rPr>
      </w:pPr>
      <w:r>
        <w:rPr>
          <w:noProof/>
          <w:u w:val="single"/>
        </w:rPr>
        <w:t>The recovery and resilience plan does not comply satisfactorily with the assessment criteria:</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If the final rating for criteria 2.1 to 2.7 includes scores with:</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 not </w:t>
      </w:r>
      <w:r>
        <w:rPr>
          <w:i/>
          <w:noProof/>
        </w:rPr>
        <w:t>an</w:t>
      </w:r>
      <w:r>
        <w:rPr>
          <w:noProof/>
        </w:rPr>
        <w:t xml:space="preserve"> A in criteria 2.1 and 2.2; </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and for the o</w:t>
      </w:r>
      <w:r>
        <w:rPr>
          <w:noProof/>
        </w:rPr>
        <w:t>ther criteria:</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rPr>
      </w:pPr>
      <w:r>
        <w:rPr>
          <w:noProof/>
        </w:rPr>
        <w:t xml:space="preserve">- a majority of B's over A's </w:t>
      </w:r>
    </w:p>
    <w:p w:rsidR="00806E25" w:rsidRDefault="00806E25">
      <w:pPr>
        <w:pBdr>
          <w:top w:val="single" w:sz="4" w:space="1" w:color="auto"/>
          <w:left w:val="single" w:sz="4" w:space="4" w:color="auto"/>
          <w:bottom w:val="single" w:sz="4" w:space="1" w:color="auto"/>
          <w:right w:val="single" w:sz="4" w:space="4" w:color="auto"/>
        </w:pBdr>
        <w:spacing w:before="0" w:after="0"/>
        <w:rPr>
          <w:noProof/>
        </w:rPr>
      </w:pPr>
    </w:p>
    <w:p w:rsidR="00806E25" w:rsidRDefault="007775D0">
      <w:pPr>
        <w:pBdr>
          <w:top w:val="single" w:sz="4" w:space="1" w:color="auto"/>
          <w:left w:val="single" w:sz="4" w:space="4" w:color="auto"/>
          <w:bottom w:val="single" w:sz="4" w:space="1" w:color="auto"/>
          <w:right w:val="single" w:sz="4" w:space="4" w:color="auto"/>
        </w:pBdr>
        <w:spacing w:before="0" w:after="0"/>
        <w:rPr>
          <w:noProof/>
          <w:color w:val="000000" w:themeColor="text1"/>
        </w:rPr>
      </w:pPr>
      <w:r>
        <w:rPr>
          <w:noProof/>
        </w:rPr>
        <w:t>or</w:t>
      </w:r>
    </w:p>
    <w:p w:rsidR="00806E25" w:rsidRDefault="00806E25">
      <w:pPr>
        <w:pBdr>
          <w:top w:val="single" w:sz="4" w:space="1" w:color="auto"/>
          <w:left w:val="single" w:sz="4" w:space="4" w:color="auto"/>
          <w:bottom w:val="single" w:sz="4" w:space="1" w:color="auto"/>
          <w:right w:val="single" w:sz="4" w:space="4" w:color="auto"/>
        </w:pBdr>
        <w:spacing w:before="0" w:after="0"/>
        <w:rPr>
          <w:noProof/>
          <w:color w:val="000000" w:themeColor="text1"/>
        </w:rPr>
      </w:pPr>
    </w:p>
    <w:p w:rsidR="00806E25" w:rsidRDefault="007775D0">
      <w:pPr>
        <w:pBdr>
          <w:top w:val="single" w:sz="4" w:space="1" w:color="auto"/>
          <w:left w:val="single" w:sz="4" w:space="4" w:color="auto"/>
          <w:bottom w:val="single" w:sz="4" w:space="1" w:color="auto"/>
          <w:right w:val="single" w:sz="4" w:space="4" w:color="auto"/>
        </w:pBdr>
        <w:spacing w:before="0" w:after="0"/>
        <w:rPr>
          <w:noProof/>
          <w:color w:val="000000" w:themeColor="text1"/>
        </w:rPr>
      </w:pPr>
      <w:r>
        <w:rPr>
          <w:noProof/>
          <w:color w:val="000000" w:themeColor="text1"/>
        </w:rPr>
        <w:t xml:space="preserve">- at least one C </w:t>
      </w:r>
    </w:p>
    <w:p w:rsidR="00806E25" w:rsidRDefault="00806E25">
      <w:pPr>
        <w:spacing w:before="0" w:after="200"/>
        <w:rPr>
          <w:noProof/>
          <w:color w:val="000000" w:themeColor="text1"/>
        </w:rPr>
      </w:pPr>
    </w:p>
    <w:p w:rsidR="00806E25" w:rsidRDefault="00806E25">
      <w:pPr>
        <w:rPr>
          <w:noProof/>
        </w:rPr>
      </w:pPr>
    </w:p>
    <w:p w:rsidR="00806E25" w:rsidRDefault="00806E25">
      <w:pPr>
        <w:rPr>
          <w:noProof/>
        </w:rPr>
      </w:pPr>
    </w:p>
    <w:p w:rsidR="00806E25" w:rsidRDefault="00806E25">
      <w:pPr>
        <w:rPr>
          <w:noProof/>
        </w:rPr>
        <w:sectPr w:rsidR="00806E25" w:rsidSect="007775D0">
          <w:pgSz w:w="11907" w:h="16839"/>
          <w:pgMar w:top="1134" w:right="1417" w:bottom="1134" w:left="1417" w:header="709" w:footer="709" w:gutter="0"/>
          <w:cols w:space="720"/>
          <w:docGrid w:linePitch="360"/>
        </w:sectPr>
      </w:pPr>
    </w:p>
    <w:p w:rsidR="00806E25" w:rsidRDefault="007775D0">
      <w:pPr>
        <w:pStyle w:val="Annexetitre"/>
        <w:rPr>
          <w:noProof/>
        </w:rPr>
      </w:pPr>
      <w:r>
        <w:rPr>
          <w:noProof/>
        </w:rPr>
        <w:t xml:space="preserve">ANNEX III </w:t>
      </w:r>
    </w:p>
    <w:p w:rsidR="00806E25" w:rsidRDefault="007775D0">
      <w:pPr>
        <w:jc w:val="center"/>
        <w:rPr>
          <w:noProof/>
        </w:rPr>
      </w:pPr>
      <w:r>
        <w:rPr>
          <w:b/>
          <w:noProof/>
        </w:rPr>
        <w:t>Indicators</w:t>
      </w:r>
    </w:p>
    <w:p w:rsidR="00806E25" w:rsidRDefault="007775D0">
      <w:pPr>
        <w:spacing w:before="0" w:after="200"/>
        <w:rPr>
          <w:noProof/>
        </w:rPr>
      </w:pPr>
      <w:r>
        <w:rPr>
          <w:noProof/>
        </w:rPr>
        <w:t xml:space="preserve">The achievement of the objectives referred to in Articles 4 shall be measured on the basis of the following indicators, broken down by Member </w:t>
      </w:r>
      <w:r>
        <w:rPr>
          <w:noProof/>
        </w:rPr>
        <w:t>State and by area of intervention.</w:t>
      </w:r>
    </w:p>
    <w:p w:rsidR="00806E25" w:rsidRDefault="007775D0">
      <w:pPr>
        <w:spacing w:before="0" w:after="200"/>
        <w:rPr>
          <w:noProof/>
        </w:rPr>
      </w:pPr>
      <w:r>
        <w:rPr>
          <w:noProof/>
        </w:rPr>
        <w:t xml:space="preserve">Indicators shall be used in accordance with data and information available, including quantitative and/or qualitative data. </w:t>
      </w:r>
    </w:p>
    <w:p w:rsidR="00806E25" w:rsidRDefault="007775D0">
      <w:pPr>
        <w:tabs>
          <w:tab w:val="num" w:pos="850"/>
        </w:tabs>
        <w:spacing w:before="0" w:after="200"/>
        <w:ind w:left="850" w:hanging="850"/>
        <w:rPr>
          <w:b/>
          <w:noProof/>
        </w:rPr>
      </w:pPr>
      <w:r>
        <w:rPr>
          <w:b/>
          <w:noProof/>
        </w:rPr>
        <w:tab/>
        <w:t>Output indicators:</w:t>
      </w:r>
    </w:p>
    <w:p w:rsidR="00806E25" w:rsidRDefault="007775D0">
      <w:pPr>
        <w:pStyle w:val="Point1letter"/>
        <w:numPr>
          <w:ilvl w:val="3"/>
          <w:numId w:val="10"/>
        </w:numPr>
        <w:rPr>
          <w:noProof/>
        </w:rPr>
      </w:pPr>
      <w:r>
        <w:rPr>
          <w:noProof/>
        </w:rPr>
        <w:t>number of recovery and resilience plans as approved</w:t>
      </w:r>
      <w:r>
        <w:rPr>
          <w:noProof/>
          <w:sz w:val="16"/>
          <w:szCs w:val="16"/>
        </w:rPr>
        <w:t xml:space="preserve"> </w:t>
      </w:r>
      <w:r>
        <w:rPr>
          <w:noProof/>
        </w:rPr>
        <w:t xml:space="preserve">in the implementing act </w:t>
      </w:r>
      <w:r>
        <w:rPr>
          <w:noProof/>
        </w:rPr>
        <w:t>of the Commission;</w:t>
      </w:r>
    </w:p>
    <w:p w:rsidR="00806E25" w:rsidRDefault="007775D0">
      <w:pPr>
        <w:pStyle w:val="Point1letter"/>
        <w:numPr>
          <w:ilvl w:val="3"/>
          <w:numId w:val="10"/>
        </w:numPr>
        <w:rPr>
          <w:noProof/>
          <w:u w:val="single"/>
        </w:rPr>
      </w:pPr>
      <w:r>
        <w:rPr>
          <w:noProof/>
        </w:rPr>
        <w:t>overall financial contribution allocated to the  recovery and resilience plan;</w:t>
      </w:r>
    </w:p>
    <w:p w:rsidR="00806E25" w:rsidRDefault="007775D0">
      <w:pPr>
        <w:tabs>
          <w:tab w:val="num" w:pos="850"/>
        </w:tabs>
        <w:spacing w:before="0" w:after="200"/>
        <w:ind w:left="850" w:hanging="850"/>
        <w:rPr>
          <w:noProof/>
          <w:u w:val="single"/>
        </w:rPr>
      </w:pPr>
      <w:r>
        <w:rPr>
          <w:b/>
          <w:noProof/>
        </w:rPr>
        <w:tab/>
        <w:t>Result indicators</w:t>
      </w:r>
      <w:r>
        <w:rPr>
          <w:noProof/>
        </w:rPr>
        <w:t>:</w:t>
      </w:r>
      <w:r>
        <w:rPr>
          <w:noProof/>
          <w:u w:val="single"/>
        </w:rPr>
        <w:t xml:space="preserve"> </w:t>
      </w:r>
    </w:p>
    <w:p w:rsidR="00806E25" w:rsidRDefault="007775D0">
      <w:pPr>
        <w:pStyle w:val="Point1letter"/>
        <w:rPr>
          <w:noProof/>
          <w:u w:val="single"/>
        </w:rPr>
      </w:pPr>
      <w:r>
        <w:rPr>
          <w:noProof/>
        </w:rPr>
        <w:t>number of  recovery and resilience plans implemented;</w:t>
      </w:r>
      <w:r>
        <w:rPr>
          <w:noProof/>
          <w:u w:val="single"/>
        </w:rPr>
        <w:t xml:space="preserve"> </w:t>
      </w:r>
    </w:p>
    <w:p w:rsidR="00806E25" w:rsidRDefault="007775D0">
      <w:pPr>
        <w:spacing w:before="0" w:after="200"/>
        <w:rPr>
          <w:b/>
          <w:noProof/>
          <w:u w:val="single"/>
        </w:rPr>
      </w:pPr>
      <w:r>
        <w:rPr>
          <w:b/>
          <w:noProof/>
          <w:u w:val="single"/>
        </w:rPr>
        <w:t xml:space="preserve">Impact indicators established </w:t>
      </w:r>
      <w:r>
        <w:rPr>
          <w:b/>
          <w:iCs/>
          <w:noProof/>
          <w:szCs w:val="24"/>
          <w:u w:val="single"/>
        </w:rPr>
        <w:t>by</w:t>
      </w:r>
      <w:r>
        <w:rPr>
          <w:b/>
          <w:noProof/>
          <w:u w:val="single"/>
        </w:rPr>
        <w:t xml:space="preserve"> this Regulation</w:t>
      </w:r>
    </w:p>
    <w:p w:rsidR="00806E25" w:rsidRDefault="007775D0">
      <w:pPr>
        <w:pStyle w:val="Point1letter"/>
        <w:rPr>
          <w:noProof/>
        </w:rPr>
      </w:pPr>
      <w:r>
        <w:rPr>
          <w:noProof/>
        </w:rPr>
        <w:t>The objectives set in the recover</w:t>
      </w:r>
      <w:r>
        <w:rPr>
          <w:noProof/>
        </w:rPr>
        <w:t>y and resilience plan, which have been achieved due, inter alia, to the overall financial support (including, where appropriate, the loan support) received under the Recovery and Resilience Facility established by this Regulation;</w:t>
      </w:r>
    </w:p>
    <w:p w:rsidR="00806E25" w:rsidRDefault="007775D0">
      <w:pPr>
        <w:spacing w:before="0" w:after="200"/>
        <w:rPr>
          <w:noProof/>
        </w:rPr>
      </w:pPr>
      <w:r>
        <w:rPr>
          <w:noProof/>
        </w:rPr>
        <w:t>The ex-post evaluation re</w:t>
      </w:r>
      <w:r>
        <w:rPr>
          <w:noProof/>
        </w:rPr>
        <w:t>ferred to in Article 25 shall be undertaken by the Commission also with the purpose of establishing the links between the overall financial support (including, where appropriate, the loan support) from Recovery and Resilience Facility and the implementatio</w:t>
      </w:r>
      <w:r>
        <w:rPr>
          <w:noProof/>
        </w:rPr>
        <w:t>n of the relevant measures in the Member State concerned with a view to enhancing recovery, resilience, sustainable growth, jobs and cohesion.</w:t>
      </w:r>
    </w:p>
    <w:sectPr w:rsidR="00806E25" w:rsidSect="007775D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E25" w:rsidRDefault="007775D0">
      <w:pPr>
        <w:spacing w:before="0" w:after="0"/>
      </w:pPr>
      <w:r>
        <w:separator/>
      </w:r>
    </w:p>
  </w:endnote>
  <w:endnote w:type="continuationSeparator" w:id="0">
    <w:p w:rsidR="00806E25" w:rsidRDefault="007775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D0" w:rsidRPr="007775D0" w:rsidRDefault="007775D0" w:rsidP="00777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E25" w:rsidRPr="007775D0" w:rsidRDefault="007775D0" w:rsidP="007775D0">
    <w:pPr>
      <w:pStyle w:val="Footer"/>
      <w:rPr>
        <w:rFonts w:ascii="Arial" w:hAnsi="Arial" w:cs="Arial"/>
        <w:b/>
        <w:sz w:val="48"/>
      </w:rPr>
    </w:pPr>
    <w:r w:rsidRPr="007775D0">
      <w:rPr>
        <w:rFonts w:ascii="Arial" w:hAnsi="Arial" w:cs="Arial"/>
        <w:b/>
        <w:sz w:val="48"/>
      </w:rPr>
      <w:t>EN</w:t>
    </w:r>
    <w:r w:rsidRPr="007775D0">
      <w:rPr>
        <w:rFonts w:ascii="Arial" w:hAnsi="Arial" w:cs="Arial"/>
        <w:b/>
        <w:sz w:val="48"/>
      </w:rPr>
      <w:tab/>
    </w:r>
    <w:r w:rsidRPr="007775D0">
      <w:rPr>
        <w:rFonts w:ascii="Arial" w:hAnsi="Arial" w:cs="Arial"/>
        <w:b/>
        <w:sz w:val="48"/>
      </w:rPr>
      <w:tab/>
    </w:r>
    <w:r w:rsidRPr="007775D0">
      <w:tab/>
    </w:r>
    <w:proofErr w:type="spellStart"/>
    <w:r w:rsidRPr="007775D0">
      <w:rPr>
        <w:rFonts w:ascii="Arial" w:hAnsi="Arial" w:cs="Arial"/>
        <w:b/>
        <w:sz w:val="48"/>
      </w:rPr>
      <w:t>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D0" w:rsidRPr="007775D0" w:rsidRDefault="007775D0" w:rsidP="007775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D0" w:rsidRPr="007775D0" w:rsidRDefault="007775D0" w:rsidP="007775D0">
    <w:pPr>
      <w:pStyle w:val="Footer"/>
      <w:rPr>
        <w:rFonts w:ascii="Arial" w:hAnsi="Arial" w:cs="Arial"/>
        <w:b/>
        <w:sz w:val="48"/>
      </w:rPr>
    </w:pPr>
    <w:r w:rsidRPr="007775D0">
      <w:rPr>
        <w:rFonts w:ascii="Arial" w:hAnsi="Arial" w:cs="Arial"/>
        <w:b/>
        <w:sz w:val="48"/>
      </w:rPr>
      <w:t>EN</w:t>
    </w:r>
    <w:r w:rsidRPr="007775D0">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rsidRPr="007775D0">
      <w:tab/>
    </w:r>
    <w:r w:rsidRPr="007775D0">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D0" w:rsidRPr="007775D0" w:rsidRDefault="007775D0" w:rsidP="00777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E25" w:rsidRDefault="007775D0">
      <w:pPr>
        <w:spacing w:before="0" w:after="0"/>
      </w:pPr>
      <w:r>
        <w:separator/>
      </w:r>
    </w:p>
  </w:footnote>
  <w:footnote w:type="continuationSeparator" w:id="0">
    <w:p w:rsidR="00806E25" w:rsidRDefault="007775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D0" w:rsidRPr="007775D0" w:rsidRDefault="007775D0" w:rsidP="00777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D0" w:rsidRPr="007775D0" w:rsidRDefault="007775D0" w:rsidP="007775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D0" w:rsidRPr="007775D0" w:rsidRDefault="007775D0" w:rsidP="00777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B062BA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E22A09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CE8348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0E9CFB9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950553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5C6FC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B09BD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F9027A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9620893"/>
    <w:multiLevelType w:val="hybridMultilevel"/>
    <w:tmpl w:val="7BF4B6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E1A982C"/>
    <w:multiLevelType w:val="multilevel"/>
    <w:tmpl w:val="C86C76BA"/>
    <w:name w:val="ListBulletNumbering"/>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4"/>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20"/>
  </w:num>
  <w:num w:numId="14">
    <w:abstractNumId w:val="12"/>
  </w:num>
  <w:num w:numId="15">
    <w:abstractNumId w:val="22"/>
  </w:num>
  <w:num w:numId="16">
    <w:abstractNumId w:val="11"/>
  </w:num>
  <w:num w:numId="17">
    <w:abstractNumId w:val="13"/>
  </w:num>
  <w:num w:numId="18">
    <w:abstractNumId w:val="9"/>
  </w:num>
  <w:num w:numId="19">
    <w:abstractNumId w:val="21"/>
  </w:num>
  <w:num w:numId="20">
    <w:abstractNumId w:val="8"/>
  </w:num>
  <w:num w:numId="21">
    <w:abstractNumId w:val="14"/>
  </w:num>
  <w:num w:numId="22">
    <w:abstractNumId w:val="18"/>
  </w:num>
  <w:num w:numId="23">
    <w:abstractNumId w:val="19"/>
  </w:num>
  <w:num w:numId="24">
    <w:abstractNumId w:val="10"/>
  </w:num>
  <w:num w:numId="25">
    <w:abstractNumId w:val="17"/>
  </w:num>
  <w:num w:numId="26">
    <w:abstractNumId w:val="23"/>
  </w:num>
  <w:num w:numId="27">
    <w:abstractNumId w:val="16"/>
  </w:num>
  <w:num w:numId="28">
    <w:abstractNumId w:val="15"/>
  </w:num>
  <w:num w:numId="29">
    <w:abstractNumId w:val="20"/>
  </w:num>
  <w:num w:numId="30">
    <w:abstractNumId w:val="12"/>
  </w:num>
  <w:num w:numId="31">
    <w:abstractNumId w:val="22"/>
  </w:num>
  <w:num w:numId="32">
    <w:abstractNumId w:val="11"/>
  </w:num>
  <w:num w:numId="33">
    <w:abstractNumId w:val="13"/>
  </w:num>
  <w:num w:numId="34">
    <w:abstractNumId w:val="9"/>
  </w:num>
  <w:num w:numId="35">
    <w:abstractNumId w:val="21"/>
  </w:num>
  <w:num w:numId="36">
    <w:abstractNumId w:val="8"/>
  </w:num>
  <w:num w:numId="37">
    <w:abstractNumId w:val="14"/>
  </w:num>
  <w:num w:numId="38">
    <w:abstractNumId w:val="18"/>
  </w:num>
  <w:num w:numId="39">
    <w:abstractNumId w:val="19"/>
  </w:num>
  <w:num w:numId="40">
    <w:abstractNumId w:val="10"/>
  </w:num>
  <w:num w:numId="41">
    <w:abstractNumId w:val="17"/>
  </w:num>
  <w:num w:numId="42">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3"/>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attachedTemplate r:id="rId1"/>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7 22:22:55"/>
    <w:docVar w:name="DQCResult_Distribution" w:val="2;0"/>
    <w:docVar w:name="DQCResult_DocumentContent" w:val="1;0"/>
    <w:docVar w:name="DQCResult_DocumentSize" w:val="0;0"/>
    <w:docVar w:name="DQCResult_DocumentVersions" w:val="0;0"/>
    <w:docVar w:name="DQCResult_InvalidFootnotes" w:val="0;0"/>
    <w:docVar w:name="DQCResult_LinkedStyles" w:val="0;0"/>
    <w:docVar w:name="DQCResult_ModifiedMargins" w:val="13;0"/>
    <w:docVar w:name="DQCResult_ModifiedMarkers" w:val="0;0"/>
    <w:docVar w:name="DQCResult_ModifiedNumbering" w:val="7;0"/>
    <w:docVar w:name="DQCResult_Objects" w:val="0;0"/>
    <w:docVar w:name="DQCResult_Sections" w:val="0;0"/>
    <w:docVar w:name="DQCResult_StructureCheck" w:val="0;0"/>
    <w:docVar w:name="DQCResult_SuperfluousWhitespace" w:val="111;0"/>
    <w:docVar w:name="DQCResult_UnknownFonts" w:val="3;0"/>
    <w:docVar w:name="DQCResult_UnknownStyles" w:val="8;0"/>
    <w:docVar w:name="DQCStatus" w:val="Yellow"/>
    <w:docVar w:name="DQCVersion" w:val="0"/>
    <w:docVar w:name="DQCWithWarnings" w:val="0"/>
    <w:docVar w:name="LW_ACCOMPAGNANT" w:val="to the Proposal for a "/>
    <w:docVar w:name="LW_ACCOMPAGNANT.CP" w:val="to the Proposal for a "/>
    <w:docVar w:name="LW_ANNEX_NBR_FIRST" w:val="1"/>
    <w:docVar w:name="LW_ANNEX_NBR_LAST" w:val="3"/>
    <w:docVar w:name="LW_ANNEX_UNIQUE" w:val="0"/>
    <w:docVar w:name="LW_CORRIGENDUM" w:val="&lt;UNUSED&gt;"/>
    <w:docVar w:name="LW_COVERPAGE_EXISTS" w:val="True"/>
    <w:docVar w:name="LW_COVERPAGE_GUID" w:val="D81F1A8C-9849-4EDE-AD12-D644D9C71B2A"/>
    <w:docVar w:name="LW_COVERPAGE_TYPE" w:val="1"/>
    <w:docVar w:name="LW_CROSSREFERENCE" w:val="&lt;UNUSED&gt;"/>
    <w:docVar w:name="LW_DocType" w:val="ANNEX"/>
    <w:docVar w:name="LW_EMISSION" w:val="28.5.2020"/>
    <w:docVar w:name="LW_EMISSION_ISODATE" w:val="2020-05-2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a Recovery and Resilience Facility"/>
    <w:docVar w:name="LW_OBJETACTEPRINCIPAL.CP" w:val="establishing a Recovery and Resilience Facility"/>
    <w:docVar w:name="LW_PART_NBR" w:val="&lt;UNUSED&gt;"/>
    <w:docVar w:name="LW_PART_NBR_TOTAL" w:val="&lt;UNUSED&gt;"/>
    <w:docVar w:name="LW_REF.INST.NEW" w:val="COM"/>
    <w:docVar w:name="LW_REF.INST.NEW_ADOPTED" w:val="final"/>
    <w:docVar w:name="LW_REF.INST.NEW_TEXT" w:val="(2020) 4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REGULATION OF THE EUROPEAN PARLIAMENT AND OF THE COUNCIL "/>
    <w:docVar w:name="LW_TYPEACTEPRINCIPAL.CP" w:val="REGULATION OF THE EUROPEAN PARLIAMENT AND OF THE COUNCIL "/>
  </w:docVars>
  <w:rsids>
    <w:rsidRoot w:val="00806E25"/>
    <w:rsid w:val="007775D0"/>
    <w:rsid w:val="0080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E8FE4069-3C31-42A3-AEFF-15F8184F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customStyle="1" w:styleId="ListBulletLevel2">
    <w:name w:val="List Bullet (Level 2)"/>
    <w:basedOn w:val="Text1"/>
    <w:pPr>
      <w:tabs>
        <w:tab w:val="num" w:pos="567"/>
      </w:tabs>
      <w:spacing w:before="0" w:after="240"/>
      <w:ind w:left="567" w:hanging="284"/>
    </w:pPr>
    <w:rPr>
      <w:rFonts w:eastAsia="Times New Roman"/>
      <w:szCs w:val="20"/>
      <w:lang w:eastAsia="fr-B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fr-BE" w:eastAsia="fr-BE"/>
    </w:rPr>
  </w:style>
  <w:style w:type="paragraph" w:styleId="Header">
    <w:name w:val="header"/>
    <w:basedOn w:val="Normal"/>
    <w:link w:val="HeaderChar"/>
    <w:uiPriority w:val="99"/>
    <w:unhideWhenUsed/>
    <w:rsid w:val="007775D0"/>
    <w:pPr>
      <w:tabs>
        <w:tab w:val="center" w:pos="4535"/>
        <w:tab w:val="right" w:pos="9071"/>
      </w:tabs>
      <w:spacing w:before="0"/>
    </w:pPr>
  </w:style>
  <w:style w:type="character" w:customStyle="1" w:styleId="HeaderChar">
    <w:name w:val="Header Char"/>
    <w:basedOn w:val="DefaultParagraphFont"/>
    <w:link w:val="Header"/>
    <w:uiPriority w:val="99"/>
    <w:rsid w:val="007775D0"/>
    <w:rPr>
      <w:rFonts w:ascii="Times New Roman" w:hAnsi="Times New Roman" w:cs="Times New Roman"/>
      <w:sz w:val="24"/>
      <w:lang w:val="en-GB"/>
    </w:rPr>
  </w:style>
  <w:style w:type="paragraph" w:styleId="Footer">
    <w:name w:val="footer"/>
    <w:basedOn w:val="Normal"/>
    <w:link w:val="FooterChar"/>
    <w:uiPriority w:val="99"/>
    <w:unhideWhenUsed/>
    <w:rsid w:val="007775D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775D0"/>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775D0"/>
    <w:pPr>
      <w:tabs>
        <w:tab w:val="center" w:pos="7285"/>
        <w:tab w:val="right" w:pos="14003"/>
      </w:tabs>
      <w:spacing w:before="0"/>
    </w:pPr>
  </w:style>
  <w:style w:type="paragraph" w:customStyle="1" w:styleId="FooterLandscape">
    <w:name w:val="FooterLandscape"/>
    <w:basedOn w:val="Normal"/>
    <w:rsid w:val="007775D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775D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775D0"/>
    <w:pPr>
      <w:spacing w:before="0"/>
      <w:jc w:val="right"/>
    </w:pPr>
    <w:rPr>
      <w:sz w:val="28"/>
    </w:rPr>
  </w:style>
  <w:style w:type="paragraph" w:customStyle="1" w:styleId="FooterSensitivity">
    <w:name w:val="Footer Sensitivity"/>
    <w:basedOn w:val="Normal"/>
    <w:rsid w:val="007775D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2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E392A-6AB2-42BC-8935-996075E9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11</TotalTime>
  <Pages>12</Pages>
  <Words>2843</Words>
  <Characters>15467</Characters>
  <Application>Microsoft Office Word</Application>
  <DocSecurity>0</DocSecurity>
  <Lines>407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AMUZAN Andreea Gabriela (REFORM)</dc:creator>
  <cp:keywords/>
  <dc:description/>
  <cp:lastModifiedBy>SEILER Brigitte (SG)</cp:lastModifiedBy>
  <cp:revision>14</cp:revision>
  <dcterms:created xsi:type="dcterms:W3CDTF">2020-05-27T20:22:00Z</dcterms:created>
  <dcterms:modified xsi:type="dcterms:W3CDTF">2020-05-27T21:45:00Z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00)</vt:lpwstr>
  </property>
</Properties>
</file>