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60BD4F0D-F8D2-4C06-AD2E-246A6F2D8CEB" style="width:450.25pt;height:397.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rPr>
          <w:noProof/>
        </w:rPr>
      </w:pPr>
    </w:p>
    <w:p>
      <w:pPr>
        <w:pStyle w:val="ListParagraph"/>
        <w:rPr>
          <w:b/>
          <w:noProof/>
        </w:rPr>
      </w:pPr>
      <w:r>
        <w:rPr>
          <w:noProof/>
        </w:rPr>
        <w:t>Методика за изчисляване на максималното финансово участие (</w:t>
      </w:r>
      <w:r>
        <w:rPr>
          <w:b/>
          <w:noProof/>
        </w:rPr>
        <w:t>т.е. безвъзмездна финансова подкрепа) по държави членки в рамките на механизма</w:t>
      </w:r>
    </w:p>
    <w:p>
      <w:pPr>
        <w:rPr>
          <w:noProof/>
        </w:rPr>
      </w:pPr>
    </w:p>
    <w:p>
      <w:pPr>
        <w:spacing w:before="0" w:after="200"/>
        <w:rPr>
          <w:noProof/>
        </w:rPr>
      </w:pPr>
      <w:r>
        <w:rPr>
          <w:noProof/>
        </w:rPr>
        <w:t>В настоящото приложение се определя методиката за изчисляване на максималното финансово участие, което е на разположение на всяка държава членка. При този метод се взема предвид:</w:t>
      </w:r>
    </w:p>
    <w:p>
      <w:pPr>
        <w:pStyle w:val="Bullet0"/>
        <w:numPr>
          <w:ilvl w:val="0"/>
          <w:numId w:val="10"/>
        </w:numPr>
        <w:rPr>
          <w:noProof/>
        </w:rPr>
      </w:pPr>
      <w:r>
        <w:rPr>
          <w:noProof/>
        </w:rPr>
        <w:t>населението;</w:t>
      </w:r>
    </w:p>
    <w:p>
      <w:pPr>
        <w:pStyle w:val="Bullet0"/>
        <w:rPr>
          <w:noProof/>
        </w:rPr>
      </w:pPr>
      <w:r>
        <w:rPr>
          <w:noProof/>
        </w:rPr>
        <w:t>реципрочната стойност на БВП на глава от населението;</w:t>
      </w:r>
    </w:p>
    <w:p>
      <w:pPr>
        <w:pStyle w:val="Bullet0"/>
        <w:rPr>
          <w:noProof/>
        </w:rPr>
      </w:pPr>
      <w:r>
        <w:rPr>
          <w:noProof/>
        </w:rPr>
        <w:t xml:space="preserve">средното равнище на безработица през последните 5 години в сравнение със средното равнище за ЕС (2015—2019 г.). </w:t>
      </w:r>
    </w:p>
    <w:p>
      <w:pPr>
        <w:rPr>
          <w:noProof/>
        </w:rPr>
      </w:pPr>
      <w:r>
        <w:rPr>
          <w:noProof/>
        </w:rPr>
        <w:t>За да се избегне прекомерна концентрация на ресурси:</w:t>
      </w:r>
    </w:p>
    <w:p>
      <w:pPr>
        <w:pStyle w:val="Bullet0"/>
        <w:rPr>
          <w:noProof/>
        </w:rPr>
      </w:pPr>
      <w:r>
        <w:rPr>
          <w:noProof/>
        </w:rPr>
        <w:t>реципрочната стойност на БВП на глава от населението е ограничена до 150 % от средното равнище за ЕС;</w:t>
      </w:r>
    </w:p>
    <w:p>
      <w:pPr>
        <w:pStyle w:val="Bullet0"/>
        <w:rPr>
          <w:noProof/>
        </w:rPr>
      </w:pPr>
      <w:r>
        <w:rPr>
          <w:noProof/>
        </w:rPr>
        <w:t>отклонението на процента на безработица в отделните държави от средното равнище за ЕС е ограничено до 150 % от средното равнище за ЕС;</w:t>
      </w:r>
    </w:p>
    <w:p>
      <w:pPr>
        <w:pStyle w:val="Bullet0"/>
        <w:rPr>
          <w:rFonts w:eastAsia="Times New Roman"/>
          <w:noProof/>
          <w:szCs w:val="20"/>
        </w:rPr>
      </w:pPr>
      <w:r>
        <w:rPr>
          <w:noProof/>
        </w:rPr>
        <w:t>с цел да се вземат предвид по-стабилните пазари на труда на по-заможните държави членки (с БНД на глава от населението над средното равнище за ЕС), отклонението на техния процент на безработица спрямо средното равнище за ЕС е ограничено до 75 %.</w:t>
      </w:r>
    </w:p>
    <w:p>
      <w:pPr>
        <w:spacing w:before="0" w:after="200"/>
        <w:rPr>
          <w:noProof/>
        </w:rPr>
      </w:pPr>
      <w:r>
        <w:rPr>
          <w:noProof/>
        </w:rPr>
        <w:t>Максималното финансово участие на държава членка в рамките на механизма  (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MFC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>
        <w:rPr>
          <w:noProof/>
        </w:rPr>
        <w:t>) се определя, както следва:</w:t>
      </w:r>
    </w:p>
    <w:p>
      <w:pPr>
        <w:spacing w:before="0" w:after="200"/>
        <w:rPr>
          <w:noProof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MFC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</w:rPr>
                <m:t>=α</m:t>
              </m:r>
            </m:e>
            <m:sub>
              <m:r>
                <w:rPr>
                  <w:rFonts w:ascii="Cambria Math" w:hAnsi="Cambria Math"/>
                  <w:noProof/>
                </w:rPr>
                <m:t>i</m:t>
              </m:r>
            </m:sub>
          </m:sSub>
          <m:r>
            <w:rPr>
              <w:rFonts w:ascii="Cambria Math" w:hAnsi="Cambria Math"/>
              <w:noProof/>
            </w:rPr>
            <m:t>×(FS)</m:t>
          </m:r>
        </m:oMath>
      </m:oMathPara>
    </w:p>
    <w:p>
      <w:pPr>
        <w:spacing w:before="0" w:after="200"/>
        <w:rPr>
          <w:noProof/>
        </w:rPr>
      </w:pPr>
      <w:r>
        <w:rPr>
          <w:noProof/>
        </w:rPr>
        <w:t>където:</w:t>
      </w:r>
    </w:p>
    <w:p>
      <w:pPr>
        <w:spacing w:before="0" w:after="200"/>
        <w:rPr>
          <w:noProof/>
        </w:rPr>
      </w:pPr>
      <w:r>
        <w:rPr>
          <w:noProof/>
        </w:rPr>
        <w:t xml:space="preserve">FS (финансова подкрепа) е наличният финансов пакет в рамките на механизма, както е посочено в член 5, параграф 1, буква а); и </w:t>
      </w:r>
    </w:p>
    <w:p>
      <w:pPr>
        <w:spacing w:before="0" w:after="200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α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>
        <w:rPr>
          <w:noProof/>
        </w:rPr>
        <w:t xml:space="preserve"> е коефициентът на разпределение на държава членка </w:t>
      </w:r>
      <w:r>
        <w:rPr>
          <w:i/>
          <w:noProof/>
        </w:rPr>
        <w:t>i</w:t>
      </w:r>
      <w:r>
        <w:rPr>
          <w:noProof/>
        </w:rPr>
        <w:t>, определен като:</w:t>
      </w:r>
    </w:p>
    <w:p>
      <w:pPr>
        <w:spacing w:before="0" w:after="200"/>
        <w:jc w:val="center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α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 xml:space="preserve">= 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</w:rPr>
                      <m:t>GDP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average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</w:rPr>
                      <m:t>PC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</w:rPr>
                      <m:t>GDP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</w:rPr>
                      <m:t>PC</m:t>
                    </m:r>
                  </m:sup>
                </m:sSubSup>
              </m:den>
            </m:f>
            <m:r>
              <w:rPr>
                <w:rFonts w:ascii="Cambria Math" w:hAnsi="Cambria Math"/>
                <w:noProof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pop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pop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EU</m:t>
                    </m:r>
                  </m:sub>
                </m:sSub>
              </m:den>
            </m:f>
            <m:r>
              <w:rPr>
                <w:rFonts w:ascii="Cambria Math" w:hAnsi="Cambria Math"/>
                <w:noProof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EU</m:t>
                    </m:r>
                  </m:sub>
                </m:sSub>
              </m:den>
            </m:f>
          </m:num>
          <m:den>
            <m:nary>
              <m:naryPr>
                <m:chr m:val="∑"/>
                <m:grow m:val="1"/>
                <m:ctrlPr>
                  <w:rPr>
                    <w:rFonts w:ascii="Cambria Math" w:hAnsi="Cambria Math"/>
                    <w:noProof/>
                  </w:rPr>
                </m:ctrlPr>
              </m:naryPr>
              <m:sub>
                <m:r>
                  <w:rPr>
                    <w:rFonts w:ascii="Cambria Math" w:hAnsi="Cambria Math"/>
                    <w:noProof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noProof/>
                  </w:rPr>
                  <m:t>27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GDP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average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PC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GDP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PC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noProof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pop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pop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EU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EU</m:t>
                        </m:r>
                      </m:sub>
                    </m:sSub>
                  </m:den>
                </m:f>
              </m:e>
            </m:nary>
          </m:den>
        </m:f>
      </m:oMath>
      <w:r>
        <w:rPr>
          <w:noProof/>
        </w:rPr>
        <w:t xml:space="preserve">, </w:t>
      </w:r>
    </w:p>
    <w:p>
      <w:pPr>
        <w:spacing w:before="0" w:after="200"/>
        <w:jc w:val="center"/>
        <w:rPr>
          <w:noProof/>
        </w:rPr>
      </w:pPr>
      <w:r>
        <w:rPr>
          <w:noProof/>
        </w:rPr>
        <w:t xml:space="preserve">като </w:t>
      </w:r>
      <w:r>
        <w:rPr>
          <w:noProof/>
          <w:color w:val="000000" w:themeColor="text1"/>
          <w:sz w:val="20"/>
          <w:szCs w:val="20"/>
        </w:rPr>
        <w:t>1.</w:t>
      </w:r>
      <m:oMath>
        <m:r>
          <m:rPr>
            <m:sty m:val="p"/>
          </m:rPr>
          <w:rPr>
            <w:rFonts w:ascii="Cambria Math" w:eastAsia="Cambria Math" w:hAnsi="Cambria Math" w:cstheme="minorBidi"/>
            <w:noProof/>
            <w:color w:val="000000" w:themeColor="text1"/>
            <w:kern w:val="24"/>
            <w:sz w:val="20"/>
            <w:szCs w:val="20"/>
          </w:rPr>
          <m:t>5</m:t>
        </m:r>
        <m:r>
          <w:rPr>
            <w:rFonts w:ascii="Cambria Math" w:eastAsia="Cambria Math" w:hAnsi="Cambria Math" w:cstheme="minorBidi"/>
            <w:noProof/>
            <w:color w:val="000000" w:themeColor="text1"/>
            <w:kern w:val="24"/>
            <w:sz w:val="20"/>
            <w:szCs w:val="20"/>
          </w:rPr>
          <m:t>≥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noProof/>
                <w:color w:val="000000" w:themeColor="text1"/>
                <w:kern w:val="24"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theme="minorBidi"/>
                    <w:i/>
                    <w:iCs/>
                    <w:noProof/>
                    <w:color w:val="000000" w:themeColor="text1"/>
                    <w:kern w:val="24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theme="minorBidi"/>
                    <w:noProof/>
                    <w:color w:val="000000" w:themeColor="text1"/>
                    <w:kern w:val="24"/>
                    <w:sz w:val="20"/>
                    <w:szCs w:val="20"/>
                  </w:rPr>
                  <m:t>GDP</m:t>
                </m:r>
              </m:e>
              <m:sub>
                <m:r>
                  <w:rPr>
                    <w:rFonts w:ascii="Cambria Math" w:hAnsi="Cambria Math" w:cstheme="minorBidi"/>
                    <w:noProof/>
                    <w:color w:val="000000" w:themeColor="text1"/>
                    <w:kern w:val="24"/>
                    <w:sz w:val="20"/>
                    <w:szCs w:val="20"/>
                  </w:rPr>
                  <m:t>average </m:t>
                </m:r>
              </m:sub>
              <m:sup>
                <m:r>
                  <w:rPr>
                    <w:rFonts w:ascii="Cambria Math" w:hAnsi="Cambria Math" w:cstheme="minorBidi"/>
                    <w:noProof/>
                    <w:color w:val="000000" w:themeColor="text1"/>
                    <w:kern w:val="24"/>
                    <w:sz w:val="20"/>
                    <w:szCs w:val="20"/>
                  </w:rPr>
                  <m:t>PC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theme="minorBidi"/>
                    <w:i/>
                    <w:iCs/>
                    <w:noProof/>
                    <w:color w:val="000000" w:themeColor="text1"/>
                    <w:kern w:val="24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theme="minorBidi"/>
                    <w:noProof/>
                    <w:color w:val="000000" w:themeColor="text1"/>
                    <w:kern w:val="24"/>
                    <w:sz w:val="20"/>
                    <w:szCs w:val="20"/>
                  </w:rPr>
                  <m:t>GDP</m:t>
                </m:r>
              </m:e>
              <m:sub>
                <m:r>
                  <w:rPr>
                    <w:rFonts w:ascii="Cambria Math" w:hAnsi="Cambria Math" w:cstheme="minorBidi"/>
                    <w:noProof/>
                    <w:color w:val="000000" w:themeColor="text1"/>
                    <w:kern w:val="24"/>
                    <w:sz w:val="20"/>
                    <w:szCs w:val="20"/>
                  </w:rPr>
                  <m:t>i</m:t>
                </m:r>
              </m:sub>
              <m:sup>
                <m:r>
                  <w:rPr>
                    <w:rFonts w:ascii="Cambria Math" w:hAnsi="Cambria Math" w:cstheme="minorBidi"/>
                    <w:noProof/>
                    <w:color w:val="000000" w:themeColor="text1"/>
                    <w:kern w:val="24"/>
                    <w:sz w:val="20"/>
                    <w:szCs w:val="20"/>
                  </w:rPr>
                  <m:t>PC</m:t>
                </m:r>
              </m:sup>
            </m:sSubSup>
          </m:den>
        </m:f>
      </m:oMath>
      <w:r>
        <w:rPr>
          <w:noProof/>
        </w:rPr>
        <w:t xml:space="preserve"> </w:t>
      </w:r>
    </w:p>
    <w:p>
      <w:pPr>
        <w:spacing w:before="0" w:after="200"/>
        <w:jc w:val="center"/>
        <w:rPr>
          <w:noProof/>
        </w:rPr>
      </w:pPr>
      <w:r>
        <w:rPr>
          <w:noProof/>
        </w:rPr>
        <w:t xml:space="preserve">и също така 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1.5≥U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/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iEU</m:t>
            </m:r>
          </m:sub>
        </m:sSub>
      </m:oMath>
      <w:r>
        <w:rPr>
          <w:noProof/>
        </w:rPr>
        <w:t xml:space="preserve"> </w:t>
      </w:r>
      <w:r>
        <w:rPr>
          <w:noProof/>
          <w:sz w:val="20"/>
          <w:szCs w:val="20"/>
        </w:rPr>
        <w:t xml:space="preserve">и </w:t>
      </w:r>
      <w:r>
        <w:rPr>
          <w:noProof/>
        </w:rPr>
        <w:t xml:space="preserve"> </w:t>
      </w:r>
      <w:r>
        <w:rPr>
          <w:noProof/>
          <w:color w:val="000000" w:themeColor="text1"/>
          <w:sz w:val="20"/>
          <w:szCs w:val="20"/>
        </w:rPr>
        <w:t>0,75</w:t>
      </w:r>
      <m:oMath>
        <m:r>
          <w:rPr>
            <w:rFonts w:ascii="Cambria Math" w:eastAsia="Cambria Math" w:hAnsi="Cambria Math" w:cstheme="minorBidi"/>
            <w:noProof/>
            <w:color w:val="000000" w:themeColor="text1"/>
            <w:kern w:val="24"/>
            <w:sz w:val="20"/>
            <w:szCs w:val="20"/>
          </w:rPr>
          <m:t>≥</m:t>
        </m:r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noProof/>
                <w:color w:val="000000" w:themeColor="text1"/>
                <w:kern w:val="24"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Bidi"/>
                <w:noProof/>
                <w:color w:val="000000" w:themeColor="text1"/>
                <w:kern w:val="24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theme="minorBidi"/>
                <w:noProof/>
                <w:color w:val="000000" w:themeColor="text1"/>
                <w:kern w:val="24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theme="minorBidi"/>
            <w:noProof/>
            <w:color w:val="000000" w:themeColor="text1"/>
            <w:kern w:val="24"/>
            <w:sz w:val="20"/>
            <w:szCs w:val="20"/>
          </w:rPr>
          <m:t>/</m:t>
        </m:r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noProof/>
                <w:color w:val="000000" w:themeColor="text1"/>
                <w:kern w:val="24"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Bidi"/>
                <w:noProof/>
                <w:color w:val="000000" w:themeColor="text1"/>
                <w:kern w:val="24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theme="minorBidi"/>
                <w:noProof/>
                <w:color w:val="000000" w:themeColor="text1"/>
                <w:kern w:val="24"/>
                <w:sz w:val="20"/>
                <w:szCs w:val="20"/>
              </w:rPr>
              <m:t>iEU</m:t>
            </m:r>
          </m:sub>
        </m:sSub>
      </m:oMath>
      <w:r>
        <w:rPr>
          <w:rFonts w:asciiTheme="minorHAnsi" w:hAnsi="Calibri"/>
          <w:noProof/>
          <w:color w:val="000000" w:themeColor="text1"/>
          <w:sz w:val="20"/>
          <w:szCs w:val="20"/>
        </w:rPr>
        <w:t xml:space="preserve"> </w:t>
      </w:r>
      <w:r>
        <w:rPr>
          <w:noProof/>
          <w:color w:val="000000" w:themeColor="text1"/>
          <w:sz w:val="20"/>
          <w:szCs w:val="20"/>
        </w:rPr>
        <w:t>за държави членки с</w:t>
      </w:r>
      <w:r>
        <w:rPr>
          <w:rFonts w:asciiTheme="minorHAnsi" w:hAnsi="Calibri"/>
          <w:noProof/>
          <w:color w:val="000000" w:themeColor="text1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iCs/>
                <w:noProof/>
                <w:color w:val="000000" w:themeColor="text1"/>
                <w:kern w:val="24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theme="minorBidi"/>
                <w:noProof/>
                <w:color w:val="000000" w:themeColor="text1"/>
                <w:kern w:val="24"/>
                <w:sz w:val="20"/>
                <w:szCs w:val="20"/>
              </w:rPr>
              <m:t>GDP</m:t>
            </m:r>
          </m:e>
          <m:sub>
            <m:r>
              <w:rPr>
                <w:rFonts w:ascii="Cambria Math" w:hAnsi="Cambria Math" w:cstheme="minorBidi"/>
                <w:noProof/>
                <w:color w:val="000000" w:themeColor="text1"/>
                <w:kern w:val="24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 w:cstheme="minorBidi"/>
                <w:noProof/>
                <w:color w:val="000000" w:themeColor="text1"/>
                <w:kern w:val="24"/>
                <w:sz w:val="20"/>
                <w:szCs w:val="20"/>
              </w:rPr>
              <m:t>PC</m:t>
            </m:r>
          </m:sup>
        </m:sSubSup>
        <m:r>
          <w:rPr>
            <w:rFonts w:ascii="Cambria Math" w:eastAsia="Cambria Math" w:hAnsi="Cambria Math" w:cstheme="minorBidi"/>
            <w:noProof/>
            <w:color w:val="000000" w:themeColor="text1"/>
            <w:kern w:val="24"/>
            <w:sz w:val="20"/>
            <w:szCs w:val="20"/>
          </w:rPr>
          <m:t>&gt;100% * </m:t>
        </m:r>
        <m:sSubSup>
          <m:sSubSupPr>
            <m:ctrlPr>
              <w:rPr>
                <w:rFonts w:ascii="Cambria Math" w:eastAsiaTheme="minorEastAsia" w:hAnsi="Cambria Math" w:cstheme="minorBidi"/>
                <w:i/>
                <w:iCs/>
                <w:noProof/>
                <w:color w:val="000000" w:themeColor="text1"/>
                <w:kern w:val="24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theme="minorBidi"/>
                <w:noProof/>
                <w:color w:val="000000" w:themeColor="text1"/>
                <w:kern w:val="24"/>
                <w:sz w:val="20"/>
                <w:szCs w:val="20"/>
              </w:rPr>
              <m:t>GDP</m:t>
            </m:r>
          </m:e>
          <m:sub>
            <m:r>
              <w:rPr>
                <w:rFonts w:ascii="Cambria Math" w:hAnsi="Cambria Math" w:cstheme="minorBidi"/>
                <w:noProof/>
                <w:color w:val="000000" w:themeColor="text1"/>
                <w:kern w:val="24"/>
                <w:sz w:val="20"/>
                <w:szCs w:val="20"/>
              </w:rPr>
              <m:t>average </m:t>
            </m:r>
          </m:sub>
          <m:sup>
            <m:r>
              <w:rPr>
                <w:rFonts w:ascii="Cambria Math" w:hAnsi="Cambria Math" w:cstheme="minorBidi"/>
                <w:noProof/>
                <w:color w:val="000000" w:themeColor="text1"/>
                <w:kern w:val="24"/>
                <w:sz w:val="20"/>
                <w:szCs w:val="20"/>
              </w:rPr>
              <m:t>PC</m:t>
            </m:r>
          </m:sup>
        </m:sSubSup>
      </m:oMath>
    </w:p>
    <w:p>
      <w:pPr>
        <w:spacing w:before="0" w:after="200"/>
        <w:rPr>
          <w:noProof/>
        </w:rPr>
      </w:pPr>
    </w:p>
    <w:p>
      <w:pPr>
        <w:spacing w:before="0" w:after="200"/>
        <w:rPr>
          <w:noProof/>
        </w:rPr>
      </w:pPr>
      <w:r>
        <w:rPr>
          <w:noProof/>
        </w:rPr>
        <w:t>Също така:</w:t>
      </w:r>
    </w:p>
    <w:p>
      <w:pPr>
        <w:spacing w:before="0" w:after="200"/>
        <w:rPr>
          <w:i/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α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>
        <w:rPr>
          <w:noProof/>
        </w:rPr>
        <w:t xml:space="preserve"> е коефициентът на разпределение на държава </w:t>
      </w:r>
      <w:r>
        <w:rPr>
          <w:i/>
          <w:noProof/>
        </w:rPr>
        <w:t>i</w:t>
      </w:r>
    </w:p>
    <w:p>
      <w:pPr>
        <w:spacing w:before="0" w:after="200"/>
        <w:rPr>
          <w:i/>
          <w:noProof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</w:rPr>
            </m:ctrlPr>
          </m:sSubSupPr>
          <m:e>
            <m:r>
              <w:rPr>
                <w:rFonts w:ascii="Cambria Math" w:hAnsi="Cambria Math"/>
                <w:noProof/>
              </w:rPr>
              <m:t>GDP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  <m:sup>
            <m:r>
              <w:rPr>
                <w:rFonts w:ascii="Cambria Math" w:hAnsi="Cambria Math"/>
                <w:noProof/>
              </w:rPr>
              <m:t>PC</m:t>
            </m:r>
          </m:sup>
        </m:sSubSup>
      </m:oMath>
      <w:r>
        <w:rPr>
          <w:noProof/>
        </w:rPr>
        <w:tab/>
        <w:t>е брутният вътрешен продукт на глава от населението за 2019 г. на държава</w:t>
      </w:r>
      <w:r>
        <w:rPr>
          <w:i/>
          <w:noProof/>
        </w:rPr>
        <w:t xml:space="preserve"> i</w:t>
      </w:r>
    </w:p>
    <w:p>
      <w:pPr>
        <w:spacing w:before="0" w:after="200"/>
        <w:rPr>
          <w:i/>
          <w:noProof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</w:rPr>
            </m:ctrlPr>
          </m:sSubSupPr>
          <m:e>
            <m:r>
              <w:rPr>
                <w:rFonts w:ascii="Cambria Math" w:hAnsi="Cambria Math"/>
                <w:noProof/>
              </w:rPr>
              <m:t>GDP</m:t>
            </m:r>
          </m:e>
          <m:sub>
            <m:r>
              <w:rPr>
                <w:rFonts w:ascii="Cambria Math" w:hAnsi="Cambria Math"/>
                <w:noProof/>
              </w:rPr>
              <m:t>average</m:t>
            </m:r>
          </m:sub>
          <m:sup>
            <m:r>
              <w:rPr>
                <w:rFonts w:ascii="Cambria Math" w:hAnsi="Cambria Math"/>
                <w:noProof/>
              </w:rPr>
              <m:t>PC</m:t>
            </m:r>
          </m:sup>
        </m:sSubSup>
      </m:oMath>
      <w:r>
        <w:rPr>
          <w:i/>
          <w:noProof/>
        </w:rPr>
        <w:t xml:space="preserve"> </w:t>
      </w:r>
      <w:r>
        <w:rPr>
          <w:noProof/>
        </w:rPr>
        <w:t>среднопретеглената стойност на брутния вътрешен продукт на глава от населението на държавите членки от ЕС-27 през 2019 г.</w:t>
      </w:r>
    </w:p>
    <w:p>
      <w:pPr>
        <w:spacing w:before="0" w:after="200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pop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>
        <w:rPr>
          <w:noProof/>
        </w:rPr>
        <w:t xml:space="preserve"> е общото население през 2019 г. в държава </w:t>
      </w:r>
      <w:r>
        <w:rPr>
          <w:i/>
          <w:noProof/>
        </w:rPr>
        <w:t>i</w:t>
      </w:r>
    </w:p>
    <w:p>
      <w:pPr>
        <w:spacing w:before="0" w:after="200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pop</m:t>
            </m:r>
          </m:e>
          <m:sub>
            <m:r>
              <w:rPr>
                <w:rFonts w:ascii="Cambria Math" w:hAnsi="Cambria Math"/>
                <w:noProof/>
              </w:rPr>
              <m:t>EU</m:t>
            </m:r>
          </m:sub>
        </m:sSub>
      </m:oMath>
      <w:r>
        <w:rPr>
          <w:noProof/>
        </w:rPr>
        <w:tab/>
        <w:t>е общото население през 2019 г. в държавите членки от ЕС-27</w:t>
      </w:r>
    </w:p>
    <w:p>
      <w:pPr>
        <w:spacing w:before="0" w:after="200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>
        <w:rPr>
          <w:noProof/>
        </w:rPr>
        <w:tab/>
        <w:t xml:space="preserve">е средното равнище на безработица за периода 2015—2019 г. в държава </w:t>
      </w:r>
      <w:r>
        <w:rPr>
          <w:i/>
          <w:noProof/>
        </w:rPr>
        <w:t xml:space="preserve">i </w:t>
      </w:r>
    </w:p>
    <w:p>
      <w:pPr>
        <w:spacing w:before="0" w:after="200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EU</m:t>
            </m:r>
          </m:sub>
        </m:sSub>
      </m:oMath>
      <w:r>
        <w:rPr>
          <w:noProof/>
        </w:rPr>
        <w:tab/>
        <w:t>е средното равнище на безработица в ЕС-27 за периода 2015—2019 г.</w:t>
      </w:r>
      <w:r>
        <w:rPr>
          <w:i/>
          <w:noProof/>
        </w:rPr>
        <w:t xml:space="preserve"> </w:t>
      </w:r>
    </w:p>
    <w:p>
      <w:pPr>
        <w:spacing w:before="0" w:after="200"/>
        <w:rPr>
          <w:noProof/>
        </w:rPr>
      </w:pPr>
      <w:r>
        <w:rPr>
          <w:noProof/>
        </w:rPr>
        <w:t>Прилагането на методиката ще доведе до следния дял и размер на максималното финансово участие за всяка държава членка.</w:t>
      </w:r>
    </w:p>
    <w:p>
      <w:pPr>
        <w:rPr>
          <w:noProof/>
        </w:rPr>
      </w:pPr>
    </w:p>
    <w:p>
      <w:pPr>
        <w:jc w:val="center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>
            <wp:extent cx="2288035" cy="630000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35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jc w:val="center"/>
        <w:rPr>
          <w:noProof/>
        </w:rPr>
      </w:pPr>
      <w:r>
        <w:rPr>
          <w:b/>
          <w:noProof/>
        </w:rPr>
        <w:t>Насоки за оценка на механизма</w:t>
      </w:r>
    </w:p>
    <w:p>
      <w:pPr>
        <w:spacing w:before="0" w:after="200"/>
        <w:rPr>
          <w:b/>
          <w:noProof/>
        </w:rPr>
      </w:pPr>
      <w:r>
        <w:rPr>
          <w:b/>
          <w:noProof/>
        </w:rPr>
        <w:t xml:space="preserve">1. Обхват </w:t>
      </w:r>
    </w:p>
    <w:p>
      <w:pPr>
        <w:spacing w:before="0" w:after="200"/>
        <w:rPr>
          <w:noProof/>
        </w:rPr>
      </w:pPr>
      <w:r>
        <w:rPr>
          <w:noProof/>
        </w:rPr>
        <w:t xml:space="preserve">Целта на тези насоки за оценка е да послужат, заедно с настоящия регламент, като основание за Комисията да оцени по прозрачен и справедлив начин плановете за възстановяване и устойчивост, представени от държавите членки, както и да определи финансовото участие в съответствие с целите и всички други съответни изисквания, определени в настоящия регламент. Тези насоки по-специално представляват основанието за прилагането на критериите за оценка и определянето на финансовото участие, както съответно е посочено в член 16, параграф 3 и член 17, параграф 3. </w:t>
      </w:r>
    </w:p>
    <w:p>
      <w:pPr>
        <w:spacing w:before="0" w:after="200"/>
        <w:rPr>
          <w:noProof/>
        </w:rPr>
      </w:pPr>
      <w:r>
        <w:rPr>
          <w:noProof/>
        </w:rPr>
        <w:t xml:space="preserve">Насоките за оценка са предназначени да: </w:t>
      </w:r>
    </w:p>
    <w:p>
      <w:pPr>
        <w:spacing w:before="0" w:after="200"/>
        <w:rPr>
          <w:noProof/>
        </w:rPr>
      </w:pPr>
      <w:r>
        <w:rPr>
          <w:noProof/>
        </w:rPr>
        <w:t xml:space="preserve">а) предоставят допълнителни насоки относно процеса на оценяване на плановете за възстановяване и устойчивост, представени от държавите членки; </w:t>
      </w:r>
    </w:p>
    <w:p>
      <w:pPr>
        <w:spacing w:before="0" w:after="200"/>
        <w:rPr>
          <w:noProof/>
        </w:rPr>
      </w:pPr>
      <w:r>
        <w:rPr>
          <w:noProof/>
        </w:rPr>
        <w:t>б) предоставят повече подробности относно критериите за оценка и предвиждат рейтингова система, която трябва да бъде създадена с оглед на това да се гарантира справедлив и прозрачен процес; и</w:t>
      </w:r>
    </w:p>
    <w:p>
      <w:pPr>
        <w:spacing w:before="0" w:after="200"/>
        <w:rPr>
          <w:noProof/>
        </w:rPr>
      </w:pPr>
      <w:r>
        <w:rPr>
          <w:noProof/>
        </w:rPr>
        <w:t xml:space="preserve">в) определят връзката между оценката, която трябва да се извърши от Комисията в съответствие с критериите за оценка, и определянето на финансовото участие, което трябва да се определи в решението на Комисията, във връзка с избраните планове за възстановяване и устойчивост. </w:t>
      </w:r>
    </w:p>
    <w:p>
      <w:pPr>
        <w:spacing w:before="0" w:after="200"/>
        <w:rPr>
          <w:noProof/>
        </w:rPr>
      </w:pPr>
      <w:r>
        <w:rPr>
          <w:noProof/>
        </w:rPr>
        <w:t xml:space="preserve">Насоките са инструмент за улесняване на оценката на Комисията на предложенията за планове за възстановяване и устойчивост, представени от държавите членки, и за гарантиране, че плановете за възстановяване и устойчивост подкрепят реформите и публичните инвестиции, които са подходящи и имат висока добавена стойност, като същевременно се гарантира равно третиране между държавите членки. </w:t>
      </w:r>
    </w:p>
    <w:p>
      <w:pPr>
        <w:spacing w:before="0" w:after="200"/>
        <w:rPr>
          <w:b/>
          <w:noProof/>
        </w:rPr>
      </w:pPr>
      <w:r>
        <w:rPr>
          <w:b/>
          <w:noProof/>
        </w:rPr>
        <w:t>2. Критерии за оценка</w:t>
      </w:r>
    </w:p>
    <w:p>
      <w:pPr>
        <w:spacing w:before="0" w:after="200"/>
        <w:rPr>
          <w:noProof/>
        </w:rPr>
      </w:pPr>
      <w:r>
        <w:rPr>
          <w:noProof/>
        </w:rPr>
        <w:t xml:space="preserve">В съответствие с член 16, параграф 3 Комисията оценява значението и съгласуваността на плановете за възстановяване и устойчивост и техния принос за екологичния и цифровия преход, като за тази цел взема предвид следните критерии: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дали се очаква планът за възстановяване и устойчивост да допринесе за ефективното справяне с предизвикателствата, посочени в специфичните за всяка държава препоръки, отправени към съответната държава членка, или в други относими документи, официално приети от Комисията в рамките на европейския семестър;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дали планът съдържа мерки, които ефективно допринасят за екологичния и цифровия преход или за преодоляване на произтичащите от това предизвикателства;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дали се очаква планът за възстановяване и устойчивост да окаже трайно въздействие върху съответната държава членка; 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дали планът за възстановяване и устойчивост се очаква ефективно да спомага за укрепването на потенциала за растеж, създаването на работни места и икономическата и социална устойчивост на съответната държава членка, както и да смекчава икономическото и социално въздействие на кризата и да допринася за засилване на икономическото, социалното и териториалното сближаване; 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дали представената от държавата членка обосновка за размера на прогнозните общи разходи за представения план за възстановяване и устойчивост е разумна и реалистична и е съизмерима с очакваното въздействие върху икономиката и заетостта; 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дали планът за възстановяване и устойчивост съдържа мерки за осъществяването на реформи и на проекти за публични инвестиции, които представляват съгласувани действия;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 xml:space="preserve"> дали се очаква договореностите, предложени от съответните държави членки, да осигурят ефективно изпълнение на плана за възстановяване и устойчивост, включително предвидения график, междинните и крайните цели, както и свързаните с тях показатели.  </w:t>
      </w:r>
    </w:p>
    <w:p>
      <w:pPr>
        <w:spacing w:before="0" w:after="200"/>
        <w:ind w:left="720" w:firstLine="1"/>
        <w:contextualSpacing/>
        <w:rPr>
          <w:noProof/>
        </w:rPr>
      </w:pPr>
    </w:p>
    <w:p>
      <w:pPr>
        <w:spacing w:before="0" w:after="200"/>
        <w:rPr>
          <w:noProof/>
        </w:rPr>
      </w:pPr>
      <w:r>
        <w:rPr>
          <w:noProof/>
        </w:rPr>
        <w:t>В резултат на процеса на оценяване Комисията предоставя рейтинги на плановете за възстановяване и устойчивост, представени от държавите членки, в съответствие с всеки от критериите за оценка, посочени в член 16, член 3, за да се оцени значението и съгласуваността на плановете за възстановяване и устойчивост и с оглед на това да се установи разпределението на финансовите средства съгласно член 17, параграф 3.</w:t>
      </w:r>
    </w:p>
    <w:p>
      <w:pPr>
        <w:spacing w:before="0" w:after="200"/>
        <w:rPr>
          <w:noProof/>
        </w:rPr>
      </w:pPr>
      <w:r>
        <w:rPr>
          <w:noProof/>
        </w:rPr>
        <w:t>От съображения за опростяване и ефикасност рейтинговата система варира от „A“ до „C“, както е определено по следния начин:</w:t>
      </w:r>
    </w:p>
    <w:p>
      <w:pPr>
        <w:spacing w:before="0" w:after="200"/>
        <w:ind w:left="567"/>
        <w:rPr>
          <w:b/>
          <w:i/>
          <w:noProof/>
        </w:rPr>
      </w:pPr>
      <w:r>
        <w:rPr>
          <w:b/>
          <w:i/>
          <w:noProof/>
        </w:rPr>
        <w:t>2.1 Планът за възстановяване и устойчивост се очаква да допринесе за ефективното справяне с предизвикателствата, посочени в специфичните за всяка държава препоръки, отправени към съответната държава членка, или в други относими документи, официално приети от Комисията в рамките на европейския семестър.</w:t>
      </w:r>
    </w:p>
    <w:p>
      <w:pPr>
        <w:spacing w:before="0" w:after="0"/>
        <w:rPr>
          <w:noProof/>
        </w:rPr>
      </w:pPr>
      <w:r>
        <w:rPr>
          <w:noProof/>
        </w:rPr>
        <w:t xml:space="preserve">Комисията взема предвид следните елементи за оценката в съответствие с този критерий: </w:t>
      </w:r>
    </w:p>
    <w:p>
      <w:pPr>
        <w:spacing w:before="0" w:after="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 xml:space="preserve">Обхват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планът за възстановяване и устойчивост се очаква да допринесе за ефективното справяне с предизвикателствата, посочени в специфичните за всяка държава препоръки, включително данъчните аспекти, или в други относими документи, официално приети от Комисията в рамките на европейския семестър и отправени към съответната държава членка;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тези предизвикателства се считат за съществени за повишаване на потенциала за растеж на икономиката на съответната държава членка,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След приключването на предложените реформи и инвестиции ще се очаква свързаните с това предизвикателства да са преодолени по задоволителен начин.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планът за възстановяване и устойчивост представлява цялостен и адекватен отговор на икономическото и социалното положение на съответната държава членка;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spacing w:before="0" w:after="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>Рейтинг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„А“ — Планът за възстановяване и устойчивост допринася за ефективното справяне с предизвикателствата, посочени в специфичните за всяка държава препоръки или в други относими документи, официално приети от Комисията в рамките на европейския семестър, и представлява адекватен отговор на икономическото и социалното положение на съответната държава членка.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„B“ — Планът за възстановяване и устойчивост допринася за частично справяне с предизвикателствата, посочени в специфичните за всяка държава препоръки или в други относими документи, официално приети от Комисията в рамките на европейския семестър, и представлява отчасти адекватен отговор на икономическото и социалното положение на съответната държава членка.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„C“ — Планът за възстановяване и устойчивост не допринася за справяне с предизвикателствата, посочени в специфичните за всяка държава препоръки или в други относими документи, официално приети от Комисията в рамките на европейския семестър, и не представлява адекватен отговор на икономическото и социалното положение на съответната държава членка.</w:t>
      </w:r>
    </w:p>
    <w:p>
      <w:pPr>
        <w:spacing w:before="0" w:after="200"/>
        <w:ind w:left="720"/>
        <w:rPr>
          <w:i/>
          <w:noProof/>
        </w:rPr>
      </w:pPr>
    </w:p>
    <w:p>
      <w:pPr>
        <w:spacing w:before="0" w:after="200"/>
        <w:ind w:left="426"/>
        <w:rPr>
          <w:b/>
          <w:i/>
          <w:noProof/>
        </w:rPr>
      </w:pPr>
      <w:r>
        <w:rPr>
          <w:b/>
          <w:i/>
          <w:noProof/>
        </w:rPr>
        <w:t>2.2 Планът съдържа мерки, които ефективно допринасят за екологичния и цифровия преход или за преодоляване на произтичащите от това предизвикателства.</w:t>
      </w:r>
    </w:p>
    <w:p>
      <w:pPr>
        <w:spacing w:before="0" w:after="0"/>
        <w:rPr>
          <w:noProof/>
        </w:rPr>
      </w:pPr>
      <w:r>
        <w:rPr>
          <w:noProof/>
        </w:rPr>
        <w:t>Комисията взема предвид следните елементи за оценката в съответствие с този критерий:</w:t>
      </w:r>
    </w:p>
    <w:p>
      <w:pPr>
        <w:spacing w:before="0" w:after="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>Обхват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очаква се прилагането на предвидените мерки да допринесе значително за създаването на благоприятни за климата и околната среда системи и за екологизирането на икономическите или социалните сектори с оглед да допринесе за постигането на общата цел за неутрална по отношение на климата Европа до 2050 г.;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или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очаква се прилагането на предвидените мерки да допринесе значително за цифровата трансформация на икономическите или социалните сектори;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или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- очаква се прилагането на предвидените мерки да допринесе значително за преодоляване на предизвикателствата, произтичащи от екологичния и/или цифровия преход;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очаква се прилагането на предвидените мерки да има дълготрайно въздействие. </w:t>
      </w:r>
    </w:p>
    <w:p>
      <w:pPr>
        <w:spacing w:before="0" w:after="20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>Рейтинг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„A“ — в голяма степен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„B“ — в умерена степен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„C“ — в малка степен</w:t>
      </w:r>
    </w:p>
    <w:p>
      <w:pPr>
        <w:spacing w:before="0" w:after="200"/>
        <w:ind w:left="426"/>
        <w:rPr>
          <w:b/>
          <w:i/>
          <w:noProof/>
        </w:rPr>
      </w:pPr>
    </w:p>
    <w:p>
      <w:pPr>
        <w:spacing w:before="0" w:after="200"/>
        <w:ind w:left="426"/>
        <w:rPr>
          <w:b/>
          <w:i/>
          <w:noProof/>
        </w:rPr>
      </w:pPr>
      <w:r>
        <w:rPr>
          <w:b/>
          <w:i/>
          <w:noProof/>
        </w:rPr>
        <w:t xml:space="preserve">2.3 Планът за възстановяване и устойчивост се очаква да окаже трайно въздействие върху съответната държава членка  </w:t>
      </w:r>
    </w:p>
    <w:p>
      <w:pPr>
        <w:spacing w:before="0" w:after="0"/>
        <w:rPr>
          <w:noProof/>
        </w:rPr>
      </w:pPr>
      <w:r>
        <w:rPr>
          <w:noProof/>
        </w:rPr>
        <w:t>Комисията взема предвид следните елементи за оценката в съответствие с този критерий:</w:t>
      </w:r>
    </w:p>
    <w:p>
      <w:pPr>
        <w:spacing w:before="0" w:after="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>Обхват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прилагането на предвидените мерки се очаква да доведе до структурна промяна в администрацията или в съответните институции;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или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прилагането на предвидените мерки се очаква да доведе до структурна промяна в съответните политики;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очаква се прилагането на предвидените мерки да има дълготрайно въздействие. </w:t>
      </w:r>
    </w:p>
    <w:p>
      <w:pPr>
        <w:spacing w:before="0" w:after="20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>Рейтинг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„A“ — в голяма степен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„B“ — в умерена степен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„C“ — в малка степен</w:t>
      </w:r>
    </w:p>
    <w:p>
      <w:pPr>
        <w:ind w:left="426"/>
        <w:rPr>
          <w:b/>
          <w:i/>
          <w:noProof/>
        </w:rPr>
      </w:pPr>
    </w:p>
    <w:p>
      <w:pPr>
        <w:ind w:left="567"/>
        <w:rPr>
          <w:b/>
          <w:i/>
          <w:noProof/>
        </w:rPr>
      </w:pPr>
      <w:r>
        <w:rPr>
          <w:b/>
          <w:i/>
          <w:noProof/>
        </w:rPr>
        <w:t>2.4 Планът за възстановяване и устойчивост се очаква ефективно да спомага за укрепването на потенциала за растеж, създаването на работни места и икономическата и социална устойчивост на съответната държава членка, както и да смекчава икономическото и социално въздействие на кризата и да допринася за плана за засилване на икономическото, социалното и териториалното сближаване</w:t>
      </w:r>
    </w:p>
    <w:p>
      <w:pPr>
        <w:spacing w:after="0"/>
        <w:jc w:val="left"/>
        <w:rPr>
          <w:noProof/>
        </w:rPr>
      </w:pPr>
      <w:r>
        <w:rPr>
          <w:noProof/>
        </w:rPr>
        <w:t xml:space="preserve">Комисията взема предвид следните елементи за оценката в съответствие с този критерий: </w:t>
      </w:r>
    </w:p>
    <w:p>
      <w:pPr>
        <w:spacing w:after="0"/>
        <w:jc w:val="left"/>
        <w:rPr>
          <w:b/>
          <w:i/>
          <w:noProof/>
        </w:rPr>
      </w:pPr>
      <w:r>
        <w:rPr>
          <w:b/>
          <w:i/>
          <w:noProof/>
        </w:rPr>
        <w:t xml:space="preserve">Обхват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Планът за възстановяване и устойчивост съдържа мерки, насочени към преодоляване на слабостите на икономиката на държавите членки и към стимулиране на потенциала за растеж на икономиката на съответната държава членка, стимулиране на създаването на работни места и смекчаване на неблагоприятните последици от кризата, като същевременно се избягват неблагоприятните последици от тези мерки за климата и околната среда.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- планът за възстановяване и устойчивост е насочен към намаляването на уязвимостта на икономиката на държавата членка на сътресения;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или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планът за възстановяване и устойчивост е насочен към повишаването на капацитета на икономическите и/или социалните структури на държавата членка за адаптирането към сътресения и издържането на сътресения;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очаква се планът за възстановяване и устойчивост да допринесе за засилване на икономическото, социалното и териториалното сближаване </w:t>
      </w:r>
    </w:p>
    <w:p>
      <w:pPr>
        <w:spacing w:after="0"/>
        <w:jc w:val="left"/>
        <w:rPr>
          <w:b/>
          <w:i/>
          <w:noProof/>
        </w:rPr>
      </w:pPr>
    </w:p>
    <w:p>
      <w:pPr>
        <w:spacing w:after="0"/>
        <w:rPr>
          <w:b/>
          <w:noProof/>
        </w:rPr>
      </w:pPr>
      <w:r>
        <w:rPr>
          <w:b/>
          <w:i/>
          <w:noProof/>
        </w:rPr>
        <w:t xml:space="preserve"> Рейтинг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„A“ — Очаквано силно въздействие върху потенциала за растеж и икономическата и социалната устойчивост, както и върху сближаването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„B“ — Очаквано умерено въздействие върху потенциала за растеж и икономическата и социалната устойчивост, както и върху сближаването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„C“ — Очаквано слабо въздействие върху потенциала за растеж и икономическата и социалната устойчивост, както и върху сближаването</w:t>
      </w:r>
    </w:p>
    <w:p>
      <w:pPr>
        <w:spacing w:before="0" w:after="200"/>
        <w:rPr>
          <w:i/>
          <w:noProof/>
        </w:rPr>
      </w:pPr>
    </w:p>
    <w:p>
      <w:pPr>
        <w:spacing w:before="0" w:after="200"/>
        <w:ind w:left="426"/>
        <w:rPr>
          <w:b/>
          <w:i/>
          <w:noProof/>
        </w:rPr>
      </w:pPr>
      <w:r>
        <w:rPr>
          <w:b/>
          <w:i/>
          <w:noProof/>
        </w:rPr>
        <w:t>2.5 Представената от държавата членка обосновка за размера на прогнозните общи разходи за представения план за възстановяване и устойчивост е разумна и реалистична и е съизмерима с очакваното въздействие върху икономиката и заетостта</w:t>
      </w:r>
      <w:r>
        <w:rPr>
          <w:noProof/>
        </w:rPr>
        <w:t>;</w:t>
      </w:r>
    </w:p>
    <w:p>
      <w:pPr>
        <w:spacing w:before="0" w:after="0"/>
        <w:rPr>
          <w:noProof/>
        </w:rPr>
      </w:pPr>
      <w:r>
        <w:rPr>
          <w:noProof/>
        </w:rPr>
        <w:t xml:space="preserve">Комисията взема предвид следните елементи за оценката в съответствие с този критерий: </w:t>
      </w:r>
    </w:p>
    <w:p>
      <w:pPr>
        <w:spacing w:before="0" w:after="0"/>
        <w:rPr>
          <w:i/>
          <w:noProof/>
        </w:rPr>
      </w:pPr>
      <w:r>
        <w:rPr>
          <w:i/>
          <w:noProof/>
        </w:rPr>
        <w:t xml:space="preserve">Обхват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- държавата членка предостави достатъчно информация и доказателства, че размерът на прогнозните общи разходи за плана за възстановяване и устойчивост е подходящ („разумен“);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- държавата членка предостави достатъчно информация и доказателства, че размерът на прогнозните общи разходи за плана за възстановяване и устойчивост съответства на естеството и вида на предвидените реформи и инвестиции („реалистичен“);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- държавата членка предостави достатъчно информация и доказателства, че размерът на прогнозните общи разходи за плана за възстановяване и устойчивост, който ще бъде финансиран по линия на инструмента, не е обхванат от съществуващо или планирано финансиране от Съюза;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- размерът на прогнозните общи разходи за плана за възстановяване и устойчивост е съизмерим с очакваното въздействие на предвидените мерки, включени в плана, върху икономиката на съответната държава членка.</w:t>
      </w:r>
    </w:p>
    <w:p>
      <w:pPr>
        <w:spacing w:before="0" w:after="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>Рейтинг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„А“ —  в голяма степен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„В“ — в умерена степен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„C“ — в малка степен </w:t>
      </w:r>
    </w:p>
    <w:p>
      <w:pPr>
        <w:spacing w:before="0" w:after="200"/>
        <w:rPr>
          <w:noProof/>
        </w:rPr>
      </w:pPr>
    </w:p>
    <w:p>
      <w:pPr>
        <w:spacing w:before="0" w:after="200"/>
        <w:ind w:left="426"/>
        <w:rPr>
          <w:b/>
          <w:i/>
          <w:strike/>
          <w:noProof/>
        </w:rPr>
      </w:pPr>
      <w:r>
        <w:rPr>
          <w:b/>
          <w:i/>
          <w:noProof/>
        </w:rPr>
        <w:t>2.6. Планът за възстановяване и устойчивост съдържа мерки за осъществяването на реформи и на проекти за публични инвестиции, които представляват съгласувани действия.</w:t>
      </w:r>
    </w:p>
    <w:p>
      <w:pPr>
        <w:spacing w:before="0" w:after="200"/>
        <w:rPr>
          <w:noProof/>
        </w:rPr>
      </w:pPr>
      <w:r>
        <w:rPr>
          <w:noProof/>
        </w:rPr>
        <w:t xml:space="preserve">Комисията взема предвид следните елементи за оценката в съответствие с този критерий: </w:t>
      </w: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>Обхват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планът за възстановяване и устойчивост съдържа мерки, които допринасят за взаимно засилване на техните последици. </w:t>
      </w:r>
    </w:p>
    <w:p>
      <w:pPr>
        <w:spacing w:before="0" w:after="20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 xml:space="preserve">Рейтинг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„А“ —  в голяма степен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„В“ — в умерена степен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„C“ — в малка степен </w:t>
      </w:r>
    </w:p>
    <w:p>
      <w:pPr>
        <w:spacing w:before="0" w:after="200"/>
        <w:rPr>
          <w:noProof/>
        </w:rPr>
      </w:pPr>
    </w:p>
    <w:p>
      <w:pPr>
        <w:spacing w:before="0" w:after="200"/>
        <w:ind w:left="426"/>
        <w:rPr>
          <w:b/>
          <w:i/>
          <w:noProof/>
        </w:rPr>
      </w:pPr>
      <w:r>
        <w:rPr>
          <w:b/>
          <w:i/>
          <w:noProof/>
        </w:rPr>
        <w:t>2.7 Договореностите, предложени от съответните държави членки, се очаква да осигурят ефективно изпълнение на плана за възстановяване и устойчивост, включително предлаганите междинни и крайни цели, както и свързаните с тях показатели</w:t>
      </w:r>
    </w:p>
    <w:p>
      <w:pPr>
        <w:spacing w:before="0" w:after="0"/>
        <w:rPr>
          <w:noProof/>
        </w:rPr>
      </w:pPr>
      <w:r>
        <w:rPr>
          <w:noProof/>
        </w:rPr>
        <w:t>Комисията взема предвид следните елементи за оценката в съответствие с този критерий:</w:t>
      </w:r>
    </w:p>
    <w:p>
      <w:pPr>
        <w:spacing w:before="0" w:after="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>Обхват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- на структура в рамките на държавата членка е възложено: i) изпълнението на плана за възстановяване и устойчивост; ii) наблюдението на напредъка във връзка с междинните и крайните цели; и iii) докладването;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предложените междинни и крайни цели са ясни и реалистични; и предложените показатели са съответстващи на целта, приемливи и надеждни;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целите договорености, предложени от държавите членки по отношение на организацията (включително разпоредба, за да се гарантира достатъчно разпределение на персонала) за изпълнението на реформите и инвестициите, са надеждни. </w:t>
      </w:r>
    </w:p>
    <w:p>
      <w:pPr>
        <w:spacing w:before="0" w:after="20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  <w:r>
        <w:rPr>
          <w:b/>
          <w:i/>
          <w:noProof/>
        </w:rPr>
        <w:t>Рейтинг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„A“ — подходящи договорености за ефективно изпълнение;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„B“ — минимални договорености за ефективно изпълнение;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„C“ — недостатъчни договорености за ефективно изпълнение.</w:t>
      </w:r>
    </w:p>
    <w:p>
      <w:pPr>
        <w:spacing w:before="0" w:after="0"/>
        <w:rPr>
          <w:b/>
          <w:i/>
          <w:noProof/>
        </w:rPr>
      </w:pPr>
    </w:p>
    <w:p>
      <w:pPr>
        <w:spacing w:before="0" w:after="0"/>
        <w:rPr>
          <w:b/>
          <w:i/>
          <w:noProof/>
        </w:rPr>
      </w:pPr>
    </w:p>
    <w:p>
      <w:pPr>
        <w:spacing w:before="0" w:after="200"/>
        <w:rPr>
          <w:b/>
          <w:noProof/>
          <w:color w:val="000000" w:themeColor="text1"/>
        </w:rPr>
      </w:pPr>
      <w:r>
        <w:rPr>
          <w:b/>
          <w:i/>
          <w:noProof/>
        </w:rPr>
        <w:t>3</w:t>
      </w:r>
      <w:r>
        <w:rPr>
          <w:b/>
          <w:noProof/>
          <w:color w:val="000000" w:themeColor="text1"/>
        </w:rPr>
        <w:t>. Определяне на финансовото участие в рамките на бюджетния инструмент за възстановяване и устойчивост</w:t>
      </w:r>
    </w:p>
    <w:p>
      <w:pPr>
        <w:spacing w:before="0" w:after="200"/>
        <w:rPr>
          <w:noProof/>
          <w:color w:val="000000" w:themeColor="text1"/>
        </w:rPr>
      </w:pPr>
      <w:r>
        <w:rPr>
          <w:noProof/>
          <w:color w:val="000000" w:themeColor="text1"/>
        </w:rPr>
        <w:t>Съгласно член 17, параграф 3 Комисията определя финансовото участие, като взема предвид значението и съгласуваността на плана за възстановяване и устойчивост, предложен от съответната държава членка, както са оценени въз основа на критериите, определени в член 17, параграф 3. За тази цел тя прилага следните критерии: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когато планът за възстановяване и устойчивост отговаря задоволително на критериите, определени в член 16, параграф 3, и размерът на прогнозните общи разходи за плана за възстановяване и устойчивост е равен на или по-голям от максималното финансово участие на тази държава членка, посочено в член 10, разпределеното за държавата членка финансово участие е равно на общия размер на максималното финансово участие, посочено в член 10;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когато планът за възстановяване и устойчивост отговаря задоволително на критериите, определени в член 16, параграф 3, и размерът на прогнозните общи разходи за плана за възстановяване и устойчивост е по-нисък от максималното финансово участие на тази държава членка, посочено в член 10, разпределеното за държавата членка финансово участие е равно на размера на прогнозните общи разходи за плана за възстановяване и устойчивост;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когато планът за възстановяване и устойчивост не отговаря задоволително на критериите, определени в член 16, параграф 3, финансовото участие няма да бъде разпределено на съответната държава членка. </w:t>
      </w:r>
    </w:p>
    <w:p>
      <w:pPr>
        <w:numPr>
          <w:ilvl w:val="3"/>
          <w:numId w:val="0"/>
        </w:numPr>
        <w:tabs>
          <w:tab w:val="num" w:pos="1843"/>
        </w:tabs>
        <w:spacing w:before="0" w:after="240"/>
        <w:rPr>
          <w:noProof/>
        </w:rPr>
      </w:pPr>
      <w:r>
        <w:rPr>
          <w:noProof/>
        </w:rPr>
        <w:t xml:space="preserve">За целите на прилагането на настоящата алинея се използват следните формули:  </w:t>
      </w:r>
    </w:p>
    <w:p>
      <w:pPr>
        <w:pStyle w:val="Tiret1"/>
        <w:numPr>
          <w:ilvl w:val="0"/>
          <w:numId w:val="9"/>
        </w:numPr>
        <w:rPr>
          <w:noProof/>
        </w:rPr>
      </w:pPr>
      <w:r>
        <w:rPr>
          <w:noProof/>
        </w:rPr>
        <w:t xml:space="preserve">за a) по-горе: </w:t>
      </w:r>
      <m:oMath>
        <m:sSup>
          <m:sSupPr>
            <m:ctrlPr>
              <w:rPr>
                <w:rFonts w:ascii="Cambria Math" w:hAnsi="Cambria Math"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 xml:space="preserve">ако </m:t>
            </m:r>
            <m:sSup>
              <m:sSupPr>
                <m:ctrlPr>
                  <w:rPr>
                    <w:rFonts w:ascii="Cambria Math" w:hAnsi="Cambria Math"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i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≥</m:t>
            </m:r>
            <m:r>
              <w:rPr>
                <w:rFonts w:ascii="Cambria Math" w:hAnsi="Cambria Math"/>
                <w:noProof/>
              </w:rPr>
              <m:t>MFC</m:t>
            </m:r>
          </m:e>
          <m:sup>
            <m:r>
              <w:rPr>
                <w:rFonts w:ascii="Cambria Math" w:hAnsi="Cambria Math"/>
                <w:noProof/>
              </w:rPr>
              <m:t>i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 xml:space="preserve">,  държавата членка </m:t>
        </m:r>
        <m:r>
          <w:rPr>
            <w:rFonts w:ascii="Cambria Math" w:hAnsi="Cambria Math"/>
            <w:noProof/>
          </w:rPr>
          <m:t>i</m:t>
        </m:r>
        <m:r>
          <m:rPr>
            <m:sty m:val="p"/>
          </m:rPr>
          <w:rPr>
            <w:rFonts w:ascii="Cambria Math" w:hAnsi="Cambria Math"/>
            <w:noProof/>
          </w:rPr>
          <m:t xml:space="preserve"> получава </m:t>
        </m:r>
        <m:sSup>
          <m:sSupPr>
            <m:ctrlPr>
              <w:rPr>
                <w:rFonts w:ascii="Cambria Math" w:hAnsi="Cambria Math"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MFC</m:t>
            </m:r>
          </m:e>
          <m:sup>
            <m:r>
              <w:rPr>
                <w:rFonts w:ascii="Cambria Math" w:hAnsi="Cambria Math"/>
                <w:noProof/>
              </w:rPr>
              <m:t>i</m:t>
            </m:r>
          </m:sup>
        </m:sSup>
      </m:oMath>
    </w:p>
    <w:p>
      <w:pPr>
        <w:pStyle w:val="Tiret1"/>
        <w:rPr>
          <w:noProof/>
        </w:rPr>
      </w:pPr>
      <w:r>
        <w:rPr>
          <w:noProof/>
        </w:rPr>
        <w:t xml:space="preserve">за б) по-горе:  </w:t>
      </w:r>
      <m:oMath>
        <m:r>
          <w:rPr>
            <w:rFonts w:ascii="Cambria Math" w:hAnsi="Cambria Math"/>
            <w:noProof/>
          </w:rPr>
          <m:t xml:space="preserve">ако 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i</m:t>
                </m:r>
              </m:sup>
            </m:sSup>
            <m:r>
              <w:rPr>
                <w:rFonts w:ascii="Cambria Math" w:hAnsi="Cambria Math"/>
                <w:noProof/>
              </w:rPr>
              <m:t>&lt;MFC</m:t>
            </m:r>
          </m:e>
          <m:sup>
            <m:r>
              <w:rPr>
                <w:rFonts w:ascii="Cambria Math" w:hAnsi="Cambria Math"/>
                <w:noProof/>
              </w:rPr>
              <m:t>i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,  държавата членка</m:t>
        </m:r>
        <m:r>
          <w:rPr>
            <w:rFonts w:ascii="Cambria Math" w:hAnsi="Cambria Math"/>
            <w:noProof/>
          </w:rPr>
          <m:t xml:space="preserve"> i </m:t>
        </m:r>
        <m:r>
          <m:rPr>
            <m:sty m:val="p"/>
          </m:rPr>
          <w:rPr>
            <w:rFonts w:ascii="Cambria Math" w:hAnsi="Cambria Math"/>
            <w:noProof/>
          </w:rPr>
          <m:t xml:space="preserve">получаа 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</m:t>
            </m:r>
          </m:e>
          <m:sup>
            <m:r>
              <w:rPr>
                <w:rFonts w:ascii="Cambria Math" w:hAnsi="Cambria Math"/>
                <w:noProof/>
              </w:rPr>
              <m:t>i</m:t>
            </m:r>
          </m:sup>
        </m:sSup>
      </m:oMath>
    </w:p>
    <w:p>
      <w:pPr>
        <w:pStyle w:val="Tiret1"/>
        <w:rPr>
          <w:noProof/>
        </w:rPr>
      </w:pPr>
      <w:r>
        <w:rPr>
          <w:noProof/>
        </w:rPr>
        <w:t xml:space="preserve">където: </w:t>
      </w:r>
    </w:p>
    <w:p>
      <w:pPr>
        <w:pStyle w:val="Tiret1"/>
        <w:rPr>
          <w:noProof/>
        </w:rPr>
      </w:pPr>
      <w:r>
        <w:rPr>
          <w:i/>
          <w:noProof/>
        </w:rPr>
        <w:t>i</w:t>
      </w:r>
      <w:r>
        <w:rPr>
          <w:noProof/>
        </w:rPr>
        <w:t xml:space="preserve">  се отнася до съответната държава членка</w:t>
      </w:r>
    </w:p>
    <w:p>
      <w:pPr>
        <w:pStyle w:val="Tiret1"/>
        <w:rPr>
          <w:noProof/>
        </w:rPr>
      </w:pPr>
      <w:r>
        <w:rPr>
          <w:i/>
          <w:noProof/>
        </w:rPr>
        <w:t>MFС</w:t>
      </w:r>
      <w:r>
        <w:rPr>
          <w:noProof/>
        </w:rPr>
        <w:t xml:space="preserve"> е максималният размер на финансовото участие за съответната държава членка </w:t>
      </w:r>
    </w:p>
    <w:p>
      <w:pPr>
        <w:pStyle w:val="Tiret1"/>
        <w:rPr>
          <w:noProof/>
        </w:rPr>
      </w:pPr>
      <w:r>
        <w:rPr>
          <w:i/>
          <w:noProof/>
        </w:rPr>
        <w:t>C</w:t>
      </w:r>
      <w:r>
        <w:rPr>
          <w:noProof/>
        </w:rPr>
        <w:t xml:space="preserve"> е размерът на прогнозните общи разходи за плана за възстановяване и устойчивост</w:t>
      </w:r>
    </w:p>
    <w:p>
      <w:pPr>
        <w:spacing w:before="0" w:after="200"/>
        <w:rPr>
          <w:noProof/>
        </w:rPr>
      </w:pPr>
    </w:p>
    <w:p>
      <w:pPr>
        <w:spacing w:before="0" w:after="200"/>
        <w:rPr>
          <w:noProof/>
        </w:rPr>
      </w:pPr>
      <w:r>
        <w:rPr>
          <w:noProof/>
        </w:rPr>
        <w:t xml:space="preserve">В резултат на процеса на оценяване и като се вземат предвид рейтингите: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  <w:u w:val="single"/>
        </w:rPr>
      </w:pPr>
      <w:r>
        <w:rPr>
          <w:noProof/>
          <w:u w:val="single"/>
        </w:rPr>
        <w:t>Планът за възстановяване и устойчивост отговаря задоволително на критериите за оценка: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Ако окончателният рейтинг за критерии 2.1—2.7 включва оценки: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„A“ за критерии 2.1 и 2.2;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 за другите критерии: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„А“ за всички критерии,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или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- повече оценки „A“ отколкото „B“, като оценката никъде не е „C“.</w:t>
      </w:r>
    </w:p>
    <w:p>
      <w:pPr>
        <w:spacing w:before="0" w:after="20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  <w:u w:val="single"/>
        </w:rPr>
      </w:pPr>
      <w:r>
        <w:rPr>
          <w:noProof/>
          <w:u w:val="single"/>
        </w:rPr>
        <w:t>Планът за възстановяване и устойчивост не отговаря задоволително на критериите за оценка: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Ако окончателният рейтинг за критерии 2.1—2.7 включва оценки: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които не са „A“ за критерии 2.1 и 2.2;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>и за другите критерии: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  <w:r>
        <w:rPr>
          <w:noProof/>
        </w:rPr>
        <w:t xml:space="preserve">- повече оценки „B“ отколкото „A“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  <w:color w:val="000000" w:themeColor="text1"/>
        </w:rPr>
      </w:pPr>
      <w:r>
        <w:rPr>
          <w:noProof/>
        </w:rPr>
        <w:t>или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  <w:color w:val="000000" w:themeColor="text1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noProof/>
          <w:color w:val="000000" w:themeColor="text1"/>
        </w:rPr>
      </w:pPr>
      <w:r>
        <w:rPr>
          <w:noProof/>
          <w:color w:val="000000" w:themeColor="text1"/>
        </w:rPr>
        <w:t>- най-малко една оценка „C“.</w:t>
      </w:r>
    </w:p>
    <w:p>
      <w:pPr>
        <w:spacing w:before="0" w:after="200"/>
        <w:rPr>
          <w:noProof/>
          <w:color w:val="000000" w:themeColor="text1"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 xml:space="preserve">ПРИЛОЖЕНИЕ III </w:t>
      </w:r>
    </w:p>
    <w:p>
      <w:pPr>
        <w:jc w:val="center"/>
        <w:rPr>
          <w:noProof/>
        </w:rPr>
      </w:pPr>
      <w:r>
        <w:rPr>
          <w:b/>
          <w:noProof/>
        </w:rPr>
        <w:t>Показатели</w:t>
      </w:r>
    </w:p>
    <w:p>
      <w:pPr>
        <w:spacing w:before="0" w:after="200"/>
        <w:rPr>
          <w:noProof/>
        </w:rPr>
      </w:pPr>
      <w:r>
        <w:rPr>
          <w:noProof/>
        </w:rPr>
        <w:t>Постигането на целите, посочени в член 4, се измерва въз основа на следните показатели, разпределени по държави членки и по област на намеса.</w:t>
      </w:r>
    </w:p>
    <w:p>
      <w:pPr>
        <w:spacing w:before="0" w:after="200"/>
        <w:rPr>
          <w:noProof/>
        </w:rPr>
      </w:pPr>
      <w:r>
        <w:rPr>
          <w:noProof/>
        </w:rPr>
        <w:t xml:space="preserve">Показателите се използват в съответствие с наличните данни и информация (включително количествени и/или качествени данни). </w:t>
      </w:r>
    </w:p>
    <w:p>
      <w:pPr>
        <w:tabs>
          <w:tab w:val="num" w:pos="850"/>
        </w:tabs>
        <w:spacing w:before="0" w:after="200"/>
        <w:ind w:left="850" w:hanging="850"/>
        <w:rPr>
          <w:b/>
          <w:noProof/>
        </w:rPr>
      </w:pPr>
      <w:r>
        <w:rPr>
          <w:noProof/>
        </w:rPr>
        <w:tab/>
      </w:r>
      <w:r>
        <w:rPr>
          <w:b/>
          <w:noProof/>
        </w:rPr>
        <w:t>Показатели за крайните продукти: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брой на плановете за възстановяване и устойчивост, одобрени в акта за изпълнение на Комисията;</w:t>
      </w:r>
    </w:p>
    <w:p>
      <w:pPr>
        <w:pStyle w:val="Point1"/>
        <w:rPr>
          <w:noProof/>
          <w:u w:val="single"/>
        </w:rPr>
      </w:pPr>
      <w:r>
        <w:rPr>
          <w:noProof/>
        </w:rPr>
        <w:t>б)</w:t>
      </w:r>
      <w:r>
        <w:rPr>
          <w:noProof/>
        </w:rPr>
        <w:tab/>
        <w:t>общо финансово участие, разпределено за плана за възстановяване и устойчивост;</w:t>
      </w:r>
    </w:p>
    <w:p>
      <w:pPr>
        <w:tabs>
          <w:tab w:val="num" w:pos="850"/>
        </w:tabs>
        <w:spacing w:before="0" w:after="200"/>
        <w:ind w:left="850" w:hanging="850"/>
        <w:rPr>
          <w:noProof/>
          <w:u w:val="single"/>
        </w:rPr>
      </w:pPr>
      <w:r>
        <w:rPr>
          <w:noProof/>
        </w:rPr>
        <w:tab/>
      </w:r>
      <w:r>
        <w:rPr>
          <w:b/>
          <w:noProof/>
        </w:rPr>
        <w:t>Показатели за резултатите:</w:t>
      </w:r>
      <w:r>
        <w:rPr>
          <w:noProof/>
          <w:u w:val="single"/>
        </w:rPr>
        <w:t xml:space="preserve"> </w:t>
      </w:r>
    </w:p>
    <w:p>
      <w:pPr>
        <w:pStyle w:val="Point1"/>
        <w:rPr>
          <w:noProof/>
          <w:u w:val="single"/>
        </w:rPr>
      </w:pPr>
      <w:r>
        <w:rPr>
          <w:noProof/>
        </w:rPr>
        <w:t>в)</w:t>
      </w:r>
      <w:r>
        <w:rPr>
          <w:noProof/>
        </w:rPr>
        <w:tab/>
        <w:t>брой на изпълнените планове за възстановяване и устойчивост;</w:t>
      </w:r>
      <w:r>
        <w:rPr>
          <w:noProof/>
          <w:u w:val="single"/>
        </w:rPr>
        <w:t xml:space="preserve"> </w:t>
      </w:r>
    </w:p>
    <w:p>
      <w:pPr>
        <w:spacing w:before="0" w:after="200"/>
        <w:rPr>
          <w:b/>
          <w:noProof/>
          <w:u w:val="single"/>
        </w:rPr>
      </w:pPr>
      <w:r>
        <w:rPr>
          <w:b/>
          <w:noProof/>
          <w:u w:val="single"/>
        </w:rPr>
        <w:t>Показатели за въздействието, установени с настоящия регламент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Целите, определени в плана за възстановяване и устойчивост, постигнати благодарение, наред с другото, на цялостната финансова подкрепа (включително, когато е целесъобразно, под формата на заеми), получена по линия на създадения с настоящия регламент Механизъм за възстановяване и устойчивост;</w:t>
      </w:r>
    </w:p>
    <w:p>
      <w:pPr>
        <w:spacing w:before="0" w:after="200"/>
        <w:rPr>
          <w:noProof/>
        </w:rPr>
      </w:pPr>
      <w:r>
        <w:rPr>
          <w:noProof/>
        </w:rPr>
        <w:t>Комисията извършва последващата оценка, посочена в член 25, също така с цел установяване на връзките между общата финансова подкрепа (включително, когато е целесъобразно, под формата на заеми) от Механизма за възстановяване и устойчивост и изпълнението на съответните мерки в съответната държава членка с оглед на това да се засилят възстановяването, устойчивостта, устойчивият растеж, заетостта и сближаването.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B062B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E22A0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CE834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E9CFB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95055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25C6F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1B09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F9027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2 15:23:22"/>
    <w:docVar w:name="DQCRepairStyles" w:val=";Point 1 (letter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 \u1079?\u1072?"/>
    <w:docVar w:name="LW_ACCOMPAGNANT.CP" w:val="\u1082?\u1098?\u1084? \u1055?\u1088?\u1077?\u1076?\u1083?\u1086?\u1078?\u1077?\u1085?\u1080?\u1077? \u1079?\u1072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60BD4F0D-F8D2-4C06-AD2E-246A6F2D8CEB"/>
    <w:docVar w:name="LW_COVERPAGE_TYPE" w:val="1"/>
    <w:docVar w:name="LW_CROSSREFERENCE" w:val="&lt;UNUSED&gt;"/>
    <w:docVar w:name="LW_DocType" w:val="ANNEX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9?\u1098?\u1079?\u1076?\u1072?\u1074?\u1072?\u1085?\u1077? \u1085?\u1072? \u1052?\u1077?\u1093?\u1072?\u1085?\u1080?\u1079?\u1098?\u1084? \u1079?\u1072? \u1074?\u1098?\u1079?\u1089?\u1090?\u1072?\u1085?\u1086?\u1074?\u1103?\u1074?\u1072?\u1085?\u1077? \u1080? \u1091?\u1089?\u1090?\u1086?\u1081?\u1095?\u1080?\u1074?\u1086?\u1089?\u1090?&lt;/FMT&gt;_x000b_"/>
    <w:docVar w:name="LW_OBJETACTEPRINCIPAL.CP" w:val="&lt;FMT:Bold&gt;\u1079?\u1072? \u1089?\u1098?\u1079?\u1076?\u1072?\u1074?\u1072?\u1085?\u1077? \u1085?\u1072? \u1052?\u1077?\u1093?\u1072?\u1085?\u1080?\u1079?\u1098?\u1084? \u1079?\u1072? \u1074?\u1098?\u1079?\u1089?\u1090?\u1072?\u1085?\u1086?\u1074?\u1103?\u1074?\u1072?\u1085?\u1077? \u1080? \u1091?\u1089?\u1090?\u1086?\u1081?\u1095?\u1080?\u1074?\u1086?\u1089?\u1090?&lt;/FMT&gt;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4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istBulletLevel2">
    <w:name w:val="List Bullet (Level 2)"/>
    <w:basedOn w:val="Text1"/>
    <w:pPr>
      <w:tabs>
        <w:tab w:val="num" w:pos="567"/>
      </w:tabs>
      <w:spacing w:before="0" w:after="240"/>
      <w:ind w:left="567" w:hanging="284"/>
    </w:pPr>
    <w:rPr>
      <w:rFonts w:eastAsia="Times New Roman"/>
      <w:szCs w:val="20"/>
      <w:lang w:eastAsia="fr-B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istBulletLevel2">
    <w:name w:val="List Bullet (Level 2)"/>
    <w:basedOn w:val="Text1"/>
    <w:pPr>
      <w:tabs>
        <w:tab w:val="num" w:pos="567"/>
      </w:tabs>
      <w:spacing w:before="0" w:after="240"/>
      <w:ind w:left="567" w:hanging="284"/>
    </w:pPr>
    <w:rPr>
      <w:rFonts w:eastAsia="Times New Roman"/>
      <w:szCs w:val="20"/>
      <w:lang w:eastAsia="fr-B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27EA-330E-4339-9093-7515B55A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13</Pages>
  <Words>2738</Words>
  <Characters>16374</Characters>
  <Application>Microsoft Office Word</Application>
  <DocSecurity>0</DocSecurity>
  <Lines>442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AMUZAN Andreea Gabriela (REFORM)</dc:creator>
  <cp:keywords/>
  <dc:description/>
  <cp:lastModifiedBy>WES PDFC Administrator</cp:lastModifiedBy>
  <cp:revision>11</cp:revision>
  <dcterms:created xsi:type="dcterms:W3CDTF">2020-05-31T00:30:00Z</dcterms:created>
  <dcterms:modified xsi:type="dcterms:W3CDTF">2020-06-02T13:23:00Z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