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2F6D4568-21A2-4176-A6D8-8AA73CBE272C" style="width:450.75pt;height:338.25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EXPLANATORY MEMORANDUM</w:t>
      </w:r>
    </w:p>
    <w:p>
      <w:pPr>
        <w:rPr>
          <w:noProof/>
        </w:rPr>
      </w:pPr>
    </w:p>
    <w:p>
      <w:pPr>
        <w:pStyle w:val="ManualHeading1"/>
        <w:rPr>
          <w:noProof/>
        </w:rPr>
      </w:pPr>
      <w:r>
        <w:rPr>
          <w:noProof/>
        </w:rPr>
        <w:t>1.</w:t>
      </w:r>
      <w:r>
        <w:rPr>
          <w:noProof/>
        </w:rPr>
        <w:tab/>
        <w:t>CONTEXT OF THE PROPOSAL</w:t>
      </w:r>
    </w:p>
    <w:p>
      <w:pPr>
        <w:pStyle w:val="ManualHeading2"/>
        <w:rPr>
          <w:rFonts w:eastAsia="Arial Unicode MS"/>
          <w:noProof/>
        </w:rPr>
      </w:pPr>
      <w:r>
        <w:rPr>
          <w:rFonts w:eastAsia="Arial Unicode MS"/>
          <w:noProof/>
          <w:u w:color="000000"/>
          <w:bdr w:val="nil"/>
          <w:lang w:eastAsia="en-GB"/>
        </w:rPr>
        <w:t>•</w:t>
      </w:r>
      <w:r>
        <w:rPr>
          <w:rFonts w:eastAsia="Arial Unicode MS"/>
          <w:noProof/>
          <w:u w:color="000000"/>
          <w:bdr w:val="nil"/>
          <w:lang w:eastAsia="en-GB"/>
        </w:rPr>
        <w:tab/>
      </w:r>
      <w:r>
        <w:rPr>
          <w:rFonts w:eastAsia="Arial Unicode MS"/>
          <w:noProof/>
        </w:rPr>
        <w:t>Reasons for and objectives of the proposal</w:t>
      </w:r>
    </w:p>
    <w:p>
      <w:pPr>
        <w:rPr>
          <w:noProof/>
        </w:rPr>
      </w:pPr>
      <w:r>
        <w:rPr>
          <w:noProof/>
        </w:rPr>
        <w:t>On 14 January 2020, the European Commission adopted its legislative proposal</w:t>
      </w:r>
      <w:r>
        <w:rPr>
          <w:rStyle w:val="FootnoteReference"/>
          <w:rFonts w:eastAsia="Arial Unicode MS"/>
          <w:noProof/>
        </w:rPr>
        <w:footnoteReference w:id="2"/>
      </w:r>
      <w:r>
        <w:rPr>
          <w:noProof/>
        </w:rPr>
        <w:t xml:space="preserve"> establishing the Just Transition Fund, together with a proposal</w:t>
      </w:r>
      <w:r>
        <w:rPr>
          <w:rStyle w:val="FootnoteReference"/>
          <w:rFonts w:eastAsia="Arial Unicode MS"/>
          <w:noProof/>
        </w:rPr>
        <w:footnoteReference w:id="3"/>
      </w:r>
      <w:r>
        <w:rPr>
          <w:noProof/>
        </w:rPr>
        <w:t xml:space="preserve"> to amend its legislative proposal on the Common Provisions Regulation.</w:t>
      </w:r>
    </w:p>
    <w:p>
      <w:pPr>
        <w:rPr>
          <w:noProof/>
        </w:rPr>
      </w:pPr>
      <w:r>
        <w:rPr>
          <w:noProof/>
        </w:rPr>
        <w:t>In line with the objective of achieving EU climate neutrality by 2050 in an effective and fair manner, the Just Transition Fund aims at alleviating the economic, environmental and social cost of the transition towards climate neutrality, for the benefit of the territories that are most negatively affected by the transition. The Fund’s support is focused on economic reconversion measures, reskilling of affected workers and job seeking assistance.</w:t>
      </w:r>
    </w:p>
    <w:p>
      <w:pPr>
        <w:rPr>
          <w:noProof/>
        </w:rPr>
      </w:pPr>
      <w:r>
        <w:rPr>
          <w:noProof/>
        </w:rPr>
        <w:t>The Coronavirus disease outbreak ("COVID-19") has prompted many governments to introduce unprecedented measures to contain the pandemic. This in turn has led to a sharp decline in the level of output in many economies with severe social consequences. It will pose significant challenges for public finances and debt management in the years to come, which in turn may limit public investment necessary for the economic recovery.</w:t>
      </w:r>
    </w:p>
    <w:p>
      <w:pPr>
        <w:rPr>
          <w:noProof/>
        </w:rPr>
      </w:pPr>
      <w:r>
        <w:rPr>
          <w:noProof/>
        </w:rPr>
        <w:t>In addition, national and regional capacities to address the effects of the crisis differ between Member States and regions due to the diverse economic structures and fiscal positions. If left unaddressed, such differences may result in an asymmetric recovery and lead to increased regional disparities, which in turn can undermine the Internal Market, the financial stability of the Eurozone and our Union as a whole.</w:t>
      </w:r>
    </w:p>
    <w:p>
      <w:pPr>
        <w:rPr>
          <w:noProof/>
        </w:rPr>
      </w:pPr>
      <w:r>
        <w:rPr>
          <w:noProof/>
        </w:rPr>
        <w:t>In order to prevent the widening of disparities as well as to avoid an uneven recovery process, it is therefore necessary to provide additional support over the short and medium term to Member States and regions in order to help their economies and societies weather the situation and to ensure a swift and sustainable recovery of their economies.</w:t>
      </w:r>
    </w:p>
    <w:p>
      <w:pPr>
        <w:rPr>
          <w:noProof/>
        </w:rPr>
      </w:pPr>
      <w:r>
        <w:rPr>
          <w:noProof/>
        </w:rPr>
        <w:t xml:space="preserve">In this context, investments in the green transition must be accelerated to create the conditions for Europe’s long-term growth and resilience of the European economy to future shocks. This should be fully reflected in the future programmes and investment priorities. Accelerating the move out of fossil fuel extraction and carbon-intensive activities through targeted support for economic diversification and creation of new economic opportunities and jobs has enormous potential to get Europe’s economy growing. Enabling regions and citizens to successfully address the transition towards a climate-neutral economy must be at the forefront of our efforts. </w:t>
      </w:r>
    </w:p>
    <w:p>
      <w:pPr>
        <w:rPr>
          <w:noProof/>
        </w:rPr>
      </w:pPr>
      <w:r>
        <w:rPr>
          <w:noProof/>
        </w:rPr>
        <w:t>It is therefore proposed that additional resources of EUR 35 613 048 000 (in current prices) are made available for the Just Transition Fund. Of these additional resources, EUR 2 810 048 000 should come from budget appropriations, bringing the level of the programme under the next MFF to EUR 11 270 459 000; these should be allocated in the course of the ongoing negotiations at the level of the European Council. The remaining additional resources of EUR 32 803 000 000 will cover the period from 2021 to 2024 and will constitute external assigned revenue stemming from the European Recovery Instrument.</w:t>
      </w:r>
    </w:p>
    <w:p>
      <w:pPr>
        <w:rPr>
          <w:noProof/>
        </w:rPr>
      </w:pPr>
      <w:r>
        <w:rPr>
          <w:noProof/>
        </w:rPr>
        <w:t xml:space="preserve">These amounts will be distributed among Member States reflecting their capacity to finance the necessary investments to cope with the transition towards climate neutrality in accordance with the methodology set out in Annex I of the proposed Just Transition Fund Regulation. </w:t>
      </w:r>
    </w:p>
    <w:p>
      <w:pPr>
        <w:rPr>
          <w:noProof/>
        </w:rPr>
      </w:pPr>
      <w:r>
        <w:rPr>
          <w:noProof/>
        </w:rPr>
        <w:t>By way of derogation from the rules applicable to external assigned revenue set out in the Financial Regulation, these additional resources shall follow the applicable rules set out in the CPR once they are assigned to programmes, including CPR rules on commitments and decommitments.</w:t>
      </w:r>
    </w:p>
    <w:p>
      <w:pPr>
        <w:rPr>
          <w:noProof/>
        </w:rPr>
      </w:pPr>
      <w:r>
        <w:rPr>
          <w:noProof/>
        </w:rPr>
        <w:t>In order to preserve the capacity of Member States and regions to use their cohesion policy resources to support economic, social and territorial cohesion, the additional resources from the European Recovery Instrument will not require  transfers from national allocations under the European Regional Development Fund and the European Social Fund plus.</w:t>
      </w:r>
    </w:p>
    <w:p>
      <w:pPr>
        <w:pStyle w:val="ManualHeading2"/>
        <w:rPr>
          <w:rFonts w:eastAsia="Arial Unicode MS"/>
          <w:noProof/>
        </w:rPr>
      </w:pPr>
      <w:r>
        <w:rPr>
          <w:rFonts w:eastAsia="Arial Unicode MS"/>
          <w:noProof/>
          <w:u w:color="000000"/>
          <w:bdr w:val="nil"/>
          <w:lang w:eastAsia="en-GB"/>
        </w:rPr>
        <w:t>•</w:t>
      </w:r>
      <w:r>
        <w:rPr>
          <w:rFonts w:eastAsia="Arial Unicode MS"/>
          <w:noProof/>
          <w:u w:color="000000"/>
          <w:bdr w:val="nil"/>
          <w:lang w:eastAsia="en-GB"/>
        </w:rPr>
        <w:tab/>
      </w:r>
      <w:r>
        <w:rPr>
          <w:rFonts w:eastAsia="Arial Unicode MS"/>
          <w:noProof/>
        </w:rPr>
        <w:t>Consistency with other Union instruments</w:t>
      </w:r>
    </w:p>
    <w:p>
      <w:pPr>
        <w:pBdr>
          <w:top w:val="nil"/>
          <w:left w:val="nil"/>
          <w:bottom w:val="nil"/>
          <w:right w:val="nil"/>
          <w:between w:val="nil"/>
          <w:bar w:val="nil"/>
        </w:pBdr>
        <w:rPr>
          <w:noProof/>
        </w:rPr>
      </w:pPr>
      <w:r>
        <w:rPr>
          <w:noProof/>
        </w:rPr>
        <w:t xml:space="preserve">The support provided through the Just Transition Fund is complemented by a dedicated just transition scheme under InvestEU. It will support a wider scope of investments, notably by contributing to the transition through providing support to low-carbon and climate-resilient activities, such as renewable investments and energy efficiency schemes. This scheme will also be able to deploy financing for energy and transport infrastructure, including gas infrastructure and district heating, but also decarbonisation projects, economic diversification of the regions and social infrastructure. </w:t>
      </w:r>
    </w:p>
    <w:p>
      <w:pPr>
        <w:pBdr>
          <w:top w:val="nil"/>
          <w:left w:val="nil"/>
          <w:bottom w:val="nil"/>
          <w:right w:val="nil"/>
          <w:between w:val="nil"/>
          <w:bar w:val="nil"/>
        </w:pBdr>
        <w:rPr>
          <w:noProof/>
        </w:rPr>
      </w:pPr>
      <w:r>
        <w:rPr>
          <w:noProof/>
        </w:rPr>
        <w:t>Additionally, a new public sector loan facility implemented with the EIB will provide support to combining grants from EU resources with loans provided by the EIB for public entities in view of benefitting the most negatively impacted territories identified in the territorial just transition plans.</w:t>
      </w:r>
    </w:p>
    <w:p>
      <w:pPr>
        <w:pBdr>
          <w:top w:val="nil"/>
          <w:left w:val="nil"/>
          <w:bottom w:val="nil"/>
          <w:right w:val="nil"/>
          <w:between w:val="nil"/>
          <w:bar w:val="nil"/>
        </w:pBdr>
        <w:rPr>
          <w:noProof/>
        </w:rPr>
      </w:pPr>
      <w:r>
        <w:rPr>
          <w:noProof/>
        </w:rPr>
        <w:t xml:space="preserve">Synergies and complementarities between the three pillars will be ensured through the territorial just transition plans, where development needs of the most impacted territories stemming from the climate transition will be identified. </w:t>
      </w:r>
    </w:p>
    <w:p>
      <w:pPr>
        <w:pStyle w:val="ManualHeading1"/>
        <w:rPr>
          <w:noProof/>
        </w:rPr>
      </w:pPr>
      <w:r>
        <w:rPr>
          <w:noProof/>
        </w:rPr>
        <w:t>2.</w:t>
      </w:r>
      <w:r>
        <w:rPr>
          <w:noProof/>
        </w:rPr>
        <w:tab/>
        <w:t>LEGAL BASIS, SUBSIDIARITY AND PROPORTIONALITY</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Legal basis</w:t>
      </w:r>
    </w:p>
    <w:p>
      <w:pPr>
        <w:rPr>
          <w:noProof/>
        </w:rPr>
      </w:pPr>
      <w:r>
        <w:rPr>
          <w:noProof/>
        </w:rPr>
        <w:t xml:space="preserve">EU action is justified by Article 174, paragraph 1, TFEU: 'The Union shall develop and pursue its actions leading to the strengthening of its economic, social and territorial cohesion. In particular, the Union shall aim at reducing disparities between the levels of development of the various regions and the backwardness of the least favoured regions'. </w:t>
      </w:r>
    </w:p>
    <w:p>
      <w:pPr>
        <w:rPr>
          <w:noProof/>
        </w:rPr>
      </w:pPr>
      <w:r>
        <w:rPr>
          <w:noProof/>
        </w:rPr>
        <w:t>To provide for the setup of the Just Transition Fund, it is necessary to base the proposal on Article 175 TFEU, which explicitly calls on the Union to support the achievement of the objectives set out in Article 174 by the action it takes through the Structural Funds, the EIB and the other existing Financial Instruments.</w:t>
      </w:r>
    </w:p>
    <w:p>
      <w:pPr>
        <w:rPr>
          <w:noProof/>
        </w:rPr>
      </w:pPr>
      <w:r>
        <w:rPr>
          <w:noProof/>
        </w:rPr>
        <w:t>Article 175, paragraph 3, TFEU also provides that ‘if specific actions prove necessary outside the Funds and without prejudice to the measures decided upon within the framework of the other Union policies, such actions may be adopted by the European Parliament and the Council acting in accordance with the ordinary legislative procedure and after consulting the European Economic and Social Committee and the Committee of the Regions’.</w:t>
      </w:r>
    </w:p>
    <w:p>
      <w:pPr>
        <w:rPr>
          <w:noProof/>
        </w:rPr>
      </w:pPr>
      <w:r>
        <w:rPr>
          <w:noProof/>
        </w:rPr>
        <w:t>It is also necessary to base the proposal on Article 322(1)(a) TFEU in view of enabling targeted derogations from the Financial Regulation.</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Subsidiarity and proportionality</w:t>
      </w:r>
    </w:p>
    <w:p>
      <w:pPr>
        <w:rPr>
          <w:noProof/>
        </w:rPr>
      </w:pPr>
      <w:r>
        <w:rPr>
          <w:noProof/>
        </w:rPr>
        <w:t xml:space="preserve">In accordance with Article 4(2) TFEU, the Union has shared competence with Member States in the area of economic, social and territorial cohesion as well as of certain aspects of social policy. It also has competence to carry out actions to support, coordinate or supplement the actions of the Member States in the area of education and vocational training as well as industry (Article 6 TFEU). </w:t>
      </w:r>
    </w:p>
    <w:p>
      <w:pPr>
        <w:rPr>
          <w:noProof/>
        </w:rPr>
      </w:pPr>
      <w:r>
        <w:rPr>
          <w:noProof/>
        </w:rPr>
        <w:t xml:space="preserve">The implementation of the Just Transition Fund under shared management is underpinned by the subsidiarity principle. Under shared management, the Commission delegates strategic programming and implementation tasks to Member States and regions. Thus, Union action is limited to what is necessary to achieve the Union objectives as laid down in the Treaties. </w:t>
      </w:r>
    </w:p>
    <w:p>
      <w:pPr>
        <w:rPr>
          <w:noProof/>
        </w:rPr>
      </w:pPr>
      <w:r>
        <w:rPr>
          <w:noProof/>
        </w:rPr>
        <w:t>Shared management aims to ensure that decisions are taken as closely as possible to the citizens and that EU-level action is justified in light of the possibilities and specificities at national, regional or local level. Shared management brings Europe closer to its citizens and connects local needs with European objectives. Moreover, it increases ownership of EU objectives, as Member States and the Commission share decision-making power and responsibility and jointly co-finance the programmes.</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Choice of the instrument</w:t>
      </w:r>
    </w:p>
    <w:p>
      <w:pPr>
        <w:rPr>
          <w:noProof/>
        </w:rPr>
      </w:pPr>
      <w:r>
        <w:rPr>
          <w:noProof/>
        </w:rPr>
        <w:t>Cohesion policy is the appropriate framework for the Just Transition Fund, as it is the main EU policy to address structural changes in Europe’s regions. It provides financial support for investments in a wide range of areas that contribute to jobs and growth, working in partnership with actors on the ground.</w:t>
      </w:r>
    </w:p>
    <w:p>
      <w:pPr>
        <w:rPr>
          <w:noProof/>
        </w:rPr>
      </w:pPr>
      <w:r>
        <w:rPr>
          <w:noProof/>
        </w:rPr>
        <w:t xml:space="preserve">It also provides for an integrated place-based approach, which ensures synergies and coherence between investments supported under the Just Transition Fund and those supported under the mainstream cohesion policy programmes. This will accelerate the economic development and reconversion of the concerned regions. </w:t>
      </w:r>
    </w:p>
    <w:p>
      <w:pPr>
        <w:rPr>
          <w:noProof/>
        </w:rPr>
      </w:pPr>
      <w:r>
        <w:rPr>
          <w:noProof/>
        </w:rPr>
        <w:t xml:space="preserve">In addition, it ensures ownership by Member States and regions. This is critical in the context of the Just Transition Fund, which needs to be anchored in tailor-made territorial transition strategies, encompassing in a comprehensive manner the numerous social, environmental and economic challenges raised by the transition. </w:t>
      </w:r>
    </w:p>
    <w:p>
      <w:pPr>
        <w:rPr>
          <w:noProof/>
        </w:rPr>
      </w:pPr>
      <w:r>
        <w:rPr>
          <w:noProof/>
        </w:rPr>
        <w:t xml:space="preserve">Under cohesion policy, the choice of instrument is a Regulation of the European Parliament and of the Council in accordance with the ordinary legislative procedure as set out in Article 175, paragraph 3, of the Treaty. </w:t>
      </w:r>
    </w:p>
    <w:p>
      <w:pPr>
        <w:pStyle w:val="ManualHeading1"/>
        <w:rPr>
          <w:noProof/>
        </w:rPr>
      </w:pPr>
      <w:r>
        <w:rPr>
          <w:noProof/>
        </w:rPr>
        <w:t>3.</w:t>
      </w:r>
      <w:r>
        <w:rPr>
          <w:noProof/>
        </w:rPr>
        <w:tab/>
        <w:t>RESULTS OF EX-POST EVALUATIONS, STAKEHOLDER CONSULTATIONS AND IMPACT ASSESSMENTS</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Ex-post evaluations/fitness checks of existing legislation</w:t>
      </w:r>
    </w:p>
    <w:p>
      <w:pPr>
        <w:rPr>
          <w:noProof/>
        </w:rPr>
      </w:pPr>
      <w:r>
        <w:rPr>
          <w:noProof/>
        </w:rPr>
        <w:t>N/A</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Stakeholder consultations</w:t>
      </w:r>
    </w:p>
    <w:p>
      <w:pPr>
        <w:rPr>
          <w:noProof/>
        </w:rPr>
      </w:pPr>
      <w:r>
        <w:rPr>
          <w:noProof/>
        </w:rPr>
        <w:t>There was no consultation of external stakeholders. However, the proposal echoes the discussions held with the Member States and the European Parliament over recent weeks, in the context of the negotiations on the proposal establishing the Just Transition Fund.</w:t>
      </w:r>
    </w:p>
    <w:p>
      <w:pPr>
        <w:rPr>
          <w:noProof/>
        </w:rPr>
      </w:pPr>
      <w:r>
        <w:rPr>
          <w:noProof/>
        </w:rPr>
        <w:t>Both the draft report of the rapporteur of the REGI committee and the opinion of the BUDG committee had in particular suggested a substantial increase of the JTF budget.</w:t>
      </w:r>
    </w:p>
    <w:p>
      <w:pPr>
        <w:pStyle w:val="ManualHeading2"/>
        <w:rPr>
          <w:rFonts w:eastAsia="Arial Unicode MS"/>
          <w:noProof/>
          <w:u w:color="000000"/>
          <w:bdr w:val="nil"/>
          <w:lang w:val="en-US" w:eastAsia="en-GB"/>
        </w:rPr>
      </w:pPr>
      <w:r>
        <w:rPr>
          <w:rFonts w:eastAsia="Arial Unicode MS"/>
          <w:noProof/>
          <w:u w:color="000000"/>
          <w:bdr w:val="nil"/>
          <w:lang w:eastAsia="en-GB"/>
        </w:rPr>
        <w:t>•</w:t>
      </w:r>
      <w:r>
        <w:rPr>
          <w:rFonts w:eastAsia="Arial Unicode MS"/>
          <w:noProof/>
          <w:u w:color="000000"/>
          <w:bdr w:val="nil"/>
          <w:lang w:eastAsia="en-GB"/>
        </w:rPr>
        <w:tab/>
      </w:r>
      <w:r>
        <w:rPr>
          <w:rFonts w:eastAsia="Arial Unicode MS"/>
          <w:noProof/>
          <w:u w:color="000000"/>
          <w:bdr w:val="nil"/>
          <w:lang w:val="en-US" w:eastAsia="en-GB"/>
        </w:rPr>
        <w:t>Collection and use of expertise</w:t>
      </w:r>
    </w:p>
    <w:p>
      <w:pPr>
        <w:rPr>
          <w:noProof/>
        </w:rPr>
      </w:pPr>
      <w:r>
        <w:rPr>
          <w:noProof/>
        </w:rPr>
        <w:t>N/A</w:t>
      </w:r>
    </w:p>
    <w:p>
      <w:pPr>
        <w:pStyle w:val="ManualHeading2"/>
        <w:rPr>
          <w:rFonts w:eastAsia="Arial Unicode MS"/>
          <w:noProof/>
          <w:u w:color="000000"/>
          <w:bdr w:val="nil"/>
          <w:lang w:eastAsia="en-GB"/>
        </w:rPr>
      </w:pPr>
      <w:r>
        <w:rPr>
          <w:rFonts w:eastAsia="Arial Unicode MS"/>
          <w:noProof/>
          <w:u w:color="000000"/>
          <w:bdr w:val="nil"/>
          <w:lang w:val="en-US" w:eastAsia="en-GB"/>
        </w:rPr>
        <w:t>•</w:t>
      </w:r>
      <w:r>
        <w:rPr>
          <w:rFonts w:eastAsia="Arial Unicode MS"/>
          <w:noProof/>
          <w:u w:color="000000"/>
          <w:bdr w:val="nil"/>
          <w:lang w:val="en-US" w:eastAsia="en-GB"/>
        </w:rPr>
        <w:tab/>
      </w:r>
      <w:r>
        <w:rPr>
          <w:rFonts w:eastAsia="Arial Unicode MS"/>
          <w:noProof/>
          <w:u w:color="000000"/>
          <w:bdr w:val="nil"/>
          <w:lang w:eastAsia="en-GB"/>
        </w:rPr>
        <w:t>Impact assessment</w:t>
      </w:r>
    </w:p>
    <w:p>
      <w:pPr>
        <w:rPr>
          <w:noProof/>
        </w:rPr>
      </w:pPr>
      <w:r>
        <w:rPr>
          <w:noProof/>
        </w:rPr>
        <w:t>The impact assessment</w:t>
      </w:r>
      <w:r>
        <w:rPr>
          <w:rStyle w:val="FootnoteReference"/>
          <w:rFonts w:eastAsia="Arial Unicode MS"/>
          <w:noProof/>
        </w:rPr>
        <w:footnoteReference w:id="4"/>
      </w:r>
      <w:r>
        <w:rPr>
          <w:noProof/>
        </w:rPr>
        <w:t xml:space="preserve"> carried out to prepare the proposal for a Regulation of the European Parliament and of the Council on the European Regional Development Fund and on the Cohesion Fund</w:t>
      </w:r>
      <w:r>
        <w:rPr>
          <w:rStyle w:val="FootnoteReference"/>
          <w:rFonts w:eastAsia="Arial Unicode MS"/>
          <w:noProof/>
        </w:rPr>
        <w:footnoteReference w:id="5"/>
      </w:r>
      <w:r>
        <w:rPr>
          <w:noProof/>
        </w:rPr>
        <w:t xml:space="preserve"> had supported the objectives and the main features of the Just Transition Fund. </w:t>
      </w:r>
    </w:p>
    <w:p>
      <w:pPr>
        <w:rPr>
          <w:noProof/>
        </w:rPr>
      </w:pPr>
      <w:r>
        <w:rPr>
          <w:noProof/>
        </w:rPr>
        <w:t xml:space="preserve">The proposed modifications on the JTF proposal take into account the increased challenges territories face in light of the recent COVID-19 pandemic. Apart from the increased resources, changes are limited and do not modify the architecture and the cornerstones of the initial proposal. A self-standing impact assessment was therefore not carried out. </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Regulatory fitness and simplification</w:t>
      </w:r>
    </w:p>
    <w:p>
      <w:pPr>
        <w:rPr>
          <w:noProof/>
        </w:rPr>
      </w:pPr>
      <w:r>
        <w:rPr>
          <w:noProof/>
        </w:rPr>
        <w:t>N/A</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Fundamental rights</w:t>
      </w:r>
    </w:p>
    <w:p>
      <w:pPr>
        <w:rPr>
          <w:noProof/>
        </w:rPr>
      </w:pPr>
      <w:r>
        <w:rPr>
          <w:noProof/>
        </w:rPr>
        <w:t>N/A</w:t>
      </w:r>
    </w:p>
    <w:p>
      <w:pPr>
        <w:pStyle w:val="ManualHeading1"/>
        <w:rPr>
          <w:noProof/>
        </w:rPr>
      </w:pPr>
      <w:r>
        <w:rPr>
          <w:noProof/>
        </w:rPr>
        <w:t>4.</w:t>
      </w:r>
      <w:r>
        <w:rPr>
          <w:noProof/>
        </w:rPr>
        <w:tab/>
        <w:t>BUDGETARY IMPLICATIONS</w:t>
      </w:r>
    </w:p>
    <w:p>
      <w:pPr>
        <w:rPr>
          <w:noProof/>
        </w:rPr>
      </w:pPr>
      <w:r>
        <w:rPr>
          <w:noProof/>
        </w:rPr>
        <w:t>The additional resources from budget appropriations under the MFF 2021-2027 will lead to additional commitments in the years 2021-2027 and payments in the years 2022-2027 and post 2027.</w:t>
      </w:r>
    </w:p>
    <w:p>
      <w:pPr>
        <w:rPr>
          <w:noProof/>
        </w:rPr>
      </w:pPr>
      <w:r>
        <w:rPr>
          <w:noProof/>
        </w:rPr>
        <w:t>The additional resources financed under the European Recovery Instrument proposal will lead to additional commitments in the years 2021, 2022 and 2023 and 2024 as well as payments in the years 2021 to 2027, based on external assigned revenues.</w:t>
      </w:r>
    </w:p>
    <w:p>
      <w:pPr>
        <w:pStyle w:val="ManualHeading1"/>
        <w:rPr>
          <w:noProof/>
        </w:rPr>
      </w:pPr>
      <w:r>
        <w:rPr>
          <w:noProof/>
        </w:rPr>
        <w:t>5.</w:t>
      </w:r>
      <w:r>
        <w:rPr>
          <w:noProof/>
        </w:rPr>
        <w:tab/>
        <w:t>OTHER ELEMENTS</w:t>
      </w:r>
    </w:p>
    <w:p>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Detailed explanation of the specific provisions of the proposal</w:t>
      </w:r>
    </w:p>
    <w:p>
      <w:pPr>
        <w:spacing w:before="0" w:after="240"/>
        <w:rPr>
          <w:rFonts w:eastAsia="Arial Unicode MS"/>
          <w:noProof/>
        </w:rPr>
      </w:pPr>
      <w:r>
        <w:rPr>
          <w:rFonts w:eastAsia="Arial Unicode MS"/>
          <w:noProof/>
        </w:rPr>
        <w:t>The proposed amendments to the JTF proposal focus on the following elements:</w:t>
      </w:r>
    </w:p>
    <w:p>
      <w:pPr>
        <w:pStyle w:val="Bullet0"/>
        <w:numPr>
          <w:ilvl w:val="0"/>
          <w:numId w:val="10"/>
        </w:numPr>
        <w:rPr>
          <w:noProof/>
        </w:rPr>
      </w:pPr>
      <w:r>
        <w:rPr>
          <w:noProof/>
        </w:rPr>
        <w:t>Increase of resources through additional budgetary appropriations and external assigned revenues</w:t>
      </w:r>
    </w:p>
    <w:p>
      <w:pPr>
        <w:pStyle w:val="Bullet0"/>
        <w:rPr>
          <w:noProof/>
        </w:rPr>
      </w:pPr>
      <w:r>
        <w:rPr>
          <w:noProof/>
        </w:rPr>
        <w:t>No obligation to complement these additional resources financed under the European Recovery Instrument with transfers from ERDF and ESF+</w:t>
      </w:r>
    </w:p>
    <w:p>
      <w:pPr>
        <w:pStyle w:val="Bullet0"/>
        <w:rPr>
          <w:noProof/>
        </w:rPr>
      </w:pPr>
      <w:r>
        <w:rPr>
          <w:noProof/>
        </w:rPr>
        <w:t>Amendment of Annex I in view of adapting it to the higher level of resources proposed</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2020/0006 (COD)</w:t>
      </w:r>
    </w:p>
    <w:p>
      <w:pPr>
        <w:pStyle w:val="Statut"/>
        <w:rPr>
          <w:noProof/>
        </w:rPr>
      </w:pPr>
      <w:r>
        <w:rPr>
          <w:noProof/>
        </w:rPr>
        <w:t>Amended proposal for a</w:t>
      </w:r>
    </w:p>
    <w:p>
      <w:pPr>
        <w:pStyle w:val="Typedudocument"/>
        <w:rPr>
          <w:noProof/>
        </w:rPr>
      </w:pPr>
      <w:r>
        <w:rPr>
          <w:noProof/>
        </w:rPr>
        <w:t>REGULATION OF THE EUROPEAN PARLIAMENT AND OF THE COUNCIL</w:t>
      </w:r>
    </w:p>
    <w:p>
      <w:pPr>
        <w:pStyle w:val="Titreobjet"/>
        <w:rPr>
          <w:noProof/>
        </w:rPr>
      </w:pPr>
      <w:r>
        <w:rPr>
          <w:noProof/>
        </w:rPr>
        <w:t>establishing the Just Transition Fund</w:t>
      </w:r>
    </w:p>
    <w:p>
      <w:pPr>
        <w:rPr>
          <w:noProof/>
        </w:rPr>
      </w:pPr>
      <w:r>
        <w:rPr>
          <w:noProof/>
        </w:rPr>
        <w:t>Commission proposal COM(2020) 22 is amended as follows:</w:t>
      </w:r>
    </w:p>
    <w:p>
      <w:pPr>
        <w:pStyle w:val="ManualNumPar1"/>
        <w:rPr>
          <w:noProof/>
        </w:rPr>
      </w:pPr>
      <w:r>
        <w:rPr>
          <w:noProof/>
        </w:rPr>
        <w:t>1.</w:t>
      </w:r>
      <w:r>
        <w:rPr>
          <w:noProof/>
        </w:rPr>
        <w:tab/>
        <w:t xml:space="preserve">the preamble is amended as follows: </w:t>
      </w:r>
    </w:p>
    <w:p>
      <w:pPr>
        <w:pStyle w:val="Point1"/>
        <w:rPr>
          <w:noProof/>
        </w:rPr>
      </w:pPr>
      <w:r>
        <w:rPr>
          <w:noProof/>
        </w:rPr>
        <w:t>(a)</w:t>
      </w:r>
      <w:r>
        <w:rPr>
          <w:noProof/>
        </w:rPr>
        <w:tab/>
        <w:t xml:space="preserve">The first paragraph is replaced by the following: </w:t>
      </w:r>
    </w:p>
    <w:p>
      <w:pPr>
        <w:pStyle w:val="Text2"/>
        <w:rPr>
          <w:noProof/>
        </w:rPr>
      </w:pPr>
      <w:r>
        <w:rPr>
          <w:noProof/>
        </w:rPr>
        <w:t>“Having regard to the Treaty on the Functioning of the European Union, and in particular the third paragraph of Article 175 and Article 322(1)(a) thereof,”</w:t>
      </w:r>
    </w:p>
    <w:p>
      <w:pPr>
        <w:pStyle w:val="Point1"/>
        <w:rPr>
          <w:noProof/>
        </w:rPr>
      </w:pPr>
      <w:r>
        <w:rPr>
          <w:noProof/>
        </w:rPr>
        <w:t>(b)</w:t>
      </w:r>
      <w:r>
        <w:rPr>
          <w:noProof/>
        </w:rPr>
        <w:tab/>
        <w:t xml:space="preserve">A new sixth paragraph is inserted: </w:t>
      </w:r>
    </w:p>
    <w:p>
      <w:pPr>
        <w:pStyle w:val="Text2"/>
        <w:rPr>
          <w:noProof/>
        </w:rPr>
      </w:pPr>
      <w:r>
        <w:rPr>
          <w:noProof/>
        </w:rPr>
        <w:t>“Having regard to the opinion of the Court of Auditors</w:t>
      </w:r>
      <w:r>
        <w:rPr>
          <w:rStyle w:val="FootnoteReference"/>
          <w:noProof/>
        </w:rPr>
        <w:footnoteReference w:id="6"/>
      </w:r>
      <w:r>
        <w:rPr>
          <w:noProof/>
        </w:rPr>
        <w:t>,”;</w:t>
      </w:r>
    </w:p>
    <w:p>
      <w:pPr>
        <w:pStyle w:val="ManualNumPar1"/>
        <w:rPr>
          <w:noProof/>
        </w:rPr>
      </w:pPr>
      <w:r>
        <w:rPr>
          <w:noProof/>
        </w:rPr>
        <w:t>2.</w:t>
      </w:r>
      <w:r>
        <w:rPr>
          <w:noProof/>
        </w:rPr>
        <w:tab/>
        <w:t>the following recital (8a) is inserted:</w:t>
      </w:r>
    </w:p>
    <w:p>
      <w:pPr>
        <w:pStyle w:val="Text1"/>
        <w:rPr>
          <w:noProof/>
        </w:rPr>
      </w:pPr>
      <w:r>
        <w:rPr>
          <w:noProof/>
        </w:rPr>
        <w:t>“(8a) Horizontal financial rules adopted by the European Parliament and the Council on the basis of Article 322 of the Treaty on the Functioning of the European Union apply to this Regulation. These rules are laid down in the Financial Regulation and determine in particular the procedure for establishing and implementing the budget through grants, procurement, prizes, indirect implementation, and provide for checks on the responsibility of financial actors. Rules adopted on the basis of Article 322 TFEU also concern the protection of the Union's budget in case of generalised deficiencies as regards the rule of law in the Member States, as the respect for the rule of law is an essential precondition for sound financial management and effective EU funding.”;</w:t>
      </w:r>
    </w:p>
    <w:p>
      <w:pPr>
        <w:pStyle w:val="ManualNumPar1"/>
        <w:rPr>
          <w:noProof/>
        </w:rPr>
      </w:pPr>
      <w:r>
        <w:rPr>
          <w:noProof/>
        </w:rPr>
        <w:t>3.</w:t>
      </w:r>
      <w:r>
        <w:rPr>
          <w:noProof/>
        </w:rPr>
        <w:tab/>
        <w:t>the following recital (9a) is inserted:</w:t>
      </w:r>
    </w:p>
    <w:p>
      <w:pPr>
        <w:pStyle w:val="Text1"/>
        <w:rPr>
          <w:noProof/>
        </w:rPr>
      </w:pPr>
      <w:r>
        <w:rPr>
          <w:noProof/>
        </w:rPr>
        <w:t>“(9a) In accordance with Regulation [European Recovery Instrument] and within the limits of resources allocated therein, recovery and resilience measures under the Just Transition Fund</w:t>
      </w:r>
      <w:r>
        <w:rPr>
          <w:noProof/>
          <w:lang w:val="en-US"/>
        </w:rPr>
        <w:t xml:space="preserve"> </w:t>
      </w:r>
      <w:r>
        <w:rPr>
          <w:noProof/>
        </w:rPr>
        <w:t>should be carried out  to address the unprecedented impact of the COVID-19 crisis.  Such additional resources should be used in such a way as to ensure compliance with the time limits provided for in Regulation [ERI].”;</w:t>
      </w:r>
    </w:p>
    <w:p>
      <w:pPr>
        <w:pStyle w:val="ManualNumPar1"/>
        <w:rPr>
          <w:noProof/>
        </w:rPr>
      </w:pPr>
      <w:r>
        <w:rPr>
          <w:noProof/>
        </w:rPr>
        <w:t>4.</w:t>
      </w:r>
      <w:r>
        <w:rPr>
          <w:noProof/>
        </w:rPr>
        <w:tab/>
        <w:t>Article 3, paragraph 2, is replaced with the following:</w:t>
      </w:r>
    </w:p>
    <w:p>
      <w:pPr>
        <w:pStyle w:val="Text1"/>
        <w:rPr>
          <w:noProof/>
        </w:rPr>
      </w:pPr>
      <w:r>
        <w:rPr>
          <w:noProof/>
        </w:rPr>
        <w:t>“2.</w:t>
      </w:r>
      <w:r>
        <w:rPr>
          <w:noProof/>
        </w:rPr>
        <w:tab/>
        <w:t>The resources for the JTF under the Investment for jobs and growth goal available for budgetary commitment for the period 2021-2027 shall be EUR 11 270 459 000 in current prices, which may be increased, as the case may be, by additional resources allocated in the Union budget, and by other resources in accordance with the applicable basic act.</w:t>
      </w:r>
    </w:p>
    <w:p>
      <w:pPr>
        <w:pStyle w:val="Text1"/>
        <w:rPr>
          <w:noProof/>
        </w:rPr>
      </w:pPr>
      <w:r>
        <w:rPr>
          <w:noProof/>
        </w:rPr>
        <w:t>0.35% of the amount referred to in the first subparagraph shall be allocated to technical assistance at the initiative of the Commission.”</w:t>
      </w:r>
    </w:p>
    <w:p>
      <w:pPr>
        <w:pStyle w:val="ManualNumPar1"/>
        <w:rPr>
          <w:noProof/>
        </w:rPr>
      </w:pPr>
      <w:r>
        <w:rPr>
          <w:noProof/>
        </w:rPr>
        <w:t>5.</w:t>
      </w:r>
      <w:r>
        <w:rPr>
          <w:noProof/>
        </w:rPr>
        <w:tab/>
        <w:t>the following Article 3a is inserted:</w:t>
      </w:r>
    </w:p>
    <w:p>
      <w:pPr>
        <w:pStyle w:val="Text1"/>
        <w:jc w:val="center"/>
        <w:rPr>
          <w:i/>
          <w:noProof/>
        </w:rPr>
      </w:pPr>
      <w:r>
        <w:rPr>
          <w:i/>
          <w:noProof/>
        </w:rPr>
        <w:t>“Article 3a</w:t>
      </w:r>
    </w:p>
    <w:p>
      <w:pPr>
        <w:pStyle w:val="Text1"/>
        <w:jc w:val="center"/>
        <w:rPr>
          <w:b/>
          <w:noProof/>
        </w:rPr>
      </w:pPr>
      <w:r>
        <w:rPr>
          <w:b/>
          <w:noProof/>
        </w:rPr>
        <w:t>Resources from the European Union Recovery Instrument</w:t>
      </w:r>
    </w:p>
    <w:p>
      <w:pPr>
        <w:pStyle w:val="Point1"/>
        <w:rPr>
          <w:noProof/>
          <w:lang w:eastAsia="en-GB"/>
        </w:rPr>
      </w:pPr>
      <w:r>
        <w:rPr>
          <w:noProof/>
          <w:lang w:eastAsia="en-GB"/>
        </w:rPr>
        <w:t>1.</w:t>
      </w:r>
      <w:r>
        <w:rPr>
          <w:noProof/>
          <w:lang w:eastAsia="en-GB"/>
        </w:rPr>
        <w:tab/>
        <w:t>Measures referred to in Article 2 of Regulation [ERI] shall be implemented under the Just Transition Fund with an amount of EUR 32 803 000 000 in current prices of the amount referred to in point (vi) of Article 3(2)(a) of that Regulation, subject to its Article 4(3), (4) and (8).</w:t>
      </w:r>
    </w:p>
    <w:p>
      <w:pPr>
        <w:pStyle w:val="Text2"/>
        <w:rPr>
          <w:noProof/>
        </w:rPr>
      </w:pPr>
      <w:r>
        <w:rPr>
          <w:noProof/>
        </w:rPr>
        <w:t xml:space="preserve">This amount shall be considered other resources as referred to in Article 3(2) and shall constitute external assigned revenues in accordance with Article 21(5) of Regulation (EU, Euratom) 2018/1046. </w:t>
      </w:r>
    </w:p>
    <w:p>
      <w:pPr>
        <w:pStyle w:val="Text2"/>
        <w:rPr>
          <w:noProof/>
        </w:rPr>
      </w:pPr>
      <w:r>
        <w:rPr>
          <w:noProof/>
        </w:rPr>
        <w:t>They shall be made available for budgetary commitment under the Investment for jobs and growth goal for the years 2021 to 2024 in addition to the global resources set out in Article 3 as follows:</w:t>
      </w:r>
    </w:p>
    <w:p>
      <w:pPr>
        <w:pStyle w:val="Tiret2"/>
        <w:numPr>
          <w:ilvl w:val="0"/>
          <w:numId w:val="6"/>
        </w:numPr>
        <w:rPr>
          <w:rStyle w:val="conf-macro"/>
          <w:noProof/>
        </w:rPr>
      </w:pPr>
      <w:r>
        <w:rPr>
          <w:rStyle w:val="conf-macro"/>
          <w:noProof/>
        </w:rPr>
        <w:t>2021: EUR 7 954 600 000;</w:t>
      </w:r>
    </w:p>
    <w:p>
      <w:pPr>
        <w:pStyle w:val="Tiret2"/>
        <w:rPr>
          <w:rStyle w:val="conf-macro"/>
          <w:noProof/>
        </w:rPr>
      </w:pPr>
      <w:r>
        <w:rPr>
          <w:rStyle w:val="conf-macro"/>
          <w:noProof/>
        </w:rPr>
        <w:t>2022: EUR 8 114 600 000;</w:t>
      </w:r>
    </w:p>
    <w:p>
      <w:pPr>
        <w:pStyle w:val="Tiret2"/>
        <w:rPr>
          <w:rStyle w:val="conf-macro"/>
          <w:noProof/>
        </w:rPr>
      </w:pPr>
      <w:r>
        <w:rPr>
          <w:rStyle w:val="conf-macro"/>
          <w:noProof/>
        </w:rPr>
        <w:t>2023: EUR 8 276 600 000;</w:t>
      </w:r>
    </w:p>
    <w:p>
      <w:pPr>
        <w:pStyle w:val="Tiret2"/>
        <w:rPr>
          <w:rStyle w:val="conf-macro"/>
          <w:noProof/>
        </w:rPr>
      </w:pPr>
      <w:r>
        <w:rPr>
          <w:rStyle w:val="conf-macro"/>
          <w:noProof/>
        </w:rPr>
        <w:t>2024: EUR 8 441 600 000.</w:t>
      </w:r>
    </w:p>
    <w:p>
      <w:pPr>
        <w:pStyle w:val="Text2"/>
        <w:rPr>
          <w:noProof/>
        </w:rPr>
      </w:pPr>
      <w:r>
        <w:rPr>
          <w:noProof/>
        </w:rPr>
        <w:t xml:space="preserve">In addition, EUR 15 600 000 in current prices shall be made available for administrative expenditure from the resources referred to in the first subparagraph. </w:t>
      </w:r>
    </w:p>
    <w:p>
      <w:pPr>
        <w:pStyle w:val="Point1"/>
        <w:rPr>
          <w:noProof/>
        </w:rPr>
      </w:pPr>
      <w:r>
        <w:rPr>
          <w:noProof/>
        </w:rPr>
        <w:t>2.</w:t>
      </w:r>
      <w:r>
        <w:rPr>
          <w:noProof/>
        </w:rPr>
        <w:tab/>
        <w:t>0.35% of the amount referred to in the first subparagraph of paragraph 1 shall be allocated to technical assistance at the initiative of the Commission.</w:t>
      </w:r>
    </w:p>
    <w:p>
      <w:pPr>
        <w:pStyle w:val="Point1"/>
        <w:rPr>
          <w:noProof/>
        </w:rPr>
      </w:pPr>
      <w:r>
        <w:rPr>
          <w:noProof/>
        </w:rPr>
        <w:t>3.</w:t>
      </w:r>
      <w:r>
        <w:rPr>
          <w:noProof/>
        </w:rPr>
        <w:tab/>
        <w:t>The annual breakdown of the amount referred to in paragraph 1 by Member States shall be included in the Commission decision referred to in Article 3(3) in accordance with the methodology set out in Annex I.</w:t>
      </w:r>
    </w:p>
    <w:p>
      <w:pPr>
        <w:pStyle w:val="Point1"/>
        <w:rPr>
          <w:noProof/>
        </w:rPr>
      </w:pPr>
      <w:r>
        <w:rPr>
          <w:noProof/>
        </w:rPr>
        <w:t>4.</w:t>
      </w:r>
      <w:r>
        <w:rPr>
          <w:noProof/>
        </w:rPr>
        <w:tab/>
        <w:t xml:space="preserve">By way of derogation from Article [21a] of Regulation (EU) [new CPR] the amount referred to in paragraph 1 shall not require complementary support from the ERDF or the ESF+. </w:t>
      </w:r>
    </w:p>
    <w:p>
      <w:pPr>
        <w:pStyle w:val="Point1"/>
        <w:rPr>
          <w:noProof/>
        </w:rPr>
      </w:pPr>
      <w:r>
        <w:rPr>
          <w:noProof/>
        </w:rPr>
        <w:t>5.</w:t>
      </w:r>
      <w:r>
        <w:rPr>
          <w:noProof/>
        </w:rPr>
        <w:tab/>
        <w:t>By way of derogation from Article 14(3) of the Financial Regulation, the de-commitment rules set out in Chapter IV of Title VII of Regulation (EU) [new CPR] shall apply to the budgetary commitments based on resources referred to in paragraph 1. By derogation from Article 12(4)(c) of the Financial Regulation these resources shall not be used for a succeeding programme or action.”;</w:t>
      </w:r>
    </w:p>
    <w:p>
      <w:pPr>
        <w:pStyle w:val="ManualNumPar1"/>
        <w:rPr>
          <w:noProof/>
        </w:rPr>
      </w:pPr>
      <w:r>
        <w:rPr>
          <w:noProof/>
        </w:rPr>
        <w:t>6.</w:t>
      </w:r>
      <w:r>
        <w:rPr>
          <w:noProof/>
        </w:rPr>
        <w:tab/>
        <w:t>Article 6(2) is replaced by the following:</w:t>
      </w:r>
    </w:p>
    <w:p>
      <w:pPr>
        <w:pStyle w:val="Text1"/>
        <w:rPr>
          <w:noProof/>
        </w:rPr>
      </w:pPr>
      <w:r>
        <w:rPr>
          <w:noProof/>
        </w:rPr>
        <w:t>“2. The JTF priority or priorities shall comprise the JTF resources consisting of all or part of the JTF allocation for the Member States and the resources transferred in accordance with Article [21a] of Regulation (EU) [new CPR]. The total of the ERDF and ESF+ resources transferred to the JTF shall be at least equal to one and a half times the amount of support from the JTF to that priority excluding the resources referred to in paragraph 1 of Article 3a but shall not exceed three times that amount.”;</w:t>
      </w:r>
    </w:p>
    <w:p>
      <w:pPr>
        <w:pStyle w:val="ManualNumPar1"/>
        <w:keepNext/>
        <w:keepLines/>
        <w:rPr>
          <w:noProof/>
        </w:rPr>
      </w:pPr>
      <w:r>
        <w:rPr>
          <w:noProof/>
        </w:rPr>
        <w:t>7.</w:t>
      </w:r>
      <w:r>
        <w:rPr>
          <w:noProof/>
        </w:rPr>
        <w:tab/>
        <w:t>Annex I is amended in accordance with the Annex to this proposal.</w:t>
      </w:r>
      <w:r>
        <w:rPr>
          <w:noProof/>
        </w:rPr>
        <w:tab/>
      </w:r>
      <w:r>
        <w:rPr>
          <w:noProof/>
        </w:rPr>
        <w:br/>
      </w:r>
    </w:p>
    <w:p>
      <w:pPr>
        <w:pStyle w:val="Fait"/>
        <w:rPr>
          <w:noProof/>
        </w:rPr>
      </w:pPr>
      <w:r>
        <w:t>Done at Brussels,</w:t>
      </w:r>
    </w:p>
    <w:p>
      <w:pPr>
        <w:pStyle w:val="Institutionquisigne"/>
        <w:rPr>
          <w:noProof/>
        </w:rPr>
      </w:pPr>
      <w:r>
        <w:rPr>
          <w:noProof/>
        </w:rPr>
        <w:t>For the European Parliament</w:t>
      </w:r>
      <w:r>
        <w:rPr>
          <w:noProof/>
        </w:rPr>
        <w:tab/>
        <w:t>For the Council</w:t>
      </w:r>
    </w:p>
    <w:p>
      <w:pPr>
        <w:pStyle w:val="Personnequisigne"/>
        <w:rPr>
          <w:noProof/>
        </w:rPr>
      </w:pPr>
      <w:r>
        <w:rPr>
          <w:noProof/>
        </w:rPr>
        <w:t>The President</w:t>
      </w:r>
      <w:r>
        <w:rPr>
          <w:noProof/>
        </w:rPr>
        <w:tab/>
        <w:t>The President</w:t>
      </w:r>
    </w:p>
    <w:p>
      <w:pPr>
        <w:rPr>
          <w:noProof/>
        </w:rPr>
        <w:sectPr>
          <w:pgSz w:w="11907" w:h="16840" w:code="9"/>
          <w:pgMar w:top="1134" w:right="1418" w:bottom="1134" w:left="1418" w:header="709" w:footer="709" w:gutter="0"/>
          <w:cols w:space="708"/>
          <w:docGrid w:linePitch="360"/>
        </w:sectPr>
      </w:pPr>
    </w:p>
    <w:p>
      <w:pPr>
        <w:pStyle w:val="Fichefinanciretitre"/>
        <w:rPr>
          <w:noProof/>
        </w:rPr>
      </w:pPr>
      <w:bookmarkStart w:id="1" w:name="_Toc514941970"/>
      <w:r>
        <w:rPr>
          <w:noProof/>
        </w:rPr>
        <w:t>LEGISLATIVE FINANCIAL STATEMENT</w:t>
      </w:r>
      <w:bookmarkEnd w:id="1"/>
    </w:p>
    <w:p>
      <w:pPr>
        <w:pStyle w:val="ManualHeading1"/>
        <w:rPr>
          <w:noProof/>
        </w:rPr>
      </w:pPr>
      <w:bookmarkStart w:id="2" w:name="_Toc514941971"/>
      <w:bookmarkStart w:id="3" w:name="_Toc39839391"/>
      <w:r>
        <w:t>1.</w:t>
      </w:r>
      <w:r>
        <w:tab/>
      </w:r>
      <w:r>
        <w:rPr>
          <w:noProof/>
        </w:rPr>
        <w:t>FRAMEWORK OF THE PROPOSAL/INITIATIVE</w:t>
      </w:r>
      <w:bookmarkEnd w:id="2"/>
      <w:bookmarkEnd w:id="3"/>
      <w:r>
        <w:rPr>
          <w:noProof/>
        </w:rPr>
        <w:t xml:space="preserve"> </w:t>
      </w:r>
    </w:p>
    <w:p>
      <w:pPr>
        <w:pStyle w:val="ManualHeading2"/>
        <w:rPr>
          <w:noProof/>
        </w:rPr>
      </w:pPr>
      <w:bookmarkStart w:id="4" w:name="_Toc514941972"/>
      <w:bookmarkStart w:id="5" w:name="_Toc39839392"/>
      <w:r>
        <w:t>1.1.</w:t>
      </w:r>
      <w:r>
        <w:tab/>
      </w:r>
      <w:r>
        <w:rPr>
          <w:noProof/>
        </w:rPr>
        <w:t>Title of the proposal/initiative</w:t>
      </w:r>
      <w:bookmarkEnd w:id="4"/>
      <w:bookmarkEnd w:id="5"/>
      <w:r>
        <w:rPr>
          <w:noProof/>
        </w:rPr>
        <w:t xml:space="preserve"> </w:t>
      </w:r>
    </w:p>
    <w:p>
      <w:pPr>
        <w:pBdr>
          <w:top w:val="single" w:sz="4" w:space="1" w:color="auto"/>
          <w:left w:val="single" w:sz="4" w:space="4" w:color="auto"/>
          <w:bottom w:val="single" w:sz="4" w:space="1" w:color="auto"/>
          <w:right w:val="single" w:sz="4" w:space="4" w:color="auto"/>
        </w:pBdr>
        <w:ind w:left="850"/>
        <w:rPr>
          <w:noProof/>
        </w:rPr>
      </w:pPr>
      <w:bookmarkStart w:id="6" w:name="_Toc514941973"/>
      <w:bookmarkStart w:id="7" w:name="_Toc39839393"/>
      <w:r>
        <w:rPr>
          <w:noProof/>
        </w:rPr>
        <w:t>Amended proposal for a Regulation of the European Parliament and of the Council establishing the Just Transition Fund</w:t>
      </w:r>
    </w:p>
    <w:p>
      <w:pPr>
        <w:pStyle w:val="ManualHeading2"/>
        <w:rPr>
          <w:noProof/>
        </w:rPr>
      </w:pPr>
      <w:r>
        <w:t>1.2.</w:t>
      </w:r>
      <w:r>
        <w:tab/>
      </w:r>
      <w:r>
        <w:rPr>
          <w:noProof/>
        </w:rPr>
        <w:t>Policy area(s) concerned</w:t>
      </w:r>
      <w:r>
        <w:rPr>
          <w:i/>
          <w:noProof/>
        </w:rPr>
        <w:t xml:space="preserve"> (Programme cluster)</w:t>
      </w:r>
      <w:bookmarkEnd w:id="6"/>
      <w:bookmarkEnd w:id="7"/>
    </w:p>
    <w:p>
      <w:pPr>
        <w:pBdr>
          <w:top w:val="single" w:sz="4" w:space="1" w:color="auto"/>
          <w:left w:val="single" w:sz="4" w:space="4" w:color="auto"/>
          <w:bottom w:val="single" w:sz="4" w:space="1" w:color="auto"/>
          <w:right w:val="single" w:sz="4" w:space="4" w:color="auto"/>
        </w:pBdr>
        <w:ind w:left="850"/>
        <w:rPr>
          <w:noProof/>
        </w:rPr>
      </w:pPr>
      <w:bookmarkStart w:id="8" w:name="_Toc514941974"/>
      <w:r>
        <w:rPr>
          <w:noProof/>
        </w:rPr>
        <w:t>9 Environment and Climate action (2021-2027)</w:t>
      </w:r>
    </w:p>
    <w:p>
      <w:pPr>
        <w:pBdr>
          <w:top w:val="single" w:sz="4" w:space="1" w:color="auto"/>
          <w:left w:val="single" w:sz="4" w:space="4" w:color="auto"/>
          <w:bottom w:val="single" w:sz="4" w:space="1" w:color="auto"/>
          <w:right w:val="single" w:sz="4" w:space="4" w:color="auto"/>
        </w:pBdr>
        <w:ind w:left="850"/>
        <w:rPr>
          <w:noProof/>
        </w:rPr>
      </w:pPr>
    </w:p>
    <w:p>
      <w:pPr>
        <w:pStyle w:val="ManualHeading2"/>
        <w:rPr>
          <w:noProof/>
          <w:szCs w:val="24"/>
        </w:rPr>
      </w:pPr>
      <w:bookmarkStart w:id="9" w:name="_Toc39839394"/>
      <w:r>
        <w:t>1.3.</w:t>
      </w:r>
      <w:r>
        <w:tab/>
      </w:r>
      <w:r>
        <w:rPr>
          <w:noProof/>
        </w:rPr>
        <w:t>The proposal/initiative relates to:</w:t>
      </w:r>
      <w:bookmarkEnd w:id="8"/>
      <w:bookmarkEnd w:id="9"/>
      <w:r>
        <w:rPr>
          <w:noProof/>
        </w:rPr>
        <w:t xml:space="preserve"> </w:t>
      </w:r>
    </w:p>
    <w:p>
      <w:pPr>
        <w:ind w:left="850"/>
        <w:rPr>
          <w:b/>
          <w:noProof/>
          <w:sz w:val="22"/>
        </w:rPr>
      </w:pPr>
      <w:r>
        <w:rPr>
          <w:noProof/>
          <w:sz w:val="22"/>
        </w:rPr>
        <w:sym w:font="Wingdings" w:char="F0A8"/>
      </w:r>
      <w:r>
        <w:rPr>
          <w:b/>
          <w:i/>
          <w:noProof/>
          <w:sz w:val="22"/>
        </w:rPr>
        <w:t xml:space="preserve"> </w:t>
      </w:r>
      <w:r>
        <w:rPr>
          <w:b/>
          <w:noProof/>
        </w:rPr>
        <w:t>a new action</w:t>
      </w:r>
      <w:r>
        <w:rPr>
          <w:b/>
          <w:noProof/>
          <w:sz w:val="22"/>
        </w:rPr>
        <w:t xml:space="preserve"> </w:t>
      </w:r>
    </w:p>
    <w:p>
      <w:pPr>
        <w:ind w:left="850"/>
        <w:rPr>
          <w:noProof/>
          <w:sz w:val="22"/>
        </w:rPr>
      </w:pPr>
      <w:r>
        <w:rPr>
          <w:noProof/>
          <w:sz w:val="22"/>
        </w:rPr>
        <w:sym w:font="Wingdings" w:char="F0A8"/>
      </w:r>
      <w:r>
        <w:rPr>
          <w:i/>
          <w:noProof/>
          <w:sz w:val="22"/>
        </w:rPr>
        <w:t xml:space="preserve"> </w:t>
      </w:r>
      <w:r>
        <w:rPr>
          <w:b/>
          <w:noProof/>
        </w:rPr>
        <w:t>a new action following a pilot project/preparatory action</w:t>
      </w:r>
      <w:r>
        <w:rPr>
          <w:rStyle w:val="FootnoteReference"/>
          <w:b/>
          <w:noProof/>
        </w:rPr>
        <w:footnoteReference w:id="7"/>
      </w:r>
      <w:r>
        <w:rPr>
          <w:noProof/>
          <w:sz w:val="22"/>
        </w:rPr>
        <w:t xml:space="preserve"> </w:t>
      </w:r>
    </w:p>
    <w:p>
      <w:pPr>
        <w:ind w:left="850"/>
        <w:rPr>
          <w:noProof/>
          <w:sz w:val="22"/>
        </w:rPr>
      </w:pPr>
      <w:r>
        <w:rPr>
          <w:noProof/>
          <w:sz w:val="22"/>
        </w:rPr>
        <w:t>X</w:t>
      </w:r>
      <w:r>
        <w:rPr>
          <w:i/>
          <w:noProof/>
          <w:sz w:val="22"/>
        </w:rPr>
        <w:t xml:space="preserve"> </w:t>
      </w:r>
      <w:r>
        <w:rPr>
          <w:b/>
          <w:noProof/>
        </w:rPr>
        <w:t>the extension of an existing action</w:t>
      </w:r>
      <w:r>
        <w:rPr>
          <w:noProof/>
          <w:sz w:val="22"/>
        </w:rPr>
        <w:t xml:space="preserve"> </w:t>
      </w:r>
    </w:p>
    <w:p>
      <w:pPr>
        <w:ind w:left="850"/>
        <w:rPr>
          <w:noProof/>
        </w:rPr>
      </w:pPr>
      <w:r>
        <w:rPr>
          <w:noProof/>
          <w:sz w:val="22"/>
        </w:rPr>
        <w:sym w:font="Wingdings" w:char="F0A8"/>
      </w:r>
      <w:r>
        <w:rPr>
          <w:i/>
          <w:noProof/>
          <w:sz w:val="22"/>
        </w:rPr>
        <w:t xml:space="preserve"> </w:t>
      </w:r>
      <w:r>
        <w:rPr>
          <w:b/>
          <w:noProof/>
        </w:rPr>
        <w:t>a merger or redirection of one or more actions towards another/a new action</w:t>
      </w:r>
      <w:r>
        <w:rPr>
          <w:noProof/>
        </w:rPr>
        <w:t xml:space="preserve"> </w:t>
      </w:r>
    </w:p>
    <w:p>
      <w:pPr>
        <w:pStyle w:val="ManualHeading2"/>
        <w:rPr>
          <w:noProof/>
          <w:szCs w:val="24"/>
        </w:rPr>
      </w:pPr>
      <w:bookmarkStart w:id="10" w:name="_Toc514941975"/>
      <w:bookmarkStart w:id="11" w:name="_Toc39839395"/>
      <w:r>
        <w:t>1.4.</w:t>
      </w:r>
      <w:r>
        <w:tab/>
      </w:r>
      <w:r>
        <w:rPr>
          <w:noProof/>
        </w:rPr>
        <w:t>Grounds for the proposal/initiative</w:t>
      </w:r>
      <w:bookmarkEnd w:id="10"/>
      <w:r>
        <w:rPr>
          <w:noProof/>
        </w:rPr>
        <w:t xml:space="preserve"> </w:t>
      </w:r>
      <w:bookmarkEnd w:id="11"/>
    </w:p>
    <w:p>
      <w:pPr>
        <w:pStyle w:val="ManualHeading3"/>
        <w:rPr>
          <w:rStyle w:val="Heading3Char"/>
          <w:i/>
          <w:noProof/>
        </w:rPr>
      </w:pPr>
      <w:bookmarkStart w:id="12" w:name="_Toc514941976"/>
      <w:bookmarkStart w:id="13" w:name="_Toc39839396"/>
      <w:r>
        <w:rPr>
          <w:rStyle w:val="Heading3Char"/>
        </w:rPr>
        <w:t>1.4.1.</w:t>
      </w:r>
      <w:r>
        <w:rPr>
          <w:rStyle w:val="Heading3Char"/>
        </w:rPr>
        <w:tab/>
      </w:r>
      <w:r>
        <w:rPr>
          <w:noProof/>
        </w:rPr>
        <w:t xml:space="preserve">Requirement(s) to be met in the short or long term including a detailed timeline for </w:t>
      </w:r>
      <w:r>
        <w:rPr>
          <w:rStyle w:val="Heading3Char"/>
          <w:noProof/>
        </w:rPr>
        <w:t>roll-out of the implementation of the initiative</w:t>
      </w:r>
      <w:bookmarkEnd w:id="12"/>
      <w:bookmarkEnd w:id="13"/>
    </w:p>
    <w:p>
      <w:pPr>
        <w:pBdr>
          <w:top w:val="single" w:sz="4" w:space="1" w:color="auto"/>
          <w:left w:val="single" w:sz="4" w:space="4" w:color="auto"/>
          <w:bottom w:val="single" w:sz="4" w:space="1" w:color="auto"/>
          <w:right w:val="single" w:sz="4" w:space="4" w:color="auto"/>
        </w:pBdr>
        <w:ind w:left="850"/>
        <w:rPr>
          <w:noProof/>
        </w:rPr>
      </w:pPr>
      <w:r>
        <w:rPr>
          <w:noProof/>
        </w:rPr>
        <w:t>It is proposed to amend the proposal for the Regulation establishing the Just Transition Fund to ensure that the necessary investments in the green transition are accelerated to create the conditions for Europe’s long-term growth and resilience of the European economy to future shocks. It is therefore proposed that additional resources of EUR 35 613 048 000 (in current prices) are made available for the Just Transition Fund. Of these additional resources, EUR 2 810 048 000 in current prices should come from budget appropriations, bringing the level of the programme under the next MFF to EUR 11 270 459 000; these should be allocated in the course of the ongoing negotiations at the level of the European Council. The remaining additional resources of EUR 32 803 000 000 will cover the period from 2021 to 2024 and will constitute external assigned revenue stemming from the European Recovery Instrument.</w:t>
      </w:r>
    </w:p>
    <w:p>
      <w:pPr>
        <w:pStyle w:val="ManualHeading3"/>
        <w:rPr>
          <w:noProof/>
        </w:rPr>
      </w:pPr>
      <w:bookmarkStart w:id="14" w:name="_Toc514941977"/>
      <w:bookmarkStart w:id="15" w:name="_Toc39839397"/>
      <w:r>
        <w:t>1.4.2.</w:t>
      </w:r>
      <w:r>
        <w:tab/>
      </w:r>
      <w:r>
        <w:rPr>
          <w:noProof/>
        </w:rPr>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bookmarkEnd w:id="14"/>
      <w:bookmarkEnd w:id="15"/>
    </w:p>
    <w:p>
      <w:pPr>
        <w:pBdr>
          <w:top w:val="single" w:sz="4" w:space="1" w:color="auto"/>
          <w:left w:val="single" w:sz="4" w:space="4" w:color="auto"/>
          <w:bottom w:val="single" w:sz="4" w:space="1" w:color="auto"/>
          <w:right w:val="single" w:sz="4" w:space="4" w:color="auto"/>
        </w:pBdr>
        <w:ind w:left="850"/>
        <w:rPr>
          <w:noProof/>
        </w:rPr>
      </w:pPr>
      <w:r>
        <w:rPr>
          <w:noProof/>
        </w:rPr>
        <w:t xml:space="preserve">In line with the objective of achieving EU climate neutrality by 2050 in an effective and fair manner, the Just Transition Fund aims at alleviating the economic, environmental and social cost of the transition towards climate neutrality, for the benefit of the territories that are most negatively affected by the transition. The Fund’s support is focused on economic reconversion measures, reskilling of affected workers and job seeking assistance. </w:t>
      </w:r>
    </w:p>
    <w:p>
      <w:pPr>
        <w:pBdr>
          <w:top w:val="single" w:sz="4" w:space="1" w:color="auto"/>
          <w:left w:val="single" w:sz="4" w:space="4" w:color="auto"/>
          <w:bottom w:val="single" w:sz="4" w:space="1" w:color="auto"/>
          <w:right w:val="single" w:sz="4" w:space="4" w:color="auto"/>
        </w:pBdr>
        <w:ind w:left="850"/>
        <w:rPr>
          <w:noProof/>
        </w:rPr>
      </w:pPr>
      <w:r>
        <w:rPr>
          <w:noProof/>
        </w:rPr>
        <w:t>The Coronavirus disease outbreak ("COVID-19") has prompted many governments to introduce unprecedented measures to contain the pandemic. This in turn has led to a sharp decline in the level of output in many economies with severe social consequences. It will pose significant challenges for public finances and debt management in the years to come, which in turn may limit public investment necessary for the economic recovery.</w:t>
      </w:r>
    </w:p>
    <w:p>
      <w:pPr>
        <w:pBdr>
          <w:top w:val="single" w:sz="4" w:space="1" w:color="auto"/>
          <w:left w:val="single" w:sz="4" w:space="4" w:color="auto"/>
          <w:bottom w:val="single" w:sz="4" w:space="1" w:color="auto"/>
          <w:right w:val="single" w:sz="4" w:space="4" w:color="auto"/>
        </w:pBdr>
        <w:ind w:left="850"/>
        <w:rPr>
          <w:noProof/>
        </w:rPr>
      </w:pPr>
      <w:r>
        <w:rPr>
          <w:noProof/>
        </w:rPr>
        <w:t>In addition, national and regional capacities to address the effects of the crisis differ between Member States and regions due to the diverse economic structures and fiscal positions. If left unaddressed, such differences may result in an asymmetric recovery and lead to increased regional disparities, which in turn can undermine the Internal Market, the financial stability of the Eurozone and our Union as a whole.</w:t>
      </w:r>
    </w:p>
    <w:p>
      <w:pPr>
        <w:pBdr>
          <w:top w:val="single" w:sz="4" w:space="1" w:color="auto"/>
          <w:left w:val="single" w:sz="4" w:space="4" w:color="auto"/>
          <w:bottom w:val="single" w:sz="4" w:space="1" w:color="auto"/>
          <w:right w:val="single" w:sz="4" w:space="4" w:color="auto"/>
        </w:pBdr>
        <w:ind w:left="850"/>
        <w:rPr>
          <w:noProof/>
        </w:rPr>
      </w:pPr>
      <w:r>
        <w:rPr>
          <w:noProof/>
        </w:rPr>
        <w:t>In order to prevent the widening of disparities as well as to avoid an uneven recovery process, it is therefore necessary to provide additional support over the short and medium term to Member States and regions in order to help their economies and societies weather the situation and to ensure a swift and sustainable recovery of their economies.</w:t>
      </w:r>
    </w:p>
    <w:p>
      <w:pPr>
        <w:pStyle w:val="ManualHeading3"/>
        <w:rPr>
          <w:noProof/>
        </w:rPr>
      </w:pPr>
      <w:bookmarkStart w:id="16" w:name="_Toc514941978"/>
      <w:bookmarkStart w:id="17" w:name="_Toc39839398"/>
      <w:r>
        <w:t>1.4.3.</w:t>
      </w:r>
      <w:r>
        <w:tab/>
      </w:r>
      <w:r>
        <w:rPr>
          <w:noProof/>
        </w:rPr>
        <w:t>Lessons learned from similar experiences in the past</w:t>
      </w:r>
      <w:bookmarkEnd w:id="16"/>
      <w:bookmarkEnd w:id="17"/>
    </w:p>
    <w:p>
      <w:pPr>
        <w:pStyle w:val="ManualHeading3"/>
        <w:rPr>
          <w:noProof/>
        </w:rPr>
      </w:pPr>
      <w:bookmarkStart w:id="18" w:name="_Toc514941979"/>
      <w:bookmarkStart w:id="19" w:name="_Toc39839399"/>
      <w:r>
        <w:t>1.4.4.</w:t>
      </w:r>
      <w:r>
        <w:tab/>
      </w:r>
      <w:r>
        <w:rPr>
          <w:noProof/>
        </w:rPr>
        <w:t>Compatibility and possible synergy with other appropriate instruments</w:t>
      </w:r>
      <w:bookmarkEnd w:id="18"/>
      <w:bookmarkEnd w:id="19"/>
    </w:p>
    <w:p>
      <w:pPr>
        <w:pBdr>
          <w:top w:val="single" w:sz="4" w:space="1" w:color="auto"/>
          <w:left w:val="single" w:sz="4" w:space="4" w:color="auto"/>
          <w:bottom w:val="single" w:sz="4" w:space="1" w:color="auto"/>
          <w:right w:val="single" w:sz="4" w:space="4" w:color="auto"/>
        </w:pBdr>
        <w:ind w:left="850"/>
        <w:rPr>
          <w:noProof/>
        </w:rPr>
      </w:pPr>
      <w:r>
        <w:rPr>
          <w:noProof/>
        </w:rPr>
        <w:t xml:space="preserve">The support provided through the Just Transition Fund is complemented by a dedicated just transition scheme under InvestEU. It will support a wider scope of investments, notably by contributing to the transition through providing support to low-carbon and climate-resilient activities, such as renewable investments and energy efficiency schemes. This scheme will also be able to deploy financing for energy and transport infrastructure, including gas infrastructure and district heating, but also decarbonisation projects, economic diversification of the regions and social infrastructure. </w:t>
      </w:r>
    </w:p>
    <w:p>
      <w:pPr>
        <w:pBdr>
          <w:top w:val="single" w:sz="4" w:space="1" w:color="auto"/>
          <w:left w:val="single" w:sz="4" w:space="4" w:color="auto"/>
          <w:bottom w:val="single" w:sz="4" w:space="1" w:color="auto"/>
          <w:right w:val="single" w:sz="4" w:space="4" w:color="auto"/>
        </w:pBdr>
        <w:ind w:left="850"/>
        <w:rPr>
          <w:noProof/>
        </w:rPr>
      </w:pPr>
      <w:r>
        <w:rPr>
          <w:noProof/>
        </w:rPr>
        <w:t>Additionally, a new public sector loan facility implemented with the EIB will provide support to combining grants from EU resources with loans provided by the EIB for public entities in view of benefitting the most negatively impacted territories identified in the territorial just transition plans.</w:t>
      </w:r>
    </w:p>
    <w:p>
      <w:pPr>
        <w:pBdr>
          <w:top w:val="single" w:sz="4" w:space="1" w:color="auto"/>
          <w:left w:val="single" w:sz="4" w:space="4" w:color="auto"/>
          <w:bottom w:val="single" w:sz="4" w:space="1" w:color="auto"/>
          <w:right w:val="single" w:sz="4" w:space="4" w:color="auto"/>
        </w:pBdr>
        <w:ind w:left="850"/>
        <w:rPr>
          <w:noProof/>
        </w:rPr>
      </w:pPr>
      <w:r>
        <w:rPr>
          <w:noProof/>
        </w:rPr>
        <w:t>Synergies and complementarities between the three pillars will be ensured through the territorial just transition plans, where development needs of the most impacted territories stemming from the climate transition will be identified.</w:t>
      </w:r>
    </w:p>
    <w:p>
      <w:pPr>
        <w:pBdr>
          <w:top w:val="single" w:sz="4" w:space="1" w:color="auto"/>
          <w:left w:val="single" w:sz="4" w:space="4" w:color="auto"/>
          <w:bottom w:val="single" w:sz="4" w:space="1" w:color="auto"/>
          <w:right w:val="single" w:sz="4" w:space="4" w:color="auto"/>
        </w:pBdr>
        <w:ind w:left="850"/>
        <w:rPr>
          <w:noProof/>
        </w:rPr>
      </w:pPr>
      <w:r>
        <w:rPr>
          <w:noProof/>
        </w:rPr>
        <w:t xml:space="preserve">The proposal is limited to targeted amendments necessary for the purposes of establishing rules making available the additional resources and governing their implementation. The proposal is consistent with the Common Provisions Regulation. The measures are consistent with the Commission’s proposal for a Recovery Fund. </w:t>
      </w:r>
    </w:p>
    <w:p>
      <w:pPr>
        <w:pBdr>
          <w:top w:val="single" w:sz="4" w:space="1" w:color="auto"/>
          <w:left w:val="single" w:sz="4" w:space="4" w:color="auto"/>
          <w:bottom w:val="single" w:sz="4" w:space="1" w:color="auto"/>
          <w:right w:val="single" w:sz="4" w:space="4" w:color="auto"/>
        </w:pBdr>
        <w:ind w:left="850"/>
        <w:rPr>
          <w:noProof/>
        </w:rPr>
      </w:pPr>
      <w:r>
        <w:rPr>
          <w:noProof/>
        </w:rPr>
        <w:t>The additional amounts will be distributed among Member States reflecting their capacity to finance the necessary investments to cope with the transition towards climate neutrality in accordance with the methodology set out in Annex I of the proposed Just Transition Fund Regulation. In order to preserve the capacity of Member States and regions to use their cohesion policy resources to support economic, social and territorial cohesion, the additional resources from the European Recovery Instrument will not require  transfers from national allocations under the European Regional Development Fund and the European Social Fund +.</w:t>
      </w:r>
    </w:p>
    <w:p>
      <w:pPr>
        <w:pStyle w:val="ManualHeading2"/>
        <w:rPr>
          <w:noProof/>
          <w:szCs w:val="24"/>
        </w:rPr>
      </w:pPr>
      <w:r>
        <w:rPr>
          <w:noProof/>
        </w:rPr>
        <w:br w:type="page"/>
      </w:r>
      <w:bookmarkStart w:id="20" w:name="_Toc514941980"/>
      <w:bookmarkStart w:id="21" w:name="_Toc39839400"/>
      <w:r>
        <w:t>1.5.</w:t>
      </w:r>
      <w:r>
        <w:tab/>
      </w:r>
      <w:r>
        <w:rPr>
          <w:noProof/>
        </w:rPr>
        <w:t>Duration and financial impact</w:t>
      </w:r>
      <w:bookmarkEnd w:id="20"/>
      <w:bookmarkEnd w:id="21"/>
      <w:r>
        <w:rPr>
          <w:noProof/>
        </w:rPr>
        <w:t xml:space="preserve"> </w:t>
      </w:r>
    </w:p>
    <w:p>
      <w:pPr>
        <w:ind w:left="850"/>
        <w:rPr>
          <w:noProof/>
        </w:rPr>
      </w:pPr>
      <w:r>
        <w:rPr>
          <w:noProof/>
        </w:rPr>
        <w:t>X</w:t>
      </w:r>
      <w:r>
        <w:rPr>
          <w:b/>
          <w:i/>
          <w:noProof/>
        </w:rPr>
        <w:t xml:space="preserve"> </w:t>
      </w:r>
      <w:r>
        <w:rPr>
          <w:b/>
          <w:noProof/>
        </w:rPr>
        <w:t xml:space="preserve">limited duration </w:t>
      </w:r>
    </w:p>
    <w:p>
      <w:pPr>
        <w:tabs>
          <w:tab w:val="num" w:pos="1134"/>
        </w:tabs>
        <w:ind w:left="1134" w:hanging="283"/>
        <w:rPr>
          <w:rFonts w:eastAsia="Times New Roman"/>
          <w:noProof/>
          <w:lang w:eastAsia="de-DE"/>
        </w:rPr>
      </w:pPr>
      <w:r>
        <w:rPr>
          <w:rFonts w:eastAsia="Times New Roman"/>
          <w:noProof/>
          <w:lang w:eastAsia="de-DE"/>
        </w:rPr>
        <w:sym w:font="Wingdings" w:char="F0A8"/>
      </w:r>
      <w:r>
        <w:rPr>
          <w:rFonts w:eastAsia="Times New Roman"/>
          <w:noProof/>
          <w:lang w:eastAsia="de-DE"/>
        </w:rPr>
        <w:tab/>
        <w:t xml:space="preserve">in effect from [DD/MM]YYYY to [DD/MM]YYYY </w:t>
      </w:r>
    </w:p>
    <w:p>
      <w:pPr>
        <w:tabs>
          <w:tab w:val="num" w:pos="1134"/>
        </w:tabs>
        <w:ind w:left="1134" w:hanging="283"/>
        <w:rPr>
          <w:rFonts w:eastAsia="Times New Roman"/>
          <w:noProof/>
          <w:lang w:eastAsia="de-DE"/>
        </w:rPr>
      </w:pPr>
      <w:r>
        <w:rPr>
          <w:rFonts w:eastAsia="Times New Roman"/>
          <w:noProof/>
          <w:lang w:eastAsia="de-DE"/>
        </w:rPr>
        <w:t>X</w:t>
      </w:r>
      <w:r>
        <w:rPr>
          <w:rFonts w:eastAsia="Times New Roman"/>
          <w:noProof/>
          <w:lang w:eastAsia="de-DE"/>
        </w:rPr>
        <w:tab/>
        <w:t xml:space="preserve">Financial impact from 2021 to 2027 for commitment appropriations and from 2021 to 2027 for payment appropriations. </w:t>
      </w:r>
    </w:p>
    <w:p>
      <w:pPr>
        <w:ind w:left="850"/>
        <w:rPr>
          <w:noProof/>
        </w:rPr>
      </w:pPr>
      <w:r>
        <w:rPr>
          <w:noProof/>
        </w:rPr>
        <w:sym w:font="Wingdings" w:char="F0A8"/>
      </w:r>
      <w:r>
        <w:rPr>
          <w:b/>
          <w:i/>
          <w:noProof/>
        </w:rPr>
        <w:t xml:space="preserve"> </w:t>
      </w:r>
      <w:r>
        <w:rPr>
          <w:b/>
          <w:noProof/>
        </w:rPr>
        <w:t>unlimited duration</w:t>
      </w:r>
    </w:p>
    <w:p>
      <w:pPr>
        <w:tabs>
          <w:tab w:val="num" w:pos="1134"/>
        </w:tabs>
        <w:ind w:left="1134" w:hanging="283"/>
        <w:rPr>
          <w:rFonts w:eastAsia="Times New Roman"/>
          <w:noProof/>
          <w:lang w:eastAsia="de-DE"/>
        </w:rPr>
      </w:pPr>
      <w:r>
        <w:rPr>
          <w:rFonts w:eastAsia="Times New Roman"/>
          <w:noProof/>
          <w:lang w:eastAsia="de-DE"/>
        </w:rPr>
        <w:t>Implementation with a start-up period from 2021 onwards,</w:t>
      </w:r>
    </w:p>
    <w:p>
      <w:pPr>
        <w:tabs>
          <w:tab w:val="num" w:pos="1134"/>
        </w:tabs>
        <w:ind w:left="1134" w:hanging="283"/>
        <w:rPr>
          <w:rFonts w:eastAsia="Times New Roman"/>
          <w:noProof/>
          <w:lang w:eastAsia="de-DE"/>
        </w:rPr>
      </w:pPr>
      <w:r>
        <w:rPr>
          <w:rFonts w:eastAsia="Times New Roman"/>
          <w:noProof/>
          <w:lang w:eastAsia="de-DE"/>
        </w:rPr>
        <w:t>followed by full-scale operation.</w:t>
      </w:r>
    </w:p>
    <w:p>
      <w:pPr>
        <w:pStyle w:val="ManualHeading2"/>
        <w:rPr>
          <w:noProof/>
          <w:szCs w:val="24"/>
        </w:rPr>
      </w:pPr>
      <w:bookmarkStart w:id="22" w:name="_Toc514941981"/>
      <w:bookmarkStart w:id="23" w:name="_Toc39839401"/>
      <w:r>
        <w:t>1.6.</w:t>
      </w:r>
      <w:r>
        <w:tab/>
      </w:r>
      <w:r>
        <w:rPr>
          <w:noProof/>
        </w:rPr>
        <w:t>Management mode(s) planned</w:t>
      </w:r>
      <w:bookmarkEnd w:id="22"/>
      <w:bookmarkEnd w:id="23"/>
      <w:r>
        <w:rPr>
          <w:rStyle w:val="FootnoteReference"/>
          <w:noProof/>
        </w:rPr>
        <w:footnoteReference w:id="8"/>
      </w:r>
      <w:r>
        <w:rPr>
          <w:noProof/>
          <w:vertAlign w:val="superscript"/>
        </w:rPr>
        <w:t xml:space="preserve"> </w:t>
      </w:r>
    </w:p>
    <w:p>
      <w:pPr>
        <w:ind w:left="850"/>
        <w:rPr>
          <w:noProof/>
        </w:rPr>
      </w:pPr>
      <w:r>
        <w:rPr>
          <w:noProof/>
        </w:rPr>
        <w:t>X</w:t>
      </w:r>
      <w:r>
        <w:rPr>
          <w:i/>
          <w:noProof/>
        </w:rPr>
        <w:t xml:space="preserve"> </w:t>
      </w:r>
      <w:r>
        <w:rPr>
          <w:b/>
          <w:noProof/>
        </w:rPr>
        <w:t>Direct management</w:t>
      </w:r>
      <w:r>
        <w:rPr>
          <w:noProof/>
        </w:rPr>
        <w:t xml:space="preserve"> by the Commission (for 0.35% of the allocation related to technical assistance)</w:t>
      </w:r>
    </w:p>
    <w:p>
      <w:pPr>
        <w:tabs>
          <w:tab w:val="num" w:pos="1134"/>
        </w:tabs>
        <w:ind w:left="1134" w:hanging="283"/>
        <w:rPr>
          <w:rFonts w:eastAsia="Times New Roman" w:cs="EUAlbertina"/>
          <w:noProof/>
          <w:lang w:eastAsia="de-DE"/>
        </w:rPr>
      </w:pPr>
      <w:r>
        <w:rPr>
          <w:rFonts w:eastAsia="Times New Roman"/>
          <w:noProof/>
          <w:lang w:eastAsia="de-DE"/>
        </w:rPr>
        <w:t xml:space="preserve">X by its departments, including by its staff in the Union delegations; </w:t>
      </w:r>
    </w:p>
    <w:p>
      <w:pPr>
        <w:tabs>
          <w:tab w:val="num" w:pos="1134"/>
        </w:tabs>
        <w:ind w:left="1134" w:hanging="283"/>
        <w:rPr>
          <w:rFonts w:eastAsia="Times New Roman"/>
          <w:noProof/>
          <w:lang w:eastAsia="de-DE"/>
        </w:rPr>
      </w:pPr>
      <w:r>
        <w:rPr>
          <w:rFonts w:eastAsia="Times New Roman"/>
          <w:noProof/>
          <w:lang w:eastAsia="de-DE"/>
        </w:rPr>
        <w:sym w:font="Wingdings" w:char="F0A8"/>
      </w:r>
      <w:r>
        <w:rPr>
          <w:rFonts w:eastAsia="Times New Roman"/>
          <w:noProof/>
          <w:lang w:eastAsia="de-DE"/>
        </w:rPr>
        <w:tab/>
        <w:t xml:space="preserve">by the executive agencies </w:t>
      </w:r>
    </w:p>
    <w:p>
      <w:pPr>
        <w:ind w:left="850"/>
        <w:rPr>
          <w:noProof/>
        </w:rPr>
      </w:pPr>
      <w:r>
        <w:rPr>
          <w:noProof/>
        </w:rPr>
        <w:t>X</w:t>
      </w:r>
      <w:r>
        <w:rPr>
          <w:b/>
          <w:i/>
          <w:noProof/>
        </w:rPr>
        <w:t xml:space="preserve"> </w:t>
      </w:r>
      <w:r>
        <w:rPr>
          <w:b/>
          <w:noProof/>
        </w:rPr>
        <w:t>Shared management</w:t>
      </w:r>
      <w:r>
        <w:rPr>
          <w:noProof/>
        </w:rPr>
        <w:t xml:space="preserve"> with the Member States </w:t>
      </w:r>
    </w:p>
    <w:p>
      <w:pPr>
        <w:ind w:left="850"/>
        <w:rPr>
          <w:noProof/>
        </w:rPr>
      </w:pPr>
      <w:r>
        <w:rPr>
          <w:noProof/>
        </w:rPr>
        <w:sym w:font="Wingdings" w:char="F0A8"/>
      </w:r>
      <w:r>
        <w:rPr>
          <w:i/>
          <w:noProof/>
        </w:rPr>
        <w:t xml:space="preserve"> </w:t>
      </w:r>
      <w:r>
        <w:rPr>
          <w:b/>
          <w:noProof/>
        </w:rPr>
        <w:t>Indirect management</w:t>
      </w:r>
      <w:r>
        <w:rPr>
          <w:noProof/>
        </w:rPr>
        <w:t xml:space="preserve"> by entrusting budget implementation tasks to:</w:t>
      </w:r>
    </w:p>
    <w:p>
      <w:pPr>
        <w:tabs>
          <w:tab w:val="num" w:pos="1134"/>
        </w:tabs>
        <w:ind w:left="1134" w:hanging="283"/>
        <w:rPr>
          <w:rFonts w:eastAsia="Times New Roman"/>
          <w:noProof/>
          <w:lang w:eastAsia="de-DE"/>
        </w:rPr>
      </w:pPr>
      <w:r>
        <w:rPr>
          <w:rFonts w:eastAsia="Times New Roman"/>
          <w:noProof/>
          <w:lang w:eastAsia="de-DE"/>
        </w:rPr>
        <w:sym w:font="Wingdings" w:char="F0A8"/>
      </w:r>
      <w:r>
        <w:rPr>
          <w:rFonts w:eastAsia="Times New Roman"/>
          <w:noProof/>
          <w:lang w:eastAsia="de-DE"/>
        </w:rPr>
        <w:t xml:space="preserve"> third countries or the bodies they have designated;</w:t>
      </w:r>
    </w:p>
    <w:p>
      <w:pPr>
        <w:tabs>
          <w:tab w:val="num" w:pos="1134"/>
        </w:tabs>
        <w:ind w:left="1134" w:hanging="283"/>
        <w:rPr>
          <w:rFonts w:eastAsia="Times New Roman"/>
          <w:noProof/>
          <w:lang w:eastAsia="de-DE"/>
        </w:rPr>
      </w:pPr>
      <w:r>
        <w:rPr>
          <w:rFonts w:eastAsia="Times New Roman"/>
          <w:noProof/>
          <w:lang w:eastAsia="de-DE"/>
        </w:rPr>
        <w:sym w:font="Wingdings" w:char="F0A8"/>
      </w:r>
      <w:r>
        <w:rPr>
          <w:rFonts w:eastAsia="Times New Roman"/>
          <w:noProof/>
          <w:lang w:eastAsia="de-DE"/>
        </w:rPr>
        <w:t xml:space="preserve"> international organisations and their agencies (to be specified);</w:t>
      </w:r>
    </w:p>
    <w:p>
      <w:pPr>
        <w:tabs>
          <w:tab w:val="num" w:pos="1134"/>
        </w:tabs>
        <w:ind w:left="1134" w:hanging="283"/>
        <w:rPr>
          <w:rFonts w:eastAsia="Times New Roman"/>
          <w:noProof/>
          <w:lang w:eastAsia="de-DE"/>
        </w:rPr>
      </w:pPr>
      <w:r>
        <w:rPr>
          <w:rFonts w:eastAsia="Times New Roman"/>
          <w:noProof/>
          <w:lang w:eastAsia="de-DE"/>
        </w:rPr>
        <w:sym w:font="Wingdings" w:char="F0A8"/>
      </w:r>
      <w:r>
        <w:rPr>
          <w:rFonts w:eastAsia="Times New Roman"/>
          <w:noProof/>
          <w:lang w:eastAsia="de-DE"/>
        </w:rPr>
        <w:t xml:space="preserve"> the EIB and the European Investment Fund;</w:t>
      </w:r>
    </w:p>
    <w:p>
      <w:pPr>
        <w:tabs>
          <w:tab w:val="num" w:pos="1134"/>
        </w:tabs>
        <w:ind w:left="1134" w:hanging="283"/>
        <w:rPr>
          <w:rFonts w:eastAsia="Times New Roman"/>
          <w:noProof/>
          <w:lang w:eastAsia="de-DE"/>
        </w:rPr>
      </w:pPr>
      <w:r>
        <w:rPr>
          <w:rFonts w:eastAsia="Times New Roman"/>
          <w:noProof/>
          <w:lang w:eastAsia="de-DE"/>
        </w:rPr>
        <w:sym w:font="Wingdings" w:char="F0A8"/>
      </w:r>
      <w:r>
        <w:rPr>
          <w:rFonts w:eastAsia="Times New Roman"/>
          <w:noProof/>
          <w:lang w:eastAsia="de-DE"/>
        </w:rPr>
        <w:t xml:space="preserve"> bodies referred to in Articles 70 and 71 of the Financial Regulation;</w:t>
      </w:r>
    </w:p>
    <w:p>
      <w:pPr>
        <w:tabs>
          <w:tab w:val="num" w:pos="1134"/>
        </w:tabs>
        <w:ind w:left="1134" w:hanging="283"/>
        <w:rPr>
          <w:rFonts w:eastAsia="Times New Roman"/>
          <w:noProof/>
          <w:lang w:eastAsia="de-DE"/>
        </w:rPr>
      </w:pPr>
      <w:r>
        <w:rPr>
          <w:rFonts w:eastAsia="Times New Roman"/>
          <w:noProof/>
          <w:lang w:eastAsia="de-DE"/>
        </w:rPr>
        <w:sym w:font="Wingdings" w:char="F0A8"/>
      </w:r>
      <w:r>
        <w:rPr>
          <w:rFonts w:eastAsia="Times New Roman"/>
          <w:noProof/>
          <w:lang w:eastAsia="de-DE"/>
        </w:rPr>
        <w:t xml:space="preserve"> public law bodies;</w:t>
      </w:r>
    </w:p>
    <w:p>
      <w:pPr>
        <w:tabs>
          <w:tab w:val="num" w:pos="1134"/>
        </w:tabs>
        <w:ind w:left="1134" w:hanging="283"/>
        <w:rPr>
          <w:rFonts w:eastAsia="Times New Roman"/>
          <w:noProof/>
          <w:lang w:eastAsia="de-DE"/>
        </w:rPr>
      </w:pPr>
      <w:r>
        <w:rPr>
          <w:rFonts w:eastAsia="Times New Roman"/>
          <w:noProof/>
          <w:lang w:eastAsia="de-DE"/>
        </w:rPr>
        <w:sym w:font="Wingdings" w:char="F0A8"/>
      </w:r>
      <w:r>
        <w:rPr>
          <w:rFonts w:eastAsia="Times New Roman"/>
          <w:noProof/>
          <w:lang w:eastAsia="de-DE"/>
        </w:rPr>
        <w:t xml:space="preserve"> bodies governed by private law with a public service mission to the extent that they provide adequate financial guarantees;</w:t>
      </w:r>
    </w:p>
    <w:p>
      <w:pPr>
        <w:tabs>
          <w:tab w:val="num" w:pos="1134"/>
        </w:tabs>
        <w:ind w:left="1134" w:hanging="283"/>
        <w:rPr>
          <w:rFonts w:eastAsia="Times New Roman"/>
          <w:noProof/>
          <w:lang w:eastAsia="de-DE"/>
        </w:rPr>
      </w:pPr>
      <w:r>
        <w:rPr>
          <w:rFonts w:eastAsia="Times New Roman"/>
          <w:noProof/>
          <w:lang w:eastAsia="de-DE"/>
        </w:rPr>
        <w:sym w:font="Wingdings" w:char="F0A8"/>
      </w:r>
      <w:r>
        <w:rPr>
          <w:rFonts w:eastAsia="Times New Roman"/>
          <w:noProof/>
          <w:lang w:eastAsia="de-DE"/>
        </w:rPr>
        <w:t xml:space="preserve"> bodies governed by the private law of a Member State that are entrusted with the implementation of a public-private partnership and that provide adequate financial guarantees;</w:t>
      </w:r>
    </w:p>
    <w:p>
      <w:pPr>
        <w:tabs>
          <w:tab w:val="num" w:pos="1134"/>
        </w:tabs>
        <w:ind w:left="1134" w:hanging="283"/>
        <w:rPr>
          <w:noProof/>
        </w:rPr>
      </w:pPr>
      <w:r>
        <w:rPr>
          <w:rFonts w:eastAsia="Times New Roman"/>
          <w:noProof/>
          <w:lang w:eastAsia="de-DE"/>
        </w:rPr>
        <w:sym w:font="Wingdings" w:char="F0A8"/>
      </w:r>
      <w:r>
        <w:rPr>
          <w:rFonts w:eastAsia="Times New Roman"/>
          <w:noProof/>
          <w:lang w:eastAsia="de-DE"/>
        </w:rPr>
        <w:t xml:space="preserve"> persons entrusted with the implementation of specific actions in the CFSP pursuant to Title V of the TEU, and identified in the relevant basic act.</w:t>
      </w:r>
    </w:p>
    <w:p>
      <w:pPr>
        <w:rPr>
          <w:noProof/>
        </w:rPr>
        <w:sectPr>
          <w:pgSz w:w="11907" w:h="16840" w:code="9"/>
          <w:pgMar w:top="1134" w:right="1418" w:bottom="1134" w:left="1418" w:header="709" w:footer="709" w:gutter="0"/>
          <w:cols w:space="708"/>
          <w:docGrid w:linePitch="360"/>
        </w:sectPr>
      </w:pPr>
    </w:p>
    <w:p>
      <w:pPr>
        <w:pStyle w:val="ManualHeading1"/>
        <w:rPr>
          <w:noProof/>
          <w:szCs w:val="24"/>
        </w:rPr>
      </w:pPr>
      <w:bookmarkStart w:id="24" w:name="_Toc514941982"/>
      <w:bookmarkStart w:id="25" w:name="_Toc39837055"/>
      <w:bookmarkStart w:id="26" w:name="_Toc39839402"/>
      <w:r>
        <w:t>2.</w:t>
      </w:r>
      <w:r>
        <w:tab/>
      </w:r>
      <w:r>
        <w:rPr>
          <w:noProof/>
        </w:rPr>
        <w:t>MANAGEMENT MEASURES</w:t>
      </w:r>
      <w:bookmarkEnd w:id="24"/>
      <w:bookmarkEnd w:id="25"/>
      <w:bookmarkEnd w:id="26"/>
      <w:r>
        <w:rPr>
          <w:noProof/>
        </w:rPr>
        <w:t xml:space="preserve"> </w:t>
      </w:r>
    </w:p>
    <w:p>
      <w:pPr>
        <w:pStyle w:val="ManualHeading2"/>
        <w:rPr>
          <w:noProof/>
        </w:rPr>
      </w:pPr>
      <w:bookmarkStart w:id="27" w:name="_Toc514941983"/>
      <w:bookmarkStart w:id="28" w:name="_Toc39837056"/>
      <w:bookmarkStart w:id="29" w:name="_Toc39839403"/>
      <w:r>
        <w:t>2.1.</w:t>
      </w:r>
      <w:r>
        <w:tab/>
      </w:r>
      <w:r>
        <w:rPr>
          <w:noProof/>
        </w:rPr>
        <w:t>Monitoring and reporting rules</w:t>
      </w:r>
      <w:bookmarkEnd w:id="27"/>
      <w:bookmarkEnd w:id="28"/>
      <w:bookmarkEnd w:id="29"/>
      <w:r>
        <w:rPr>
          <w:noProof/>
        </w:rPr>
        <w:t xml:space="preserve"> </w:t>
      </w:r>
    </w:p>
    <w:p>
      <w:pPr>
        <w:ind w:left="850"/>
        <w:rPr>
          <w:i/>
          <w:noProof/>
          <w:sz w:val="20"/>
        </w:rPr>
      </w:pPr>
      <w:r>
        <w:rPr>
          <w:i/>
          <w:noProof/>
          <w:sz w:val="20"/>
        </w:rPr>
        <w:t>Specify frequency and conditions.</w:t>
      </w:r>
    </w:p>
    <w:p>
      <w:pPr>
        <w:pBdr>
          <w:top w:val="single" w:sz="4" w:space="1" w:color="auto"/>
          <w:left w:val="single" w:sz="4" w:space="4" w:color="auto"/>
          <w:bottom w:val="single" w:sz="4" w:space="1" w:color="auto"/>
          <w:right w:val="single" w:sz="4" w:space="4" w:color="auto"/>
        </w:pBdr>
        <w:ind w:left="850"/>
        <w:rPr>
          <w:noProof/>
        </w:rPr>
      </w:pPr>
      <w:r>
        <w:rPr>
          <w:noProof/>
        </w:rPr>
        <w:t>The proposal is a limited to and targeted at setting out the necessary rules to be followed to make the additional resources available.  Those rules do not go beyond what is necessary to make additional resources available and sets out the rules applicable for the implementation of those resources.</w:t>
      </w:r>
    </w:p>
    <w:p>
      <w:pPr>
        <w:pStyle w:val="ManualHeading2"/>
        <w:rPr>
          <w:noProof/>
          <w:szCs w:val="24"/>
        </w:rPr>
      </w:pPr>
      <w:bookmarkStart w:id="30" w:name="_Toc514941984"/>
      <w:bookmarkStart w:id="31" w:name="_Toc39837057"/>
      <w:bookmarkStart w:id="32" w:name="_Toc39839404"/>
      <w:r>
        <w:t>2.2.</w:t>
      </w:r>
      <w:r>
        <w:tab/>
      </w:r>
      <w:r>
        <w:rPr>
          <w:noProof/>
        </w:rPr>
        <w:t>Management and control system(s)</w:t>
      </w:r>
      <w:bookmarkEnd w:id="30"/>
      <w:bookmarkEnd w:id="31"/>
      <w:bookmarkEnd w:id="32"/>
      <w:r>
        <w:rPr>
          <w:noProof/>
        </w:rPr>
        <w:t xml:space="preserve"> </w:t>
      </w:r>
    </w:p>
    <w:p>
      <w:pPr>
        <w:pBdr>
          <w:top w:val="single" w:sz="4" w:space="1" w:color="auto"/>
          <w:left w:val="single" w:sz="4" w:space="4" w:color="auto"/>
          <w:bottom w:val="single" w:sz="4" w:space="1" w:color="auto"/>
          <w:right w:val="single" w:sz="4" w:space="4" w:color="auto"/>
        </w:pBdr>
        <w:ind w:left="850"/>
        <w:rPr>
          <w:noProof/>
        </w:rPr>
      </w:pPr>
      <w:r>
        <w:rPr>
          <w:noProof/>
        </w:rPr>
        <w:t xml:space="preserve">The proposal is limited to and targeted at setting out the necessary rules to be followed to make the additional resources available.  Those rules do not go beyond what is necessary to make additional resources available and sets out the rules applicable for the implementation of those resources. </w:t>
      </w:r>
    </w:p>
    <w:p>
      <w:pPr>
        <w:pStyle w:val="ManualHeading2"/>
        <w:rPr>
          <w:noProof/>
          <w:szCs w:val="24"/>
        </w:rPr>
      </w:pPr>
      <w:bookmarkStart w:id="33" w:name="_Toc514941988"/>
      <w:bookmarkStart w:id="34" w:name="_Toc39837061"/>
      <w:bookmarkStart w:id="35" w:name="_Toc39839408"/>
      <w:r>
        <w:t>2.3.</w:t>
      </w:r>
      <w:r>
        <w:tab/>
      </w:r>
      <w:r>
        <w:rPr>
          <w:noProof/>
        </w:rPr>
        <w:t>Measures to prevent fraud and irregularities</w:t>
      </w:r>
      <w:bookmarkEnd w:id="33"/>
      <w:bookmarkEnd w:id="34"/>
      <w:bookmarkEnd w:id="35"/>
      <w:r>
        <w:rPr>
          <w:noProof/>
        </w:rPr>
        <w:t xml:space="preserve"> </w:t>
      </w:r>
    </w:p>
    <w:p>
      <w:pPr>
        <w:ind w:left="850"/>
        <w:rPr>
          <w:i/>
          <w:noProof/>
          <w:sz w:val="20"/>
        </w:rPr>
      </w:pPr>
      <w:r>
        <w:rPr>
          <w:i/>
          <w:noProof/>
          <w:sz w:val="20"/>
        </w:rPr>
        <w:t>Specify existing or envisaged prevention and protection measures, e.g. from the Anti-Fraud Strategy.</w:t>
      </w:r>
    </w:p>
    <w:p>
      <w:pPr>
        <w:pBdr>
          <w:top w:val="single" w:sz="4" w:space="1" w:color="auto"/>
          <w:left w:val="single" w:sz="4" w:space="4" w:color="auto"/>
          <w:bottom w:val="single" w:sz="4" w:space="1" w:color="auto"/>
          <w:right w:val="single" w:sz="4" w:space="4" w:color="auto"/>
        </w:pBdr>
        <w:ind w:left="850"/>
        <w:rPr>
          <w:noProof/>
        </w:rPr>
      </w:pPr>
      <w:r>
        <w:rPr>
          <w:noProof/>
        </w:rPr>
        <w:t>The proposal is limited to and targeted at setting out the necessary rules to be followed to make the additional resources available.  Those rules do not go beyond what is necessary to make additional resources available and sets out the rules applicable for the implementation of those resources.</w:t>
      </w:r>
    </w:p>
    <w:p>
      <w:pPr>
        <w:pStyle w:val="ManualHeading1"/>
        <w:rPr>
          <w:noProof/>
          <w:szCs w:val="24"/>
        </w:rPr>
      </w:pPr>
      <w:bookmarkStart w:id="36" w:name="_Toc514941989"/>
      <w:bookmarkStart w:id="37" w:name="_Toc39839409"/>
      <w:r>
        <w:t>3.</w:t>
      </w:r>
      <w:r>
        <w:tab/>
      </w:r>
      <w:r>
        <w:rPr>
          <w:noProof/>
        </w:rPr>
        <w:t>ESTIMATED FINANCIAL IMPACT OF THE PROPOSAL/INITIATIVE</w:t>
      </w:r>
      <w:bookmarkEnd w:id="36"/>
      <w:bookmarkEnd w:id="37"/>
      <w:r>
        <w:rPr>
          <w:noProof/>
        </w:rPr>
        <w:t xml:space="preserve"> </w:t>
      </w:r>
    </w:p>
    <w:p>
      <w:pPr>
        <w:pStyle w:val="ManualHeading2"/>
        <w:rPr>
          <w:noProof/>
        </w:rPr>
      </w:pPr>
      <w:bookmarkStart w:id="38" w:name="_Toc514941990"/>
      <w:bookmarkStart w:id="39" w:name="_Toc39839410"/>
      <w:r>
        <w:t>3.1.</w:t>
      </w:r>
      <w:r>
        <w:tab/>
      </w:r>
      <w:r>
        <w:rPr>
          <w:noProof/>
        </w:rPr>
        <w:t>Heading of the multiannual financial framework and new expenditure budget line(s) proposed</w:t>
      </w:r>
      <w:bookmarkEnd w:id="38"/>
      <w:bookmarkEnd w:id="39"/>
      <w:r>
        <w:rPr>
          <w:noProof/>
        </w:rPr>
        <w:t xml:space="preserve"> </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1044"/>
        <w:gridCol w:w="1134"/>
        <w:gridCol w:w="814"/>
        <w:gridCol w:w="1448"/>
      </w:tblGrid>
      <w:tr>
        <w:tc>
          <w:tcPr>
            <w:tcW w:w="1080" w:type="dxa"/>
            <w:vMerge w:val="restart"/>
            <w:vAlign w:val="center"/>
          </w:tcPr>
          <w:p>
            <w:pPr>
              <w:spacing w:before="60" w:after="60"/>
              <w:jc w:val="center"/>
              <w:rPr>
                <w:noProof/>
              </w:rPr>
            </w:pPr>
            <w:r>
              <w:rPr>
                <w:noProof/>
                <w:sz w:val="18"/>
              </w:rPr>
              <w:t>Heading of multiannual financial framework</w:t>
            </w:r>
          </w:p>
        </w:tc>
        <w:tc>
          <w:tcPr>
            <w:tcW w:w="3960" w:type="dxa"/>
            <w:vAlign w:val="center"/>
          </w:tcPr>
          <w:p>
            <w:pPr>
              <w:spacing w:before="60" w:after="60"/>
              <w:jc w:val="center"/>
              <w:rPr>
                <w:noProof/>
              </w:rPr>
            </w:pPr>
            <w:r>
              <w:rPr>
                <w:noProof/>
                <w:sz w:val="20"/>
              </w:rPr>
              <w:t>Budget line</w:t>
            </w:r>
          </w:p>
        </w:tc>
        <w:tc>
          <w:tcPr>
            <w:tcW w:w="1080" w:type="dxa"/>
            <w:vAlign w:val="center"/>
          </w:tcPr>
          <w:p>
            <w:pPr>
              <w:spacing w:before="60" w:after="60"/>
              <w:jc w:val="center"/>
              <w:rPr>
                <w:noProof/>
              </w:rPr>
            </w:pPr>
            <w:r>
              <w:rPr>
                <w:noProof/>
                <w:sz w:val="18"/>
              </w:rPr>
              <w:t xml:space="preserve">Type of </w:t>
            </w:r>
            <w:r>
              <w:rPr>
                <w:noProof/>
                <w:sz w:val="22"/>
              </w:rPr>
              <w:br/>
            </w:r>
            <w:r>
              <w:rPr>
                <w:noProof/>
                <w:sz w:val="18"/>
              </w:rPr>
              <w:t>expenditure</w:t>
            </w:r>
          </w:p>
        </w:tc>
        <w:tc>
          <w:tcPr>
            <w:tcW w:w="4440" w:type="dxa"/>
            <w:gridSpan w:val="4"/>
            <w:vAlign w:val="center"/>
          </w:tcPr>
          <w:p>
            <w:pPr>
              <w:spacing w:before="60" w:after="60"/>
              <w:jc w:val="center"/>
              <w:rPr>
                <w:noProof/>
              </w:rPr>
            </w:pPr>
            <w:r>
              <w:rPr>
                <w:noProof/>
                <w:sz w:val="20"/>
              </w:rPr>
              <w:t xml:space="preserve">Contribution </w:t>
            </w:r>
          </w:p>
        </w:tc>
      </w:tr>
      <w:tr>
        <w:tc>
          <w:tcPr>
            <w:tcW w:w="1080" w:type="dxa"/>
            <w:vMerge/>
            <w:vAlign w:val="center"/>
          </w:tcPr>
          <w:p>
            <w:pPr>
              <w:jc w:val="center"/>
              <w:rPr>
                <w:noProof/>
              </w:rPr>
            </w:pPr>
          </w:p>
        </w:tc>
        <w:tc>
          <w:tcPr>
            <w:tcW w:w="3960" w:type="dxa"/>
            <w:vAlign w:val="center"/>
          </w:tcPr>
          <w:p>
            <w:pPr>
              <w:rPr>
                <w:noProof/>
              </w:rPr>
            </w:pPr>
          </w:p>
        </w:tc>
        <w:tc>
          <w:tcPr>
            <w:tcW w:w="1080" w:type="dxa"/>
            <w:vAlign w:val="center"/>
          </w:tcPr>
          <w:p>
            <w:pPr>
              <w:jc w:val="center"/>
              <w:rPr>
                <w:noProof/>
              </w:rPr>
            </w:pPr>
            <w:r>
              <w:rPr>
                <w:noProof/>
                <w:sz w:val="18"/>
              </w:rPr>
              <w:t>Diff./Non-diff.</w:t>
            </w:r>
            <w:r>
              <w:rPr>
                <w:rStyle w:val="FootnoteReference"/>
                <w:noProof/>
                <w:sz w:val="18"/>
              </w:rPr>
              <w:footnoteReference w:id="9"/>
            </w:r>
            <w:r>
              <w:rPr>
                <w:rStyle w:val="CommentReference"/>
                <w:rFonts w:eastAsia="Times New Roman"/>
                <w:noProof/>
              </w:rPr>
              <w:t xml:space="preserve"> </w:t>
            </w:r>
          </w:p>
        </w:tc>
        <w:tc>
          <w:tcPr>
            <w:tcW w:w="1044" w:type="dxa"/>
            <w:vAlign w:val="center"/>
          </w:tcPr>
          <w:p>
            <w:pPr>
              <w:jc w:val="center"/>
              <w:rPr>
                <w:noProof/>
              </w:rPr>
            </w:pPr>
            <w:r>
              <w:rPr>
                <w:noProof/>
                <w:sz w:val="18"/>
              </w:rPr>
              <w:t>from EFTA countries</w:t>
            </w:r>
            <w:r>
              <w:rPr>
                <w:rStyle w:val="FootnoteReference"/>
                <w:noProof/>
                <w:sz w:val="18"/>
              </w:rPr>
              <w:footnoteReference w:id="10"/>
            </w:r>
          </w:p>
          <w:p>
            <w:pPr>
              <w:spacing w:before="0" w:after="0"/>
              <w:jc w:val="center"/>
              <w:rPr>
                <w:b/>
                <w:noProof/>
                <w:sz w:val="18"/>
              </w:rPr>
            </w:pPr>
          </w:p>
        </w:tc>
        <w:tc>
          <w:tcPr>
            <w:tcW w:w="1134" w:type="dxa"/>
            <w:vAlign w:val="center"/>
          </w:tcPr>
          <w:p>
            <w:pPr>
              <w:jc w:val="center"/>
              <w:rPr>
                <w:noProof/>
              </w:rPr>
            </w:pPr>
            <w:r>
              <w:rPr>
                <w:noProof/>
                <w:sz w:val="18"/>
              </w:rPr>
              <w:t>from candidate countries</w:t>
            </w:r>
            <w:r>
              <w:rPr>
                <w:rStyle w:val="FootnoteReference"/>
                <w:noProof/>
                <w:sz w:val="18"/>
              </w:rPr>
              <w:footnoteReference w:id="11"/>
            </w:r>
          </w:p>
          <w:p>
            <w:pPr>
              <w:spacing w:before="0" w:after="0"/>
              <w:jc w:val="center"/>
              <w:rPr>
                <w:noProof/>
                <w:sz w:val="18"/>
              </w:rPr>
            </w:pPr>
          </w:p>
        </w:tc>
        <w:tc>
          <w:tcPr>
            <w:tcW w:w="814" w:type="dxa"/>
            <w:vAlign w:val="center"/>
          </w:tcPr>
          <w:p>
            <w:pPr>
              <w:jc w:val="center"/>
              <w:rPr>
                <w:noProof/>
                <w:sz w:val="18"/>
              </w:rPr>
            </w:pPr>
            <w:r>
              <w:rPr>
                <w:noProof/>
                <w:sz w:val="18"/>
              </w:rPr>
              <w:t>from third countries</w:t>
            </w:r>
          </w:p>
        </w:tc>
        <w:tc>
          <w:tcPr>
            <w:tcW w:w="1448" w:type="dxa"/>
            <w:vAlign w:val="center"/>
          </w:tcPr>
          <w:p>
            <w:pPr>
              <w:jc w:val="center"/>
              <w:rPr>
                <w:noProof/>
              </w:rPr>
            </w:pPr>
            <w:r>
              <w:rPr>
                <w:noProof/>
                <w:sz w:val="16"/>
              </w:rPr>
              <w:t xml:space="preserve">within the meaning of Article [21(2)(b)] of the Financial Regulation </w:t>
            </w:r>
          </w:p>
        </w:tc>
      </w:tr>
      <w:tr>
        <w:tc>
          <w:tcPr>
            <w:tcW w:w="1080" w:type="dxa"/>
            <w:vAlign w:val="center"/>
          </w:tcPr>
          <w:p>
            <w:pPr>
              <w:jc w:val="center"/>
              <w:rPr>
                <w:noProof/>
              </w:rPr>
            </w:pPr>
            <w:r>
              <w:rPr>
                <w:noProof/>
              </w:rPr>
              <w:t>3</w:t>
            </w:r>
          </w:p>
        </w:tc>
        <w:tc>
          <w:tcPr>
            <w:tcW w:w="3960" w:type="dxa"/>
            <w:vAlign w:val="center"/>
          </w:tcPr>
          <w:p>
            <w:pPr>
              <w:spacing w:after="60"/>
              <w:rPr>
                <w:noProof/>
              </w:rPr>
            </w:pPr>
            <w:r>
              <w:rPr>
                <w:noProof/>
                <w:sz w:val="22"/>
              </w:rPr>
              <w:t>09 01 02 Support expenditure for the "Just Transition Fund (JTF)"</w:t>
            </w:r>
          </w:p>
        </w:tc>
        <w:tc>
          <w:tcPr>
            <w:tcW w:w="1080" w:type="dxa"/>
            <w:vAlign w:val="center"/>
          </w:tcPr>
          <w:p>
            <w:pPr>
              <w:jc w:val="center"/>
              <w:rPr>
                <w:noProof/>
                <w:color w:val="0000FF"/>
              </w:rPr>
            </w:pPr>
            <w:r>
              <w:rPr>
                <w:noProof/>
                <w:sz w:val="22"/>
              </w:rPr>
              <w:t>Non-diff.</w:t>
            </w:r>
          </w:p>
        </w:tc>
        <w:tc>
          <w:tcPr>
            <w:tcW w:w="1044" w:type="dxa"/>
            <w:vAlign w:val="center"/>
          </w:tcPr>
          <w:p>
            <w:pPr>
              <w:jc w:val="center"/>
              <w:rPr>
                <w:noProof/>
              </w:rPr>
            </w:pPr>
            <w:r>
              <w:rPr>
                <w:noProof/>
                <w:sz w:val="22"/>
              </w:rPr>
              <w:t>NO</w:t>
            </w:r>
          </w:p>
        </w:tc>
        <w:tc>
          <w:tcPr>
            <w:tcW w:w="1134" w:type="dxa"/>
            <w:vAlign w:val="center"/>
          </w:tcPr>
          <w:p>
            <w:pPr>
              <w:jc w:val="center"/>
              <w:rPr>
                <w:noProof/>
              </w:rPr>
            </w:pPr>
            <w:r>
              <w:rPr>
                <w:noProof/>
                <w:sz w:val="22"/>
              </w:rPr>
              <w:t>NO</w:t>
            </w:r>
          </w:p>
        </w:tc>
        <w:tc>
          <w:tcPr>
            <w:tcW w:w="814" w:type="dxa"/>
            <w:vAlign w:val="center"/>
          </w:tcPr>
          <w:p>
            <w:pPr>
              <w:jc w:val="center"/>
              <w:rPr>
                <w:noProof/>
              </w:rPr>
            </w:pPr>
            <w:r>
              <w:rPr>
                <w:noProof/>
                <w:sz w:val="22"/>
              </w:rPr>
              <w:t>NO</w:t>
            </w:r>
          </w:p>
        </w:tc>
        <w:tc>
          <w:tcPr>
            <w:tcW w:w="1448" w:type="dxa"/>
            <w:vAlign w:val="center"/>
          </w:tcPr>
          <w:p>
            <w:pPr>
              <w:jc w:val="center"/>
              <w:rPr>
                <w:noProof/>
              </w:rPr>
            </w:pPr>
            <w:r>
              <w:rPr>
                <w:noProof/>
                <w:sz w:val="22"/>
              </w:rPr>
              <w:t>NO</w:t>
            </w:r>
          </w:p>
        </w:tc>
      </w:tr>
      <w:tr>
        <w:tc>
          <w:tcPr>
            <w:tcW w:w="1080" w:type="dxa"/>
            <w:vAlign w:val="center"/>
          </w:tcPr>
          <w:p>
            <w:pPr>
              <w:jc w:val="center"/>
              <w:rPr>
                <w:noProof/>
              </w:rPr>
            </w:pPr>
            <w:r>
              <w:rPr>
                <w:noProof/>
              </w:rPr>
              <w:t>3</w:t>
            </w:r>
          </w:p>
        </w:tc>
        <w:tc>
          <w:tcPr>
            <w:tcW w:w="3960" w:type="dxa"/>
            <w:vAlign w:val="center"/>
          </w:tcPr>
          <w:p>
            <w:pPr>
              <w:spacing w:before="60"/>
              <w:rPr>
                <w:noProof/>
                <w:sz w:val="22"/>
              </w:rPr>
            </w:pPr>
            <w:r>
              <w:rPr>
                <w:noProof/>
                <w:sz w:val="22"/>
              </w:rPr>
              <w:t>09 03 02 Just Transition Fund (JTF) — Operational technical assistance</w:t>
            </w:r>
          </w:p>
        </w:tc>
        <w:tc>
          <w:tcPr>
            <w:tcW w:w="1080" w:type="dxa"/>
            <w:vAlign w:val="center"/>
          </w:tcPr>
          <w:p>
            <w:pPr>
              <w:jc w:val="center"/>
              <w:rPr>
                <w:noProof/>
                <w:sz w:val="22"/>
              </w:rPr>
            </w:pPr>
            <w:r>
              <w:rPr>
                <w:noProof/>
                <w:sz w:val="22"/>
              </w:rPr>
              <w:t>Diff.</w:t>
            </w:r>
          </w:p>
        </w:tc>
        <w:tc>
          <w:tcPr>
            <w:tcW w:w="1044" w:type="dxa"/>
            <w:vAlign w:val="center"/>
          </w:tcPr>
          <w:p>
            <w:pPr>
              <w:jc w:val="center"/>
              <w:rPr>
                <w:noProof/>
                <w:sz w:val="22"/>
              </w:rPr>
            </w:pPr>
            <w:r>
              <w:rPr>
                <w:noProof/>
                <w:sz w:val="22"/>
              </w:rPr>
              <w:t>NO</w:t>
            </w:r>
          </w:p>
        </w:tc>
        <w:tc>
          <w:tcPr>
            <w:tcW w:w="1134" w:type="dxa"/>
            <w:vAlign w:val="center"/>
          </w:tcPr>
          <w:p>
            <w:pPr>
              <w:jc w:val="center"/>
              <w:rPr>
                <w:noProof/>
                <w:sz w:val="22"/>
              </w:rPr>
            </w:pPr>
            <w:r>
              <w:rPr>
                <w:noProof/>
                <w:sz w:val="22"/>
              </w:rPr>
              <w:t>NO</w:t>
            </w:r>
          </w:p>
        </w:tc>
        <w:tc>
          <w:tcPr>
            <w:tcW w:w="814" w:type="dxa"/>
            <w:vAlign w:val="center"/>
          </w:tcPr>
          <w:p>
            <w:pPr>
              <w:jc w:val="center"/>
              <w:rPr>
                <w:noProof/>
                <w:sz w:val="22"/>
              </w:rPr>
            </w:pPr>
            <w:r>
              <w:rPr>
                <w:noProof/>
                <w:sz w:val="22"/>
              </w:rPr>
              <w:t>NO</w:t>
            </w:r>
          </w:p>
        </w:tc>
        <w:tc>
          <w:tcPr>
            <w:tcW w:w="1448" w:type="dxa"/>
            <w:vAlign w:val="center"/>
          </w:tcPr>
          <w:p>
            <w:pPr>
              <w:jc w:val="center"/>
              <w:rPr>
                <w:noProof/>
                <w:sz w:val="22"/>
              </w:rPr>
            </w:pPr>
            <w:r>
              <w:rPr>
                <w:noProof/>
                <w:sz w:val="22"/>
              </w:rPr>
              <w:t>NO</w:t>
            </w:r>
          </w:p>
        </w:tc>
      </w:tr>
      <w:tr>
        <w:tc>
          <w:tcPr>
            <w:tcW w:w="1080" w:type="dxa"/>
            <w:vAlign w:val="center"/>
          </w:tcPr>
          <w:p>
            <w:pPr>
              <w:jc w:val="center"/>
              <w:rPr>
                <w:noProof/>
              </w:rPr>
            </w:pPr>
            <w:r>
              <w:rPr>
                <w:noProof/>
              </w:rPr>
              <w:t>3</w:t>
            </w:r>
          </w:p>
        </w:tc>
        <w:tc>
          <w:tcPr>
            <w:tcW w:w="3960" w:type="dxa"/>
            <w:vAlign w:val="center"/>
          </w:tcPr>
          <w:p>
            <w:pPr>
              <w:spacing w:before="60"/>
              <w:rPr>
                <w:noProof/>
              </w:rPr>
            </w:pPr>
            <w:r>
              <w:rPr>
                <w:noProof/>
              </w:rPr>
              <w:t>09 03 03 – JTF financed from ERI</w:t>
            </w:r>
          </w:p>
          <w:p>
            <w:pPr>
              <w:spacing w:before="60"/>
              <w:rPr>
                <w:noProof/>
                <w:sz w:val="22"/>
              </w:rPr>
            </w:pPr>
          </w:p>
        </w:tc>
        <w:tc>
          <w:tcPr>
            <w:tcW w:w="1080" w:type="dxa"/>
            <w:vAlign w:val="center"/>
          </w:tcPr>
          <w:p>
            <w:pPr>
              <w:jc w:val="center"/>
              <w:rPr>
                <w:noProof/>
                <w:sz w:val="22"/>
              </w:rPr>
            </w:pPr>
            <w:r>
              <w:rPr>
                <w:noProof/>
                <w:sz w:val="22"/>
              </w:rPr>
              <w:t>Diff.</w:t>
            </w:r>
          </w:p>
        </w:tc>
        <w:tc>
          <w:tcPr>
            <w:tcW w:w="1044" w:type="dxa"/>
            <w:vAlign w:val="center"/>
          </w:tcPr>
          <w:p>
            <w:pPr>
              <w:jc w:val="center"/>
              <w:rPr>
                <w:noProof/>
                <w:sz w:val="22"/>
              </w:rPr>
            </w:pPr>
            <w:r>
              <w:rPr>
                <w:noProof/>
                <w:sz w:val="22"/>
              </w:rPr>
              <w:t>NO</w:t>
            </w:r>
          </w:p>
        </w:tc>
        <w:tc>
          <w:tcPr>
            <w:tcW w:w="1134" w:type="dxa"/>
            <w:vAlign w:val="center"/>
          </w:tcPr>
          <w:p>
            <w:pPr>
              <w:jc w:val="center"/>
              <w:rPr>
                <w:noProof/>
                <w:sz w:val="22"/>
              </w:rPr>
            </w:pPr>
            <w:r>
              <w:rPr>
                <w:noProof/>
                <w:sz w:val="22"/>
              </w:rPr>
              <w:t>NO</w:t>
            </w:r>
          </w:p>
        </w:tc>
        <w:tc>
          <w:tcPr>
            <w:tcW w:w="814" w:type="dxa"/>
            <w:vAlign w:val="center"/>
          </w:tcPr>
          <w:p>
            <w:pPr>
              <w:jc w:val="center"/>
              <w:rPr>
                <w:noProof/>
                <w:sz w:val="22"/>
              </w:rPr>
            </w:pPr>
            <w:r>
              <w:rPr>
                <w:noProof/>
                <w:sz w:val="22"/>
              </w:rPr>
              <w:t>NO</w:t>
            </w:r>
          </w:p>
        </w:tc>
        <w:tc>
          <w:tcPr>
            <w:tcW w:w="1448" w:type="dxa"/>
            <w:vAlign w:val="center"/>
          </w:tcPr>
          <w:p>
            <w:pPr>
              <w:jc w:val="center"/>
              <w:rPr>
                <w:noProof/>
                <w:sz w:val="22"/>
              </w:rPr>
            </w:pPr>
            <w:r>
              <w:rPr>
                <w:noProof/>
                <w:sz w:val="22"/>
              </w:rPr>
              <w:t>NO</w:t>
            </w:r>
          </w:p>
        </w:tc>
      </w:tr>
    </w:tbl>
    <w:p>
      <w:pPr>
        <w:rPr>
          <w:noProof/>
        </w:rPr>
        <w:sectPr>
          <w:pgSz w:w="11907" w:h="16840" w:code="1"/>
          <w:pgMar w:top="1134" w:right="1418" w:bottom="1134" w:left="1418" w:header="709" w:footer="709" w:gutter="0"/>
          <w:cols w:space="708"/>
          <w:docGrid w:linePitch="360"/>
        </w:sectPr>
      </w:pPr>
    </w:p>
    <w:p>
      <w:pPr>
        <w:pStyle w:val="ManualHeading2"/>
        <w:rPr>
          <w:noProof/>
          <w:szCs w:val="24"/>
        </w:rPr>
      </w:pPr>
      <w:bookmarkStart w:id="40" w:name="_Toc514941991"/>
      <w:bookmarkStart w:id="41" w:name="_Toc39839411"/>
      <w:r>
        <w:t>3.2.</w:t>
      </w:r>
      <w:r>
        <w:tab/>
      </w:r>
      <w:r>
        <w:rPr>
          <w:noProof/>
        </w:rPr>
        <w:t>Estimated impact on expenditure</w:t>
      </w:r>
      <w:bookmarkEnd w:id="40"/>
      <w:bookmarkEnd w:id="41"/>
      <w:r>
        <w:rPr>
          <w:noProof/>
        </w:rPr>
        <w:t xml:space="preserve"> </w:t>
      </w:r>
    </w:p>
    <w:p>
      <w:pPr>
        <w:pStyle w:val="ManualHeading3"/>
        <w:rPr>
          <w:noProof/>
          <w:u w:val="single"/>
        </w:rPr>
      </w:pPr>
      <w:bookmarkStart w:id="42" w:name="_Toc514941992"/>
      <w:bookmarkStart w:id="43" w:name="_Toc39839412"/>
      <w:r>
        <w:t>3.2.1.</w:t>
      </w:r>
      <w:r>
        <w:tab/>
      </w:r>
      <w:r>
        <w:rPr>
          <w:noProof/>
        </w:rPr>
        <w:t>Summary of estimated impact on expenditure</w:t>
      </w:r>
      <w:bookmarkEnd w:id="42"/>
      <w:bookmarkEnd w:id="43"/>
      <w:r>
        <w:rPr>
          <w:noProof/>
        </w:rPr>
        <w:t xml:space="preserve"> </w:t>
      </w:r>
    </w:p>
    <w:p>
      <w:pPr>
        <w:jc w:val="right"/>
        <w:rPr>
          <w:noProof/>
          <w:sz w:val="20"/>
        </w:rPr>
      </w:pPr>
      <w:r>
        <w:rPr>
          <w:noProof/>
          <w:sz w:val="20"/>
        </w:rPr>
        <w:t>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b/>
                <w:noProof/>
                <w:sz w:val="22"/>
              </w:rPr>
              <w:t xml:space="preserve">Heading of multiannual financial </w:t>
            </w:r>
            <w:r>
              <w:rPr>
                <w:noProof/>
                <w:sz w:val="22"/>
              </w:rPr>
              <w:br/>
            </w:r>
            <w:r>
              <w:rPr>
                <w:b/>
                <w:noProof/>
                <w:sz w:val="22"/>
              </w:rPr>
              <w:t xml:space="preserve">framework </w:t>
            </w:r>
          </w:p>
        </w:tc>
        <w:tc>
          <w:tcPr>
            <w:tcW w:w="1080" w:type="dxa"/>
            <w:vAlign w:val="center"/>
          </w:tcPr>
          <w:p>
            <w:pPr>
              <w:spacing w:before="60" w:after="60"/>
              <w:jc w:val="center"/>
              <w:rPr>
                <w:noProof/>
              </w:rPr>
            </w:pPr>
            <w:r>
              <w:rPr>
                <w:b/>
                <w:noProof/>
                <w:sz w:val="22"/>
              </w:rPr>
              <w:t>3</w:t>
            </w:r>
          </w:p>
        </w:tc>
        <w:tc>
          <w:tcPr>
            <w:tcW w:w="7817" w:type="dxa"/>
            <w:vAlign w:val="center"/>
          </w:tcPr>
          <w:p>
            <w:pPr>
              <w:spacing w:before="60" w:after="60"/>
              <w:jc w:val="left"/>
              <w:rPr>
                <w:noProof/>
              </w:rPr>
            </w:pPr>
          </w:p>
        </w:tc>
      </w:tr>
    </w:tbl>
    <w:p>
      <w:pPr>
        <w:rPr>
          <w:i/>
          <w:iCs/>
          <w:noProof/>
          <w:lang w:val="en-IE"/>
        </w:rPr>
      </w:pPr>
      <w:r>
        <w:rPr>
          <w:i/>
          <w:iCs/>
          <w:noProof/>
          <w:lang w:val="en-IE"/>
        </w:rPr>
        <w:t>The proposal will lead to additional commitments in the years 2021 to 2027 as well as payments in the years 2021 to 2027 and post-2027.</w:t>
      </w:r>
    </w:p>
    <w:p>
      <w:pPr>
        <w:rPr>
          <w:i/>
          <w:iCs/>
          <w:noProof/>
          <w:lang w:val="en-IE"/>
        </w:rPr>
      </w:pPr>
      <w:r>
        <w:rPr>
          <w:i/>
          <w:iCs/>
          <w:noProof/>
          <w:lang w:val="en-IE"/>
        </w:rPr>
        <w:t xml:space="preserve">Of these additional resources, EUR 2 810 048 000 in current prices should come from budget appropriations, bringing the level of the programme under the next MFF to EUR 11 270 459 000 in current prices; these should be allocated in the course of the ongoing negotiations at the level of the European Council. </w:t>
      </w:r>
    </w:p>
    <w:p>
      <w:pPr>
        <w:rPr>
          <w:i/>
          <w:iCs/>
          <w:noProof/>
          <w:lang w:val="en-IE"/>
        </w:rPr>
      </w:pPr>
      <w:r>
        <w:rPr>
          <w:i/>
          <w:iCs/>
          <w:noProof/>
          <w:lang w:val="en-IE"/>
        </w:rPr>
        <w:t>The remaining additional resources will cover the period from 2021 to 2024 and will constitute external assigned revenue stemming from the European Recovery Instrument based on external assigned revenues.</w:t>
      </w:r>
      <w:r>
        <w:rPr>
          <w:noProof/>
        </w:rPr>
        <w:t xml:space="preserve"> </w:t>
      </w:r>
      <w:r>
        <w:rPr>
          <w:i/>
          <w:iCs/>
          <w:noProof/>
          <w:lang w:val="en-IE"/>
        </w:rPr>
        <w:t>The amounts available as external assigned revenues are within the meaning of Article 21(5) of the Financial Regulation stemming from the borrowing operations of the Union as set out in Regulation (EU) XXX/XX (ERI regulation). Out of the external assigned revenues, up to EUR 15 600 000 may be dedicated to administrative expenditure, including external staff costs.</w:t>
      </w:r>
    </w:p>
    <w:p>
      <w:pPr>
        <w:rPr>
          <w:i/>
          <w:iCs/>
          <w:noProof/>
          <w:lang w:val="en-IE"/>
        </w:rPr>
      </w:pPr>
      <w:r>
        <w:rPr>
          <w:i/>
          <w:iCs/>
          <w:noProof/>
          <w:lang w:val="en-IE"/>
        </w:rPr>
        <w:t>The indicative breakdown of the appropriations financed under the MFF 2021-2027 is as follows:</w:t>
      </w:r>
    </w:p>
    <w:tbl>
      <w:tblPr>
        <w:tblW w:w="14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1440"/>
        <w:gridCol w:w="654"/>
        <w:gridCol w:w="868"/>
        <w:gridCol w:w="868"/>
        <w:gridCol w:w="868"/>
        <w:gridCol w:w="868"/>
        <w:gridCol w:w="868"/>
        <w:gridCol w:w="868"/>
        <w:gridCol w:w="868"/>
        <w:gridCol w:w="1289"/>
        <w:gridCol w:w="1289"/>
      </w:tblGrid>
      <w:tr>
        <w:trPr>
          <w:jc w:val="center"/>
        </w:trPr>
        <w:tc>
          <w:tcPr>
            <w:tcW w:w="6197" w:type="dxa"/>
            <w:gridSpan w:val="3"/>
            <w:tcBorders>
              <w:top w:val="nil"/>
              <w:left w:val="nil"/>
              <w:bottom w:val="nil"/>
              <w:right w:val="single" w:sz="4" w:space="0" w:color="auto"/>
            </w:tcBorders>
            <w:vAlign w:val="center"/>
          </w:tcPr>
          <w:p>
            <w:pPr>
              <w:jc w:val="center"/>
              <w:rPr>
                <w:b/>
                <w:noProof/>
                <w:sz w:val="20"/>
              </w:rPr>
            </w:pPr>
          </w:p>
        </w:tc>
        <w:tc>
          <w:tcPr>
            <w:tcW w:w="868" w:type="dxa"/>
            <w:tcBorders>
              <w:left w:val="single" w:sz="4" w:space="0" w:color="auto"/>
            </w:tcBorders>
            <w:vAlign w:val="center"/>
          </w:tcPr>
          <w:p>
            <w:pPr>
              <w:jc w:val="center"/>
              <w:rPr>
                <w:b/>
                <w:noProof/>
                <w:sz w:val="20"/>
              </w:rPr>
            </w:pPr>
            <w:r>
              <w:rPr>
                <w:b/>
                <w:noProof/>
                <w:sz w:val="20"/>
              </w:rPr>
              <w:t>2021</w:t>
            </w:r>
          </w:p>
        </w:tc>
        <w:tc>
          <w:tcPr>
            <w:tcW w:w="868" w:type="dxa"/>
            <w:vAlign w:val="center"/>
          </w:tcPr>
          <w:p>
            <w:pPr>
              <w:jc w:val="center"/>
              <w:rPr>
                <w:b/>
                <w:noProof/>
                <w:sz w:val="20"/>
              </w:rPr>
            </w:pPr>
            <w:r>
              <w:rPr>
                <w:b/>
                <w:noProof/>
                <w:sz w:val="20"/>
              </w:rPr>
              <w:t>2022</w:t>
            </w:r>
          </w:p>
        </w:tc>
        <w:tc>
          <w:tcPr>
            <w:tcW w:w="868" w:type="dxa"/>
            <w:vAlign w:val="center"/>
          </w:tcPr>
          <w:p>
            <w:pPr>
              <w:jc w:val="center"/>
              <w:rPr>
                <w:b/>
                <w:noProof/>
                <w:sz w:val="20"/>
              </w:rPr>
            </w:pPr>
            <w:r>
              <w:rPr>
                <w:b/>
                <w:noProof/>
                <w:sz w:val="20"/>
              </w:rPr>
              <w:t>2023</w:t>
            </w:r>
          </w:p>
        </w:tc>
        <w:tc>
          <w:tcPr>
            <w:tcW w:w="868" w:type="dxa"/>
            <w:vAlign w:val="center"/>
          </w:tcPr>
          <w:p>
            <w:pPr>
              <w:jc w:val="center"/>
              <w:rPr>
                <w:b/>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noProof/>
                <w:sz w:val="18"/>
              </w:rPr>
              <w:t>2027</w:t>
            </w:r>
          </w:p>
        </w:tc>
        <w:tc>
          <w:tcPr>
            <w:tcW w:w="1289" w:type="dxa"/>
          </w:tcPr>
          <w:p>
            <w:pPr>
              <w:jc w:val="center"/>
              <w:rPr>
                <w:b/>
                <w:noProof/>
                <w:sz w:val="20"/>
              </w:rPr>
            </w:pPr>
            <w:r>
              <w:rPr>
                <w:b/>
                <w:noProof/>
                <w:sz w:val="20"/>
              </w:rPr>
              <w:t>Post 2027</w:t>
            </w:r>
          </w:p>
        </w:tc>
        <w:tc>
          <w:tcPr>
            <w:tcW w:w="1289" w:type="dxa"/>
            <w:vAlign w:val="center"/>
          </w:tcPr>
          <w:p>
            <w:pPr>
              <w:jc w:val="center"/>
              <w:rPr>
                <w:b/>
                <w:noProof/>
                <w:sz w:val="20"/>
              </w:rPr>
            </w:pPr>
            <w:r>
              <w:rPr>
                <w:b/>
                <w:noProof/>
                <w:sz w:val="20"/>
              </w:rPr>
              <w:t>TOTAL</w:t>
            </w:r>
          </w:p>
        </w:tc>
      </w:tr>
      <w:tr>
        <w:trPr>
          <w:trHeight w:val="433"/>
          <w:jc w:val="center"/>
        </w:trPr>
        <w:tc>
          <w:tcPr>
            <w:tcW w:w="4103" w:type="dxa"/>
            <w:vMerge w:val="restart"/>
            <w:vAlign w:val="center"/>
          </w:tcPr>
          <w:p>
            <w:pPr>
              <w:rPr>
                <w:noProof/>
              </w:rPr>
            </w:pPr>
            <w:r>
              <w:rPr>
                <w:noProof/>
                <w:sz w:val="20"/>
              </w:rPr>
              <w:t xml:space="preserve">Operational appropriations </w:t>
            </w:r>
          </w:p>
        </w:tc>
        <w:tc>
          <w:tcPr>
            <w:tcW w:w="1440" w:type="dxa"/>
            <w:vAlign w:val="center"/>
          </w:tcPr>
          <w:p>
            <w:pPr>
              <w:spacing w:before="20" w:after="20"/>
              <w:jc w:val="left"/>
              <w:rPr>
                <w:noProof/>
                <w:sz w:val="18"/>
              </w:rPr>
            </w:pPr>
            <w:r>
              <w:rPr>
                <w:noProof/>
                <w:sz w:val="18"/>
              </w:rPr>
              <w:t>Commitments</w:t>
            </w:r>
          </w:p>
        </w:tc>
        <w:tc>
          <w:tcPr>
            <w:tcW w:w="654" w:type="dxa"/>
            <w:vAlign w:val="center"/>
          </w:tcPr>
          <w:p>
            <w:pPr>
              <w:spacing w:before="20" w:after="20"/>
              <w:jc w:val="center"/>
              <w:rPr>
                <w:noProof/>
                <w:sz w:val="14"/>
              </w:rPr>
            </w:pPr>
            <w:r>
              <w:rPr>
                <w:noProof/>
                <w:sz w:val="14"/>
              </w:rPr>
              <w:t>(1)</w:t>
            </w:r>
          </w:p>
        </w:tc>
        <w:tc>
          <w:tcPr>
            <w:tcW w:w="868" w:type="dxa"/>
          </w:tcPr>
          <w:p>
            <w:pPr>
              <w:jc w:val="center"/>
              <w:rPr>
                <w:noProof/>
                <w:sz w:val="16"/>
                <w:szCs w:val="16"/>
              </w:rPr>
            </w:pPr>
            <w:r>
              <w:rPr>
                <w:noProof/>
                <w:sz w:val="16"/>
                <w:szCs w:val="16"/>
              </w:rPr>
              <w:t>416,600</w:t>
            </w:r>
          </w:p>
        </w:tc>
        <w:tc>
          <w:tcPr>
            <w:tcW w:w="868" w:type="dxa"/>
          </w:tcPr>
          <w:p>
            <w:pPr>
              <w:jc w:val="center"/>
              <w:rPr>
                <w:noProof/>
                <w:sz w:val="16"/>
                <w:szCs w:val="16"/>
              </w:rPr>
            </w:pPr>
            <w:r>
              <w:rPr>
                <w:noProof/>
                <w:sz w:val="16"/>
                <w:szCs w:val="16"/>
              </w:rPr>
              <w:t>413,025</w:t>
            </w:r>
          </w:p>
        </w:tc>
        <w:tc>
          <w:tcPr>
            <w:tcW w:w="868" w:type="dxa"/>
          </w:tcPr>
          <w:p>
            <w:pPr>
              <w:jc w:val="center"/>
              <w:rPr>
                <w:noProof/>
                <w:sz w:val="16"/>
                <w:szCs w:val="16"/>
              </w:rPr>
            </w:pPr>
            <w:r>
              <w:rPr>
                <w:noProof/>
                <w:sz w:val="16"/>
                <w:szCs w:val="16"/>
              </w:rPr>
              <w:t>408,037</w:t>
            </w:r>
          </w:p>
        </w:tc>
        <w:tc>
          <w:tcPr>
            <w:tcW w:w="868" w:type="dxa"/>
          </w:tcPr>
          <w:p>
            <w:pPr>
              <w:jc w:val="center"/>
              <w:rPr>
                <w:noProof/>
                <w:sz w:val="16"/>
                <w:szCs w:val="16"/>
              </w:rPr>
            </w:pPr>
            <w:r>
              <w:rPr>
                <w:noProof/>
                <w:sz w:val="16"/>
                <w:szCs w:val="16"/>
              </w:rPr>
              <w:t>402,684</w:t>
            </w:r>
          </w:p>
        </w:tc>
        <w:tc>
          <w:tcPr>
            <w:tcW w:w="868" w:type="dxa"/>
          </w:tcPr>
          <w:p>
            <w:pPr>
              <w:jc w:val="center"/>
              <w:rPr>
                <w:noProof/>
                <w:sz w:val="16"/>
                <w:szCs w:val="16"/>
              </w:rPr>
            </w:pPr>
            <w:r>
              <w:rPr>
                <w:noProof/>
                <w:sz w:val="16"/>
                <w:szCs w:val="16"/>
              </w:rPr>
              <w:t>396,953</w:t>
            </w:r>
          </w:p>
        </w:tc>
        <w:tc>
          <w:tcPr>
            <w:tcW w:w="868" w:type="dxa"/>
          </w:tcPr>
          <w:p>
            <w:pPr>
              <w:jc w:val="center"/>
              <w:rPr>
                <w:noProof/>
                <w:sz w:val="16"/>
                <w:szCs w:val="16"/>
              </w:rPr>
            </w:pPr>
            <w:r>
              <w:rPr>
                <w:noProof/>
                <w:sz w:val="16"/>
                <w:szCs w:val="16"/>
              </w:rPr>
              <w:t>390,832</w:t>
            </w:r>
          </w:p>
        </w:tc>
        <w:tc>
          <w:tcPr>
            <w:tcW w:w="868" w:type="dxa"/>
          </w:tcPr>
          <w:p>
            <w:pPr>
              <w:jc w:val="center"/>
              <w:rPr>
                <w:noProof/>
                <w:sz w:val="16"/>
                <w:szCs w:val="16"/>
              </w:rPr>
            </w:pPr>
            <w:r>
              <w:rPr>
                <w:noProof/>
                <w:sz w:val="16"/>
                <w:szCs w:val="16"/>
              </w:rPr>
              <w:t>381,917</w:t>
            </w:r>
          </w:p>
        </w:tc>
        <w:tc>
          <w:tcPr>
            <w:tcW w:w="1289" w:type="dxa"/>
          </w:tcPr>
          <w:p>
            <w:pPr>
              <w:jc w:val="center"/>
              <w:rPr>
                <w:noProof/>
              </w:rPr>
            </w:pPr>
          </w:p>
        </w:tc>
        <w:tc>
          <w:tcPr>
            <w:tcW w:w="1289" w:type="dxa"/>
          </w:tcPr>
          <w:p>
            <w:pPr>
              <w:jc w:val="center"/>
              <w:rPr>
                <w:b/>
                <w:noProof/>
              </w:rPr>
            </w:pPr>
            <w:r>
              <w:rPr>
                <w:b/>
                <w:noProof/>
              </w:rPr>
              <w:t>2 810,048</w:t>
            </w:r>
          </w:p>
        </w:tc>
      </w:tr>
      <w:tr>
        <w:trPr>
          <w:trHeight w:val="411"/>
          <w:jc w:val="center"/>
        </w:trPr>
        <w:tc>
          <w:tcPr>
            <w:tcW w:w="4103" w:type="dxa"/>
            <w:vMerge/>
          </w:tcPr>
          <w:p>
            <w:pPr>
              <w:jc w:val="center"/>
              <w:rPr>
                <w:noProof/>
                <w:sz w:val="20"/>
              </w:rPr>
            </w:pPr>
          </w:p>
        </w:tc>
        <w:tc>
          <w:tcPr>
            <w:tcW w:w="1440" w:type="dxa"/>
            <w:vAlign w:val="center"/>
          </w:tcPr>
          <w:p>
            <w:pPr>
              <w:spacing w:before="20" w:after="20"/>
              <w:jc w:val="left"/>
              <w:rPr>
                <w:noProof/>
                <w:sz w:val="18"/>
              </w:rPr>
            </w:pPr>
            <w:r>
              <w:rPr>
                <w:noProof/>
                <w:sz w:val="18"/>
              </w:rPr>
              <w:t>Payments</w:t>
            </w:r>
          </w:p>
        </w:tc>
        <w:tc>
          <w:tcPr>
            <w:tcW w:w="654" w:type="dxa"/>
            <w:vAlign w:val="center"/>
          </w:tcPr>
          <w:p>
            <w:pPr>
              <w:spacing w:before="20" w:after="20"/>
              <w:jc w:val="center"/>
              <w:rPr>
                <w:noProof/>
                <w:sz w:val="14"/>
              </w:rPr>
            </w:pPr>
            <w:r>
              <w:rPr>
                <w:noProof/>
                <w:sz w:val="14"/>
              </w:rPr>
              <w:t>(2)</w:t>
            </w:r>
          </w:p>
        </w:tc>
        <w:tc>
          <w:tcPr>
            <w:tcW w:w="868" w:type="dxa"/>
          </w:tcPr>
          <w:p>
            <w:pPr>
              <w:jc w:val="center"/>
              <w:rPr>
                <w:noProof/>
                <w:sz w:val="16"/>
                <w:szCs w:val="16"/>
              </w:rPr>
            </w:pPr>
          </w:p>
        </w:tc>
        <w:tc>
          <w:tcPr>
            <w:tcW w:w="868" w:type="dxa"/>
          </w:tcPr>
          <w:p>
            <w:pPr>
              <w:jc w:val="center"/>
              <w:rPr>
                <w:noProof/>
                <w:sz w:val="16"/>
                <w:szCs w:val="16"/>
              </w:rPr>
            </w:pPr>
            <w:r>
              <w:rPr>
                <w:noProof/>
                <w:sz w:val="16"/>
                <w:szCs w:val="16"/>
              </w:rPr>
              <w:t>60,055</w:t>
            </w:r>
          </w:p>
        </w:tc>
        <w:tc>
          <w:tcPr>
            <w:tcW w:w="868" w:type="dxa"/>
          </w:tcPr>
          <w:p>
            <w:pPr>
              <w:jc w:val="center"/>
              <w:rPr>
                <w:noProof/>
                <w:sz w:val="16"/>
                <w:szCs w:val="16"/>
              </w:rPr>
            </w:pPr>
            <w:r>
              <w:rPr>
                <w:noProof/>
                <w:sz w:val="16"/>
                <w:szCs w:val="16"/>
              </w:rPr>
              <w:t>343,229</w:t>
            </w:r>
          </w:p>
        </w:tc>
        <w:tc>
          <w:tcPr>
            <w:tcW w:w="868" w:type="dxa"/>
          </w:tcPr>
          <w:p>
            <w:pPr>
              <w:jc w:val="center"/>
              <w:rPr>
                <w:noProof/>
                <w:sz w:val="16"/>
                <w:szCs w:val="16"/>
              </w:rPr>
            </w:pPr>
            <w:r>
              <w:rPr>
                <w:noProof/>
                <w:sz w:val="16"/>
                <w:szCs w:val="16"/>
              </w:rPr>
              <w:t>444,024</w:t>
            </w:r>
          </w:p>
        </w:tc>
        <w:tc>
          <w:tcPr>
            <w:tcW w:w="868" w:type="dxa"/>
          </w:tcPr>
          <w:p>
            <w:pPr>
              <w:jc w:val="center"/>
              <w:rPr>
                <w:noProof/>
                <w:sz w:val="16"/>
                <w:szCs w:val="16"/>
              </w:rPr>
            </w:pPr>
            <w:r>
              <w:rPr>
                <w:noProof/>
                <w:sz w:val="16"/>
                <w:szCs w:val="16"/>
              </w:rPr>
              <w:t>343,665</w:t>
            </w:r>
          </w:p>
        </w:tc>
        <w:tc>
          <w:tcPr>
            <w:tcW w:w="868" w:type="dxa"/>
          </w:tcPr>
          <w:p>
            <w:pPr>
              <w:jc w:val="center"/>
              <w:rPr>
                <w:noProof/>
                <w:sz w:val="16"/>
                <w:szCs w:val="16"/>
              </w:rPr>
            </w:pPr>
            <w:r>
              <w:rPr>
                <w:noProof/>
                <w:sz w:val="16"/>
                <w:szCs w:val="16"/>
              </w:rPr>
              <w:t>409,011</w:t>
            </w:r>
          </w:p>
        </w:tc>
        <w:tc>
          <w:tcPr>
            <w:tcW w:w="868" w:type="dxa"/>
          </w:tcPr>
          <w:p>
            <w:pPr>
              <w:jc w:val="center"/>
              <w:rPr>
                <w:noProof/>
                <w:sz w:val="16"/>
                <w:szCs w:val="16"/>
              </w:rPr>
            </w:pPr>
            <w:r>
              <w:rPr>
                <w:noProof/>
                <w:sz w:val="16"/>
                <w:szCs w:val="16"/>
              </w:rPr>
              <w:t>461,055</w:t>
            </w:r>
          </w:p>
        </w:tc>
        <w:tc>
          <w:tcPr>
            <w:tcW w:w="1289" w:type="dxa"/>
          </w:tcPr>
          <w:p>
            <w:pPr>
              <w:jc w:val="center"/>
              <w:rPr>
                <w:noProof/>
                <w:sz w:val="20"/>
              </w:rPr>
            </w:pPr>
            <w:r>
              <w:rPr>
                <w:noProof/>
                <w:sz w:val="20"/>
              </w:rPr>
              <w:t>749,008</w:t>
            </w:r>
          </w:p>
        </w:tc>
        <w:tc>
          <w:tcPr>
            <w:tcW w:w="1289" w:type="dxa"/>
          </w:tcPr>
          <w:p>
            <w:pPr>
              <w:jc w:val="center"/>
              <w:rPr>
                <w:b/>
                <w:noProof/>
                <w:sz w:val="20"/>
              </w:rPr>
            </w:pPr>
            <w:r>
              <w:rPr>
                <w:b/>
                <w:noProof/>
                <w:sz w:val="20"/>
              </w:rPr>
              <w:t>2 810,048</w:t>
            </w:r>
          </w:p>
        </w:tc>
      </w:tr>
      <w:tr>
        <w:trPr>
          <w:jc w:val="center"/>
        </w:trPr>
        <w:tc>
          <w:tcPr>
            <w:tcW w:w="4103" w:type="dxa"/>
            <w:vMerge w:val="restart"/>
            <w:vAlign w:val="center"/>
          </w:tcPr>
          <w:p>
            <w:pPr>
              <w:jc w:val="left"/>
              <w:rPr>
                <w:b/>
                <w:noProof/>
              </w:rPr>
            </w:pPr>
            <w:r>
              <w:rPr>
                <w:b/>
                <w:noProof/>
                <w:sz w:val="22"/>
              </w:rPr>
              <w:t xml:space="preserve">TOTAL appropriations </w:t>
            </w:r>
          </w:p>
        </w:tc>
        <w:tc>
          <w:tcPr>
            <w:tcW w:w="1440" w:type="dxa"/>
            <w:vAlign w:val="center"/>
          </w:tcPr>
          <w:p>
            <w:pPr>
              <w:jc w:val="left"/>
              <w:rPr>
                <w:noProof/>
                <w:sz w:val="18"/>
              </w:rPr>
            </w:pPr>
            <w:r>
              <w:rPr>
                <w:noProof/>
                <w:sz w:val="18"/>
              </w:rPr>
              <w:t>Commitments</w:t>
            </w:r>
          </w:p>
        </w:tc>
        <w:tc>
          <w:tcPr>
            <w:tcW w:w="654" w:type="dxa"/>
            <w:vAlign w:val="center"/>
          </w:tcPr>
          <w:p>
            <w:pPr>
              <w:jc w:val="center"/>
              <w:rPr>
                <w:noProof/>
                <w:sz w:val="14"/>
              </w:rPr>
            </w:pPr>
            <w:r>
              <w:rPr>
                <w:noProof/>
                <w:sz w:val="14"/>
              </w:rPr>
              <w:t>=1+3</w:t>
            </w:r>
          </w:p>
        </w:tc>
        <w:tc>
          <w:tcPr>
            <w:tcW w:w="868" w:type="dxa"/>
          </w:tcPr>
          <w:p>
            <w:pPr>
              <w:jc w:val="center"/>
              <w:rPr>
                <w:noProof/>
                <w:sz w:val="16"/>
                <w:szCs w:val="16"/>
              </w:rPr>
            </w:pPr>
            <w:r>
              <w:rPr>
                <w:noProof/>
                <w:sz w:val="16"/>
                <w:szCs w:val="16"/>
              </w:rPr>
              <w:t>416,600</w:t>
            </w:r>
          </w:p>
        </w:tc>
        <w:tc>
          <w:tcPr>
            <w:tcW w:w="868" w:type="dxa"/>
          </w:tcPr>
          <w:p>
            <w:pPr>
              <w:jc w:val="center"/>
              <w:rPr>
                <w:noProof/>
                <w:sz w:val="16"/>
                <w:szCs w:val="16"/>
              </w:rPr>
            </w:pPr>
            <w:r>
              <w:rPr>
                <w:noProof/>
                <w:sz w:val="16"/>
                <w:szCs w:val="16"/>
              </w:rPr>
              <w:t>413,025</w:t>
            </w:r>
          </w:p>
        </w:tc>
        <w:tc>
          <w:tcPr>
            <w:tcW w:w="868" w:type="dxa"/>
          </w:tcPr>
          <w:p>
            <w:pPr>
              <w:jc w:val="center"/>
              <w:rPr>
                <w:noProof/>
                <w:sz w:val="16"/>
                <w:szCs w:val="16"/>
              </w:rPr>
            </w:pPr>
            <w:r>
              <w:rPr>
                <w:noProof/>
                <w:sz w:val="16"/>
                <w:szCs w:val="16"/>
              </w:rPr>
              <w:t>408,037</w:t>
            </w:r>
          </w:p>
        </w:tc>
        <w:tc>
          <w:tcPr>
            <w:tcW w:w="868" w:type="dxa"/>
          </w:tcPr>
          <w:p>
            <w:pPr>
              <w:jc w:val="center"/>
              <w:rPr>
                <w:noProof/>
                <w:sz w:val="16"/>
                <w:szCs w:val="16"/>
              </w:rPr>
            </w:pPr>
            <w:r>
              <w:rPr>
                <w:noProof/>
                <w:sz w:val="16"/>
                <w:szCs w:val="16"/>
              </w:rPr>
              <w:t>402,684</w:t>
            </w:r>
          </w:p>
        </w:tc>
        <w:tc>
          <w:tcPr>
            <w:tcW w:w="868" w:type="dxa"/>
          </w:tcPr>
          <w:p>
            <w:pPr>
              <w:jc w:val="center"/>
              <w:rPr>
                <w:noProof/>
                <w:sz w:val="16"/>
                <w:szCs w:val="16"/>
              </w:rPr>
            </w:pPr>
            <w:r>
              <w:rPr>
                <w:noProof/>
                <w:sz w:val="16"/>
                <w:szCs w:val="16"/>
              </w:rPr>
              <w:t>396,953</w:t>
            </w:r>
          </w:p>
        </w:tc>
        <w:tc>
          <w:tcPr>
            <w:tcW w:w="868" w:type="dxa"/>
          </w:tcPr>
          <w:p>
            <w:pPr>
              <w:jc w:val="center"/>
              <w:rPr>
                <w:noProof/>
                <w:sz w:val="16"/>
                <w:szCs w:val="16"/>
              </w:rPr>
            </w:pPr>
            <w:r>
              <w:rPr>
                <w:noProof/>
                <w:sz w:val="16"/>
                <w:szCs w:val="16"/>
              </w:rPr>
              <w:t>390,832</w:t>
            </w:r>
          </w:p>
        </w:tc>
        <w:tc>
          <w:tcPr>
            <w:tcW w:w="868" w:type="dxa"/>
          </w:tcPr>
          <w:p>
            <w:pPr>
              <w:jc w:val="center"/>
              <w:rPr>
                <w:noProof/>
                <w:sz w:val="16"/>
                <w:szCs w:val="16"/>
              </w:rPr>
            </w:pPr>
            <w:r>
              <w:rPr>
                <w:noProof/>
                <w:sz w:val="16"/>
                <w:szCs w:val="16"/>
              </w:rPr>
              <w:t>381,917</w:t>
            </w:r>
          </w:p>
        </w:tc>
        <w:tc>
          <w:tcPr>
            <w:tcW w:w="1289" w:type="dxa"/>
          </w:tcPr>
          <w:p>
            <w:pPr>
              <w:jc w:val="center"/>
              <w:rPr>
                <w:noProof/>
              </w:rPr>
            </w:pPr>
          </w:p>
        </w:tc>
        <w:tc>
          <w:tcPr>
            <w:tcW w:w="1289" w:type="dxa"/>
          </w:tcPr>
          <w:p>
            <w:pPr>
              <w:jc w:val="center"/>
              <w:rPr>
                <w:noProof/>
              </w:rPr>
            </w:pPr>
            <w:r>
              <w:rPr>
                <w:b/>
                <w:noProof/>
              </w:rPr>
              <w:t>2 810,048</w:t>
            </w:r>
          </w:p>
        </w:tc>
      </w:tr>
      <w:tr>
        <w:trPr>
          <w:jc w:val="center"/>
        </w:trPr>
        <w:tc>
          <w:tcPr>
            <w:tcW w:w="4103" w:type="dxa"/>
            <w:vMerge/>
          </w:tcPr>
          <w:p>
            <w:pPr>
              <w:rPr>
                <w:noProof/>
                <w:sz w:val="20"/>
              </w:rPr>
            </w:pPr>
          </w:p>
        </w:tc>
        <w:tc>
          <w:tcPr>
            <w:tcW w:w="1440" w:type="dxa"/>
            <w:vAlign w:val="center"/>
          </w:tcPr>
          <w:p>
            <w:pPr>
              <w:jc w:val="left"/>
              <w:rPr>
                <w:noProof/>
                <w:sz w:val="18"/>
              </w:rPr>
            </w:pPr>
            <w:r>
              <w:rPr>
                <w:noProof/>
                <w:sz w:val="18"/>
              </w:rPr>
              <w:t>Payments</w:t>
            </w:r>
          </w:p>
        </w:tc>
        <w:tc>
          <w:tcPr>
            <w:tcW w:w="654" w:type="dxa"/>
            <w:vAlign w:val="center"/>
          </w:tcPr>
          <w:p>
            <w:pPr>
              <w:jc w:val="center"/>
              <w:rPr>
                <w:noProof/>
                <w:sz w:val="14"/>
              </w:rPr>
            </w:pPr>
            <w:r>
              <w:rPr>
                <w:noProof/>
                <w:sz w:val="14"/>
              </w:rPr>
              <w:t>=2+3</w:t>
            </w:r>
          </w:p>
        </w:tc>
        <w:tc>
          <w:tcPr>
            <w:tcW w:w="868" w:type="dxa"/>
          </w:tcPr>
          <w:p>
            <w:pPr>
              <w:jc w:val="center"/>
              <w:rPr>
                <w:noProof/>
                <w:sz w:val="16"/>
                <w:szCs w:val="16"/>
              </w:rPr>
            </w:pPr>
          </w:p>
        </w:tc>
        <w:tc>
          <w:tcPr>
            <w:tcW w:w="868" w:type="dxa"/>
          </w:tcPr>
          <w:p>
            <w:pPr>
              <w:jc w:val="center"/>
              <w:rPr>
                <w:noProof/>
                <w:sz w:val="16"/>
                <w:szCs w:val="16"/>
              </w:rPr>
            </w:pPr>
            <w:r>
              <w:rPr>
                <w:noProof/>
                <w:sz w:val="16"/>
                <w:szCs w:val="16"/>
              </w:rPr>
              <w:t>60,055</w:t>
            </w:r>
          </w:p>
        </w:tc>
        <w:tc>
          <w:tcPr>
            <w:tcW w:w="868" w:type="dxa"/>
          </w:tcPr>
          <w:p>
            <w:pPr>
              <w:jc w:val="center"/>
              <w:rPr>
                <w:noProof/>
                <w:sz w:val="16"/>
                <w:szCs w:val="16"/>
              </w:rPr>
            </w:pPr>
            <w:r>
              <w:rPr>
                <w:noProof/>
                <w:sz w:val="16"/>
                <w:szCs w:val="16"/>
              </w:rPr>
              <w:t>343,229</w:t>
            </w:r>
          </w:p>
        </w:tc>
        <w:tc>
          <w:tcPr>
            <w:tcW w:w="868" w:type="dxa"/>
          </w:tcPr>
          <w:p>
            <w:pPr>
              <w:jc w:val="center"/>
              <w:rPr>
                <w:noProof/>
                <w:sz w:val="16"/>
                <w:szCs w:val="16"/>
              </w:rPr>
            </w:pPr>
            <w:r>
              <w:rPr>
                <w:noProof/>
                <w:sz w:val="16"/>
                <w:szCs w:val="16"/>
              </w:rPr>
              <w:t>444,024</w:t>
            </w:r>
          </w:p>
        </w:tc>
        <w:tc>
          <w:tcPr>
            <w:tcW w:w="868" w:type="dxa"/>
          </w:tcPr>
          <w:p>
            <w:pPr>
              <w:jc w:val="center"/>
              <w:rPr>
                <w:noProof/>
                <w:sz w:val="16"/>
                <w:szCs w:val="16"/>
              </w:rPr>
            </w:pPr>
            <w:r>
              <w:rPr>
                <w:noProof/>
                <w:sz w:val="16"/>
                <w:szCs w:val="16"/>
              </w:rPr>
              <w:t>343,665</w:t>
            </w:r>
          </w:p>
        </w:tc>
        <w:tc>
          <w:tcPr>
            <w:tcW w:w="868" w:type="dxa"/>
          </w:tcPr>
          <w:p>
            <w:pPr>
              <w:jc w:val="center"/>
              <w:rPr>
                <w:noProof/>
                <w:sz w:val="16"/>
                <w:szCs w:val="16"/>
              </w:rPr>
            </w:pPr>
            <w:r>
              <w:rPr>
                <w:noProof/>
                <w:sz w:val="16"/>
                <w:szCs w:val="16"/>
              </w:rPr>
              <w:t>409,011</w:t>
            </w:r>
          </w:p>
        </w:tc>
        <w:tc>
          <w:tcPr>
            <w:tcW w:w="868" w:type="dxa"/>
          </w:tcPr>
          <w:p>
            <w:pPr>
              <w:jc w:val="center"/>
              <w:rPr>
                <w:noProof/>
                <w:sz w:val="16"/>
                <w:szCs w:val="16"/>
              </w:rPr>
            </w:pPr>
            <w:r>
              <w:rPr>
                <w:noProof/>
                <w:sz w:val="16"/>
                <w:szCs w:val="16"/>
              </w:rPr>
              <w:t>461,055</w:t>
            </w:r>
          </w:p>
        </w:tc>
        <w:tc>
          <w:tcPr>
            <w:tcW w:w="1289" w:type="dxa"/>
          </w:tcPr>
          <w:p>
            <w:pPr>
              <w:jc w:val="center"/>
              <w:rPr>
                <w:noProof/>
              </w:rPr>
            </w:pPr>
            <w:r>
              <w:rPr>
                <w:noProof/>
                <w:sz w:val="20"/>
              </w:rPr>
              <w:t>749,008</w:t>
            </w:r>
          </w:p>
        </w:tc>
        <w:tc>
          <w:tcPr>
            <w:tcW w:w="1289" w:type="dxa"/>
          </w:tcPr>
          <w:p>
            <w:pPr>
              <w:jc w:val="center"/>
              <w:rPr>
                <w:noProof/>
              </w:rPr>
            </w:pPr>
            <w:r>
              <w:rPr>
                <w:b/>
                <w:noProof/>
                <w:sz w:val="20"/>
              </w:rPr>
              <w:t>2 810,048</w:t>
            </w:r>
          </w:p>
        </w:tc>
      </w:tr>
    </w:tbl>
    <w:p>
      <w:pPr>
        <w:rPr>
          <w:i/>
          <w:noProof/>
          <w:lang w:val="en-US"/>
        </w:rPr>
      </w:pPr>
    </w:p>
    <w:p>
      <w:pPr>
        <w:rPr>
          <w:i/>
          <w:noProof/>
          <w:lang w:val="en-US"/>
        </w:rPr>
      </w:pPr>
      <w:r>
        <w:rPr>
          <w:i/>
          <w:noProof/>
          <w:lang w:val="en-US"/>
        </w:rPr>
        <w:t>The indicative breakdown of the expenditure from external assigned revenue is as follows:</w:t>
      </w:r>
    </w:p>
    <w:tbl>
      <w:tblPr>
        <w:tblW w:w="13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2"/>
        <w:gridCol w:w="2440"/>
        <w:gridCol w:w="742"/>
        <w:gridCol w:w="716"/>
        <w:gridCol w:w="716"/>
        <w:gridCol w:w="716"/>
        <w:gridCol w:w="716"/>
        <w:gridCol w:w="716"/>
        <w:gridCol w:w="716"/>
        <w:gridCol w:w="716"/>
        <w:gridCol w:w="1017"/>
      </w:tblGrid>
      <w:tr>
        <w:tc>
          <w:tcPr>
            <w:tcW w:w="4252" w:type="dxa"/>
            <w:vAlign w:val="center"/>
          </w:tcPr>
          <w:p>
            <w:pPr>
              <w:jc w:val="center"/>
              <w:rPr>
                <w:noProof/>
                <w:sz w:val="20"/>
                <w:szCs w:val="20"/>
              </w:rPr>
            </w:pPr>
          </w:p>
        </w:tc>
        <w:tc>
          <w:tcPr>
            <w:tcW w:w="2440" w:type="dxa"/>
          </w:tcPr>
          <w:p>
            <w:pPr>
              <w:jc w:val="center"/>
              <w:rPr>
                <w:noProof/>
                <w:sz w:val="20"/>
                <w:szCs w:val="20"/>
              </w:rPr>
            </w:pPr>
          </w:p>
        </w:tc>
        <w:tc>
          <w:tcPr>
            <w:tcW w:w="742" w:type="dxa"/>
          </w:tcPr>
          <w:p>
            <w:pPr>
              <w:jc w:val="center"/>
              <w:rPr>
                <w:noProof/>
                <w:sz w:val="20"/>
                <w:szCs w:val="20"/>
              </w:rPr>
            </w:pPr>
          </w:p>
        </w:tc>
        <w:tc>
          <w:tcPr>
            <w:tcW w:w="716" w:type="dxa"/>
            <w:vAlign w:val="center"/>
          </w:tcPr>
          <w:p>
            <w:pPr>
              <w:jc w:val="center"/>
              <w:rPr>
                <w:noProof/>
                <w:sz w:val="20"/>
                <w:szCs w:val="20"/>
              </w:rPr>
            </w:pPr>
            <w:r>
              <w:rPr>
                <w:b/>
                <w:noProof/>
                <w:sz w:val="20"/>
                <w:szCs w:val="20"/>
              </w:rPr>
              <w:t>2021</w:t>
            </w:r>
          </w:p>
        </w:tc>
        <w:tc>
          <w:tcPr>
            <w:tcW w:w="716" w:type="dxa"/>
            <w:vAlign w:val="center"/>
          </w:tcPr>
          <w:p>
            <w:pPr>
              <w:jc w:val="center"/>
              <w:rPr>
                <w:noProof/>
                <w:sz w:val="20"/>
                <w:szCs w:val="20"/>
              </w:rPr>
            </w:pPr>
            <w:r>
              <w:rPr>
                <w:b/>
                <w:noProof/>
                <w:sz w:val="20"/>
                <w:szCs w:val="20"/>
              </w:rPr>
              <w:t>2022</w:t>
            </w:r>
          </w:p>
        </w:tc>
        <w:tc>
          <w:tcPr>
            <w:tcW w:w="716" w:type="dxa"/>
            <w:vAlign w:val="center"/>
          </w:tcPr>
          <w:p>
            <w:pPr>
              <w:jc w:val="center"/>
              <w:rPr>
                <w:noProof/>
                <w:sz w:val="20"/>
                <w:szCs w:val="20"/>
              </w:rPr>
            </w:pPr>
            <w:r>
              <w:rPr>
                <w:b/>
                <w:noProof/>
                <w:sz w:val="20"/>
                <w:szCs w:val="20"/>
              </w:rPr>
              <w:t>2023</w:t>
            </w:r>
          </w:p>
        </w:tc>
        <w:tc>
          <w:tcPr>
            <w:tcW w:w="716" w:type="dxa"/>
            <w:vAlign w:val="center"/>
          </w:tcPr>
          <w:p>
            <w:pPr>
              <w:jc w:val="center"/>
              <w:rPr>
                <w:noProof/>
                <w:sz w:val="20"/>
                <w:szCs w:val="20"/>
              </w:rPr>
            </w:pPr>
            <w:r>
              <w:rPr>
                <w:b/>
                <w:noProof/>
                <w:sz w:val="20"/>
                <w:szCs w:val="20"/>
              </w:rPr>
              <w:t>2024</w:t>
            </w:r>
          </w:p>
        </w:tc>
        <w:tc>
          <w:tcPr>
            <w:tcW w:w="716" w:type="dxa"/>
            <w:vAlign w:val="center"/>
          </w:tcPr>
          <w:p>
            <w:pPr>
              <w:jc w:val="center"/>
              <w:rPr>
                <w:b/>
                <w:noProof/>
                <w:sz w:val="20"/>
                <w:szCs w:val="20"/>
              </w:rPr>
            </w:pPr>
            <w:r>
              <w:rPr>
                <w:b/>
                <w:noProof/>
                <w:sz w:val="20"/>
                <w:szCs w:val="20"/>
              </w:rPr>
              <w:t>2025</w:t>
            </w:r>
          </w:p>
        </w:tc>
        <w:tc>
          <w:tcPr>
            <w:tcW w:w="716" w:type="dxa"/>
          </w:tcPr>
          <w:p>
            <w:pPr>
              <w:jc w:val="center"/>
              <w:rPr>
                <w:b/>
                <w:noProof/>
                <w:sz w:val="20"/>
                <w:szCs w:val="20"/>
              </w:rPr>
            </w:pPr>
            <w:r>
              <w:rPr>
                <w:b/>
                <w:noProof/>
                <w:sz w:val="20"/>
                <w:szCs w:val="20"/>
              </w:rPr>
              <w:t>2026</w:t>
            </w:r>
          </w:p>
        </w:tc>
        <w:tc>
          <w:tcPr>
            <w:tcW w:w="716" w:type="dxa"/>
          </w:tcPr>
          <w:p>
            <w:pPr>
              <w:jc w:val="center"/>
              <w:rPr>
                <w:b/>
                <w:noProof/>
                <w:sz w:val="20"/>
                <w:szCs w:val="20"/>
              </w:rPr>
            </w:pPr>
            <w:r>
              <w:rPr>
                <w:b/>
                <w:noProof/>
                <w:sz w:val="20"/>
                <w:szCs w:val="20"/>
              </w:rPr>
              <w:t>2027</w:t>
            </w:r>
          </w:p>
        </w:tc>
        <w:tc>
          <w:tcPr>
            <w:tcW w:w="1017" w:type="dxa"/>
            <w:vAlign w:val="center"/>
          </w:tcPr>
          <w:p>
            <w:pPr>
              <w:jc w:val="center"/>
              <w:rPr>
                <w:b/>
                <w:noProof/>
                <w:sz w:val="20"/>
                <w:szCs w:val="20"/>
              </w:rPr>
            </w:pPr>
            <w:r>
              <w:rPr>
                <w:b/>
                <w:noProof/>
                <w:sz w:val="20"/>
                <w:szCs w:val="20"/>
              </w:rPr>
              <w:t>TOTAL</w:t>
            </w:r>
          </w:p>
        </w:tc>
      </w:tr>
      <w:tr>
        <w:tc>
          <w:tcPr>
            <w:tcW w:w="4252" w:type="dxa"/>
            <w:vMerge w:val="restart"/>
            <w:tcBorders>
              <w:top w:val="single" w:sz="4" w:space="0" w:color="auto"/>
              <w:left w:val="single" w:sz="4" w:space="0" w:color="auto"/>
              <w:right w:val="single" w:sz="4" w:space="0" w:color="auto"/>
            </w:tcBorders>
            <w:vAlign w:val="center"/>
          </w:tcPr>
          <w:p>
            <w:pPr>
              <w:jc w:val="center"/>
              <w:rPr>
                <w:noProof/>
                <w:sz w:val="20"/>
                <w:szCs w:val="20"/>
              </w:rPr>
            </w:pPr>
            <w:r>
              <w:rPr>
                <w:noProof/>
                <w:sz w:val="20"/>
                <w:szCs w:val="20"/>
              </w:rPr>
              <w:t>Operational expenditure financed from ERI external assigned revenues</w:t>
            </w:r>
          </w:p>
        </w:tc>
        <w:tc>
          <w:tcPr>
            <w:tcW w:w="2440" w:type="dxa"/>
            <w:tcBorders>
              <w:top w:val="single" w:sz="4" w:space="0" w:color="auto"/>
              <w:left w:val="single" w:sz="4" w:space="0" w:color="auto"/>
              <w:bottom w:val="single" w:sz="4" w:space="0" w:color="auto"/>
              <w:right w:val="single" w:sz="4" w:space="0" w:color="auto"/>
            </w:tcBorders>
          </w:tcPr>
          <w:p>
            <w:pPr>
              <w:jc w:val="center"/>
              <w:rPr>
                <w:noProof/>
                <w:sz w:val="20"/>
                <w:szCs w:val="20"/>
              </w:rPr>
            </w:pPr>
            <w:r>
              <w:rPr>
                <w:noProof/>
                <w:sz w:val="20"/>
                <w:szCs w:val="20"/>
              </w:rPr>
              <w:t>Commitments</w:t>
            </w:r>
          </w:p>
        </w:tc>
        <w:tc>
          <w:tcPr>
            <w:tcW w:w="742" w:type="dxa"/>
            <w:tcBorders>
              <w:top w:val="single" w:sz="4" w:space="0" w:color="auto"/>
              <w:left w:val="single" w:sz="4" w:space="0" w:color="auto"/>
              <w:bottom w:val="single" w:sz="4" w:space="0" w:color="auto"/>
              <w:right w:val="single" w:sz="4" w:space="0" w:color="auto"/>
            </w:tcBorders>
          </w:tcPr>
          <w:p>
            <w:pPr>
              <w:jc w:val="center"/>
              <w:rPr>
                <w:noProof/>
                <w:sz w:val="20"/>
                <w:szCs w:val="20"/>
              </w:rPr>
            </w:pPr>
            <w:r>
              <w:rPr>
                <w:noProof/>
                <w:sz w:val="20"/>
                <w:szCs w:val="20"/>
              </w:rPr>
              <w:t>(1)</w:t>
            </w:r>
          </w:p>
        </w:tc>
        <w:tc>
          <w:tcPr>
            <w:tcW w:w="716" w:type="dxa"/>
            <w:tcBorders>
              <w:top w:val="single" w:sz="4" w:space="0" w:color="auto"/>
              <w:left w:val="single" w:sz="4" w:space="0" w:color="auto"/>
              <w:bottom w:val="single" w:sz="4" w:space="0" w:color="auto"/>
              <w:right w:val="single" w:sz="4" w:space="0" w:color="auto"/>
            </w:tcBorders>
          </w:tcPr>
          <w:p>
            <w:pPr>
              <w:jc w:val="center"/>
              <w:rPr>
                <w:b/>
                <w:noProof/>
                <w:sz w:val="20"/>
                <w:szCs w:val="20"/>
              </w:rPr>
            </w:pPr>
            <w:r>
              <w:rPr>
                <w:noProof/>
                <w:color w:val="000000"/>
                <w:sz w:val="20"/>
                <w:szCs w:val="20"/>
              </w:rPr>
              <w:t>7 954, 600</w:t>
            </w:r>
          </w:p>
        </w:tc>
        <w:tc>
          <w:tcPr>
            <w:tcW w:w="716" w:type="dxa"/>
            <w:tcBorders>
              <w:top w:val="single" w:sz="4" w:space="0" w:color="auto"/>
              <w:left w:val="single" w:sz="4" w:space="0" w:color="auto"/>
              <w:bottom w:val="single" w:sz="4" w:space="0" w:color="auto"/>
              <w:right w:val="single" w:sz="4" w:space="0" w:color="auto"/>
            </w:tcBorders>
          </w:tcPr>
          <w:p>
            <w:pPr>
              <w:jc w:val="center"/>
              <w:rPr>
                <w:b/>
                <w:noProof/>
                <w:sz w:val="20"/>
                <w:szCs w:val="20"/>
              </w:rPr>
            </w:pPr>
            <w:r>
              <w:rPr>
                <w:noProof/>
                <w:color w:val="000000"/>
                <w:sz w:val="20"/>
                <w:szCs w:val="20"/>
              </w:rPr>
              <w:t>8 114, 600</w:t>
            </w:r>
          </w:p>
        </w:tc>
        <w:tc>
          <w:tcPr>
            <w:tcW w:w="716" w:type="dxa"/>
            <w:tcBorders>
              <w:top w:val="single" w:sz="4" w:space="0" w:color="auto"/>
              <w:left w:val="single" w:sz="4" w:space="0" w:color="auto"/>
              <w:bottom w:val="single" w:sz="4" w:space="0" w:color="auto"/>
              <w:right w:val="single" w:sz="4" w:space="0" w:color="auto"/>
            </w:tcBorders>
          </w:tcPr>
          <w:p>
            <w:pPr>
              <w:jc w:val="center"/>
              <w:rPr>
                <w:b/>
                <w:noProof/>
                <w:sz w:val="20"/>
                <w:szCs w:val="20"/>
              </w:rPr>
            </w:pPr>
            <w:r>
              <w:rPr>
                <w:b/>
                <w:noProof/>
                <w:sz w:val="20"/>
                <w:szCs w:val="20"/>
              </w:rPr>
              <w:t>8 276, 600</w:t>
            </w:r>
          </w:p>
        </w:tc>
        <w:tc>
          <w:tcPr>
            <w:tcW w:w="716" w:type="dxa"/>
            <w:tcBorders>
              <w:top w:val="single" w:sz="4" w:space="0" w:color="auto"/>
              <w:left w:val="single" w:sz="4" w:space="0" w:color="auto"/>
              <w:bottom w:val="single" w:sz="4" w:space="0" w:color="auto"/>
              <w:right w:val="single" w:sz="4" w:space="0" w:color="auto"/>
            </w:tcBorders>
          </w:tcPr>
          <w:p>
            <w:pPr>
              <w:jc w:val="center"/>
              <w:rPr>
                <w:b/>
                <w:noProof/>
                <w:sz w:val="20"/>
                <w:szCs w:val="20"/>
              </w:rPr>
            </w:pPr>
            <w:r>
              <w:rPr>
                <w:b/>
                <w:noProof/>
                <w:sz w:val="20"/>
                <w:szCs w:val="20"/>
              </w:rPr>
              <w:t>8 441, 600</w:t>
            </w:r>
          </w:p>
        </w:tc>
        <w:tc>
          <w:tcPr>
            <w:tcW w:w="716" w:type="dxa"/>
            <w:tcBorders>
              <w:top w:val="single" w:sz="4" w:space="0" w:color="auto"/>
              <w:left w:val="single" w:sz="4" w:space="0" w:color="auto"/>
              <w:bottom w:val="single" w:sz="4" w:space="0" w:color="auto"/>
              <w:right w:val="single" w:sz="4" w:space="0" w:color="auto"/>
            </w:tcBorders>
          </w:tcPr>
          <w:p>
            <w:pPr>
              <w:jc w:val="center"/>
              <w:rPr>
                <w:b/>
                <w:noProof/>
                <w:sz w:val="20"/>
                <w:szCs w:val="20"/>
              </w:rPr>
            </w:pPr>
          </w:p>
        </w:tc>
        <w:tc>
          <w:tcPr>
            <w:tcW w:w="716" w:type="dxa"/>
            <w:tcBorders>
              <w:top w:val="single" w:sz="4" w:space="0" w:color="auto"/>
              <w:left w:val="single" w:sz="4" w:space="0" w:color="auto"/>
              <w:bottom w:val="single" w:sz="4" w:space="0" w:color="auto"/>
              <w:right w:val="single" w:sz="4" w:space="0" w:color="auto"/>
            </w:tcBorders>
          </w:tcPr>
          <w:p>
            <w:pPr>
              <w:jc w:val="center"/>
              <w:rPr>
                <w:b/>
                <w:noProof/>
                <w:sz w:val="20"/>
                <w:szCs w:val="20"/>
              </w:rPr>
            </w:pPr>
          </w:p>
        </w:tc>
        <w:tc>
          <w:tcPr>
            <w:tcW w:w="716" w:type="dxa"/>
            <w:tcBorders>
              <w:top w:val="single" w:sz="4" w:space="0" w:color="auto"/>
              <w:left w:val="single" w:sz="4" w:space="0" w:color="auto"/>
              <w:bottom w:val="single" w:sz="4" w:space="0" w:color="auto"/>
              <w:right w:val="single" w:sz="4" w:space="0" w:color="auto"/>
            </w:tcBorders>
          </w:tcPr>
          <w:p>
            <w:pPr>
              <w:jc w:val="center"/>
              <w:rPr>
                <w:b/>
                <w:noProof/>
                <w:sz w:val="20"/>
                <w:szCs w:val="20"/>
              </w:rPr>
            </w:pPr>
          </w:p>
        </w:tc>
        <w:tc>
          <w:tcPr>
            <w:tcW w:w="1017" w:type="dxa"/>
            <w:tcBorders>
              <w:top w:val="single" w:sz="4" w:space="0" w:color="auto"/>
              <w:left w:val="single" w:sz="4" w:space="0" w:color="auto"/>
              <w:bottom w:val="single" w:sz="4" w:space="0" w:color="auto"/>
              <w:right w:val="single" w:sz="4" w:space="0" w:color="auto"/>
            </w:tcBorders>
          </w:tcPr>
          <w:p>
            <w:pPr>
              <w:jc w:val="center"/>
              <w:rPr>
                <w:b/>
                <w:noProof/>
                <w:sz w:val="20"/>
                <w:szCs w:val="20"/>
              </w:rPr>
            </w:pPr>
            <w:r>
              <w:rPr>
                <w:b/>
                <w:noProof/>
                <w:sz w:val="20"/>
                <w:szCs w:val="20"/>
              </w:rPr>
              <w:t>32 787, 400</w:t>
            </w:r>
          </w:p>
        </w:tc>
      </w:tr>
      <w:tr>
        <w:tc>
          <w:tcPr>
            <w:tcW w:w="4252" w:type="dxa"/>
            <w:vMerge/>
            <w:tcBorders>
              <w:left w:val="single" w:sz="4" w:space="0" w:color="auto"/>
              <w:bottom w:val="single" w:sz="4" w:space="0" w:color="auto"/>
              <w:right w:val="single" w:sz="4" w:space="0" w:color="auto"/>
            </w:tcBorders>
            <w:vAlign w:val="center"/>
          </w:tcPr>
          <w:p>
            <w:pPr>
              <w:jc w:val="center"/>
              <w:rPr>
                <w:noProof/>
                <w:sz w:val="20"/>
                <w:szCs w:val="20"/>
              </w:rPr>
            </w:pPr>
          </w:p>
        </w:tc>
        <w:tc>
          <w:tcPr>
            <w:tcW w:w="2440" w:type="dxa"/>
            <w:tcBorders>
              <w:top w:val="single" w:sz="4" w:space="0" w:color="auto"/>
              <w:left w:val="single" w:sz="4" w:space="0" w:color="auto"/>
              <w:bottom w:val="single" w:sz="4" w:space="0" w:color="auto"/>
              <w:right w:val="single" w:sz="4" w:space="0" w:color="auto"/>
            </w:tcBorders>
          </w:tcPr>
          <w:p>
            <w:pPr>
              <w:jc w:val="center"/>
              <w:rPr>
                <w:noProof/>
                <w:sz w:val="20"/>
                <w:szCs w:val="20"/>
              </w:rPr>
            </w:pPr>
            <w:r>
              <w:rPr>
                <w:noProof/>
                <w:sz w:val="20"/>
                <w:szCs w:val="20"/>
              </w:rPr>
              <w:t>Payments</w:t>
            </w:r>
          </w:p>
        </w:tc>
        <w:tc>
          <w:tcPr>
            <w:tcW w:w="742" w:type="dxa"/>
            <w:tcBorders>
              <w:top w:val="single" w:sz="4" w:space="0" w:color="auto"/>
              <w:left w:val="single" w:sz="4" w:space="0" w:color="auto"/>
              <w:bottom w:val="single" w:sz="4" w:space="0" w:color="auto"/>
              <w:right w:val="single" w:sz="4" w:space="0" w:color="auto"/>
            </w:tcBorders>
          </w:tcPr>
          <w:p>
            <w:pPr>
              <w:jc w:val="center"/>
              <w:rPr>
                <w:noProof/>
                <w:sz w:val="20"/>
                <w:szCs w:val="20"/>
              </w:rPr>
            </w:pPr>
            <w:r>
              <w:rPr>
                <w:noProof/>
                <w:sz w:val="20"/>
                <w:szCs w:val="20"/>
              </w:rPr>
              <w:t>(2)</w:t>
            </w:r>
          </w:p>
        </w:tc>
        <w:tc>
          <w:tcPr>
            <w:tcW w:w="716" w:type="dxa"/>
            <w:tcBorders>
              <w:top w:val="single" w:sz="4" w:space="0" w:color="auto"/>
              <w:left w:val="single" w:sz="4" w:space="0" w:color="auto"/>
              <w:bottom w:val="single" w:sz="4" w:space="0" w:color="auto"/>
              <w:right w:val="single" w:sz="4" w:space="0" w:color="auto"/>
            </w:tcBorders>
          </w:tcPr>
          <w:p>
            <w:pPr>
              <w:spacing w:before="0" w:after="0"/>
              <w:jc w:val="center"/>
              <w:rPr>
                <w:b/>
                <w:noProof/>
                <w:sz w:val="20"/>
                <w:szCs w:val="20"/>
              </w:rPr>
            </w:pPr>
            <w:r>
              <w:rPr>
                <w:b/>
                <w:noProof/>
                <w:sz w:val="20"/>
                <w:szCs w:val="20"/>
              </w:rPr>
              <w:t>7 310, 645</w:t>
            </w:r>
          </w:p>
        </w:tc>
        <w:tc>
          <w:tcPr>
            <w:tcW w:w="716" w:type="dxa"/>
            <w:tcBorders>
              <w:top w:val="single" w:sz="4" w:space="0" w:color="auto"/>
              <w:left w:val="single" w:sz="4" w:space="0" w:color="auto"/>
              <w:bottom w:val="single" w:sz="4" w:space="0" w:color="auto"/>
              <w:right w:val="single" w:sz="4" w:space="0" w:color="auto"/>
            </w:tcBorders>
          </w:tcPr>
          <w:p>
            <w:pPr>
              <w:spacing w:before="0" w:after="0"/>
              <w:jc w:val="center"/>
              <w:rPr>
                <w:b/>
                <w:noProof/>
                <w:sz w:val="20"/>
                <w:szCs w:val="20"/>
              </w:rPr>
            </w:pPr>
            <w:r>
              <w:rPr>
                <w:b/>
                <w:noProof/>
                <w:sz w:val="20"/>
                <w:szCs w:val="20"/>
              </w:rPr>
              <w:t>7 726, 658</w:t>
            </w:r>
          </w:p>
        </w:tc>
        <w:tc>
          <w:tcPr>
            <w:tcW w:w="716" w:type="dxa"/>
            <w:tcBorders>
              <w:top w:val="single" w:sz="4" w:space="0" w:color="auto"/>
              <w:left w:val="single" w:sz="4" w:space="0" w:color="auto"/>
              <w:bottom w:val="single" w:sz="4" w:space="0" w:color="auto"/>
              <w:right w:val="single" w:sz="4" w:space="0" w:color="auto"/>
            </w:tcBorders>
          </w:tcPr>
          <w:p>
            <w:pPr>
              <w:spacing w:before="0" w:after="0"/>
              <w:jc w:val="center"/>
              <w:rPr>
                <w:b/>
                <w:noProof/>
                <w:sz w:val="20"/>
                <w:szCs w:val="20"/>
              </w:rPr>
            </w:pPr>
            <w:r>
              <w:rPr>
                <w:b/>
                <w:noProof/>
                <w:sz w:val="20"/>
                <w:szCs w:val="20"/>
              </w:rPr>
              <w:t>7 212, 000</w:t>
            </w:r>
          </w:p>
        </w:tc>
        <w:tc>
          <w:tcPr>
            <w:tcW w:w="716" w:type="dxa"/>
            <w:tcBorders>
              <w:top w:val="single" w:sz="4" w:space="0" w:color="auto"/>
              <w:left w:val="single" w:sz="4" w:space="0" w:color="auto"/>
              <w:bottom w:val="single" w:sz="4" w:space="0" w:color="auto"/>
              <w:right w:val="single" w:sz="4" w:space="0" w:color="auto"/>
            </w:tcBorders>
          </w:tcPr>
          <w:p>
            <w:pPr>
              <w:spacing w:before="0" w:after="0"/>
              <w:jc w:val="center"/>
              <w:rPr>
                <w:b/>
                <w:noProof/>
                <w:sz w:val="20"/>
                <w:szCs w:val="20"/>
              </w:rPr>
            </w:pPr>
            <w:r>
              <w:rPr>
                <w:b/>
                <w:noProof/>
                <w:sz w:val="20"/>
                <w:szCs w:val="20"/>
              </w:rPr>
              <w:t>6 294, 109</w:t>
            </w:r>
          </w:p>
        </w:tc>
        <w:tc>
          <w:tcPr>
            <w:tcW w:w="716" w:type="dxa"/>
            <w:tcBorders>
              <w:top w:val="single" w:sz="4" w:space="0" w:color="auto"/>
              <w:left w:val="single" w:sz="4" w:space="0" w:color="auto"/>
              <w:bottom w:val="single" w:sz="4" w:space="0" w:color="auto"/>
              <w:right w:val="single" w:sz="4" w:space="0" w:color="auto"/>
            </w:tcBorders>
          </w:tcPr>
          <w:p>
            <w:pPr>
              <w:spacing w:before="0" w:after="0"/>
              <w:jc w:val="center"/>
              <w:rPr>
                <w:b/>
                <w:noProof/>
                <w:sz w:val="20"/>
                <w:szCs w:val="20"/>
              </w:rPr>
            </w:pPr>
            <w:r>
              <w:rPr>
                <w:b/>
                <w:noProof/>
                <w:sz w:val="20"/>
                <w:szCs w:val="20"/>
              </w:rPr>
              <w:t>4 243, 988</w:t>
            </w:r>
          </w:p>
        </w:tc>
        <w:tc>
          <w:tcPr>
            <w:tcW w:w="716" w:type="dxa"/>
            <w:tcBorders>
              <w:top w:val="single" w:sz="4" w:space="0" w:color="auto"/>
              <w:left w:val="single" w:sz="4" w:space="0" w:color="auto"/>
              <w:bottom w:val="single" w:sz="4" w:space="0" w:color="auto"/>
              <w:right w:val="single" w:sz="4" w:space="0" w:color="auto"/>
            </w:tcBorders>
          </w:tcPr>
          <w:p>
            <w:pPr>
              <w:spacing w:before="0" w:after="0"/>
              <w:jc w:val="center"/>
              <w:rPr>
                <w:b/>
                <w:noProof/>
                <w:sz w:val="20"/>
                <w:szCs w:val="20"/>
              </w:rPr>
            </w:pPr>
          </w:p>
        </w:tc>
        <w:tc>
          <w:tcPr>
            <w:tcW w:w="716" w:type="dxa"/>
            <w:tcBorders>
              <w:top w:val="single" w:sz="4" w:space="0" w:color="auto"/>
              <w:left w:val="single" w:sz="4" w:space="0" w:color="auto"/>
              <w:bottom w:val="single" w:sz="4" w:space="0" w:color="auto"/>
              <w:right w:val="single" w:sz="4" w:space="0" w:color="auto"/>
            </w:tcBorders>
          </w:tcPr>
          <w:p>
            <w:pPr>
              <w:spacing w:before="0" w:after="0"/>
              <w:jc w:val="center"/>
              <w:rPr>
                <w:b/>
                <w:noProof/>
                <w:sz w:val="20"/>
                <w:szCs w:val="20"/>
              </w:rPr>
            </w:pPr>
          </w:p>
        </w:tc>
        <w:tc>
          <w:tcPr>
            <w:tcW w:w="1017" w:type="dxa"/>
            <w:tcBorders>
              <w:top w:val="single" w:sz="4" w:space="0" w:color="auto"/>
              <w:left w:val="single" w:sz="4" w:space="0" w:color="auto"/>
              <w:bottom w:val="single" w:sz="4" w:space="0" w:color="auto"/>
              <w:right w:val="single" w:sz="4" w:space="0" w:color="auto"/>
            </w:tcBorders>
          </w:tcPr>
          <w:p>
            <w:pPr>
              <w:spacing w:before="0" w:after="0"/>
              <w:jc w:val="center"/>
              <w:rPr>
                <w:b/>
                <w:noProof/>
                <w:sz w:val="20"/>
                <w:szCs w:val="20"/>
              </w:rPr>
            </w:pPr>
            <w:r>
              <w:rPr>
                <w:b/>
                <w:noProof/>
                <w:sz w:val="20"/>
                <w:szCs w:val="20"/>
              </w:rPr>
              <w:t>32 787, 400</w:t>
            </w:r>
          </w:p>
        </w:tc>
      </w:tr>
      <w:tr>
        <w:tc>
          <w:tcPr>
            <w:tcW w:w="4252" w:type="dxa"/>
            <w:tcBorders>
              <w:top w:val="single" w:sz="4" w:space="0" w:color="auto"/>
              <w:left w:val="single" w:sz="4" w:space="0" w:color="auto"/>
              <w:bottom w:val="single" w:sz="4" w:space="0" w:color="auto"/>
              <w:right w:val="single" w:sz="4" w:space="0" w:color="auto"/>
            </w:tcBorders>
            <w:vAlign w:val="center"/>
          </w:tcPr>
          <w:p>
            <w:pPr>
              <w:jc w:val="center"/>
              <w:rPr>
                <w:noProof/>
                <w:sz w:val="20"/>
                <w:szCs w:val="20"/>
              </w:rPr>
            </w:pPr>
            <w:r>
              <w:rPr>
                <w:noProof/>
                <w:sz w:val="20"/>
                <w:szCs w:val="20"/>
              </w:rPr>
              <w:t>Administrative support expenditure financed from ERI external assigned revenues</w:t>
            </w:r>
          </w:p>
        </w:tc>
        <w:tc>
          <w:tcPr>
            <w:tcW w:w="2440" w:type="dxa"/>
            <w:tcBorders>
              <w:top w:val="single" w:sz="4" w:space="0" w:color="auto"/>
              <w:left w:val="single" w:sz="4" w:space="0" w:color="auto"/>
              <w:bottom w:val="single" w:sz="4" w:space="0" w:color="auto"/>
              <w:right w:val="single" w:sz="4" w:space="0" w:color="auto"/>
            </w:tcBorders>
            <w:vAlign w:val="center"/>
          </w:tcPr>
          <w:p>
            <w:pPr>
              <w:jc w:val="center"/>
              <w:rPr>
                <w:noProof/>
                <w:sz w:val="20"/>
                <w:szCs w:val="20"/>
              </w:rPr>
            </w:pPr>
            <w:r>
              <w:rPr>
                <w:noProof/>
                <w:sz w:val="20"/>
                <w:szCs w:val="20"/>
              </w:rPr>
              <w:t>Commitments = Payments</w:t>
            </w:r>
          </w:p>
        </w:tc>
        <w:tc>
          <w:tcPr>
            <w:tcW w:w="742" w:type="dxa"/>
            <w:tcBorders>
              <w:top w:val="single" w:sz="4" w:space="0" w:color="auto"/>
              <w:left w:val="single" w:sz="4" w:space="0" w:color="auto"/>
              <w:bottom w:val="single" w:sz="4" w:space="0" w:color="auto"/>
              <w:right w:val="single" w:sz="4" w:space="0" w:color="auto"/>
            </w:tcBorders>
            <w:vAlign w:val="center"/>
          </w:tcPr>
          <w:p>
            <w:pPr>
              <w:jc w:val="center"/>
              <w:rPr>
                <w:noProof/>
                <w:sz w:val="20"/>
                <w:szCs w:val="20"/>
              </w:rPr>
            </w:pPr>
            <w:r>
              <w:rPr>
                <w:noProof/>
                <w:sz w:val="20"/>
                <w:szCs w:val="20"/>
              </w:rPr>
              <w:t>(3)</w:t>
            </w:r>
          </w:p>
        </w:tc>
        <w:tc>
          <w:tcPr>
            <w:tcW w:w="716" w:type="dxa"/>
            <w:tcBorders>
              <w:top w:val="single" w:sz="4" w:space="0" w:color="auto"/>
              <w:left w:val="single" w:sz="4" w:space="0" w:color="auto"/>
              <w:bottom w:val="single" w:sz="4" w:space="0" w:color="auto"/>
              <w:right w:val="single" w:sz="4" w:space="0" w:color="auto"/>
            </w:tcBorders>
          </w:tcPr>
          <w:p>
            <w:pPr>
              <w:jc w:val="center"/>
              <w:rPr>
                <w:b/>
                <w:noProof/>
                <w:sz w:val="20"/>
                <w:szCs w:val="20"/>
              </w:rPr>
            </w:pPr>
            <w:r>
              <w:rPr>
                <w:b/>
                <w:noProof/>
                <w:sz w:val="20"/>
                <w:szCs w:val="20"/>
              </w:rPr>
              <w:t>2, 400</w:t>
            </w:r>
          </w:p>
        </w:tc>
        <w:tc>
          <w:tcPr>
            <w:tcW w:w="716" w:type="dxa"/>
            <w:tcBorders>
              <w:top w:val="single" w:sz="4" w:space="0" w:color="auto"/>
              <w:left w:val="single" w:sz="4" w:space="0" w:color="auto"/>
              <w:bottom w:val="single" w:sz="4" w:space="0" w:color="auto"/>
              <w:right w:val="single" w:sz="4" w:space="0" w:color="auto"/>
            </w:tcBorders>
          </w:tcPr>
          <w:p>
            <w:pPr>
              <w:jc w:val="center"/>
              <w:rPr>
                <w:b/>
                <w:noProof/>
                <w:sz w:val="20"/>
                <w:szCs w:val="20"/>
              </w:rPr>
            </w:pPr>
            <w:r>
              <w:rPr>
                <w:b/>
                <w:noProof/>
                <w:sz w:val="20"/>
                <w:szCs w:val="20"/>
              </w:rPr>
              <w:t>2, 400</w:t>
            </w:r>
          </w:p>
        </w:tc>
        <w:tc>
          <w:tcPr>
            <w:tcW w:w="716" w:type="dxa"/>
            <w:tcBorders>
              <w:top w:val="single" w:sz="4" w:space="0" w:color="auto"/>
              <w:left w:val="single" w:sz="4" w:space="0" w:color="auto"/>
              <w:bottom w:val="single" w:sz="4" w:space="0" w:color="auto"/>
              <w:right w:val="single" w:sz="4" w:space="0" w:color="auto"/>
            </w:tcBorders>
          </w:tcPr>
          <w:p>
            <w:pPr>
              <w:jc w:val="center"/>
              <w:rPr>
                <w:b/>
                <w:noProof/>
                <w:sz w:val="20"/>
                <w:szCs w:val="20"/>
              </w:rPr>
            </w:pPr>
            <w:r>
              <w:rPr>
                <w:b/>
                <w:noProof/>
                <w:sz w:val="20"/>
                <w:szCs w:val="20"/>
              </w:rPr>
              <w:t>2, 400</w:t>
            </w:r>
          </w:p>
        </w:tc>
        <w:tc>
          <w:tcPr>
            <w:tcW w:w="716" w:type="dxa"/>
            <w:tcBorders>
              <w:top w:val="single" w:sz="4" w:space="0" w:color="auto"/>
              <w:left w:val="single" w:sz="4" w:space="0" w:color="auto"/>
              <w:bottom w:val="single" w:sz="4" w:space="0" w:color="auto"/>
              <w:right w:val="single" w:sz="4" w:space="0" w:color="auto"/>
            </w:tcBorders>
          </w:tcPr>
          <w:p>
            <w:pPr>
              <w:jc w:val="center"/>
              <w:rPr>
                <w:b/>
                <w:noProof/>
                <w:sz w:val="20"/>
                <w:szCs w:val="20"/>
              </w:rPr>
            </w:pPr>
            <w:r>
              <w:rPr>
                <w:b/>
                <w:noProof/>
                <w:sz w:val="20"/>
                <w:szCs w:val="20"/>
              </w:rPr>
              <w:t>2, 400</w:t>
            </w:r>
          </w:p>
        </w:tc>
        <w:tc>
          <w:tcPr>
            <w:tcW w:w="716" w:type="dxa"/>
            <w:tcBorders>
              <w:top w:val="single" w:sz="4" w:space="0" w:color="auto"/>
              <w:left w:val="single" w:sz="4" w:space="0" w:color="auto"/>
              <w:bottom w:val="single" w:sz="4" w:space="0" w:color="auto"/>
              <w:right w:val="single" w:sz="4" w:space="0" w:color="auto"/>
            </w:tcBorders>
          </w:tcPr>
          <w:p>
            <w:pPr>
              <w:jc w:val="center"/>
              <w:rPr>
                <w:b/>
                <w:noProof/>
                <w:sz w:val="20"/>
                <w:szCs w:val="20"/>
              </w:rPr>
            </w:pPr>
            <w:r>
              <w:rPr>
                <w:b/>
                <w:noProof/>
                <w:sz w:val="20"/>
                <w:szCs w:val="20"/>
              </w:rPr>
              <w:t>2, 000</w:t>
            </w:r>
          </w:p>
        </w:tc>
        <w:tc>
          <w:tcPr>
            <w:tcW w:w="716" w:type="dxa"/>
            <w:tcBorders>
              <w:top w:val="single" w:sz="4" w:space="0" w:color="auto"/>
              <w:left w:val="single" w:sz="4" w:space="0" w:color="auto"/>
              <w:bottom w:val="single" w:sz="4" w:space="0" w:color="auto"/>
              <w:right w:val="single" w:sz="4" w:space="0" w:color="auto"/>
            </w:tcBorders>
          </w:tcPr>
          <w:p>
            <w:pPr>
              <w:jc w:val="center"/>
              <w:rPr>
                <w:b/>
                <w:noProof/>
                <w:sz w:val="20"/>
                <w:szCs w:val="20"/>
              </w:rPr>
            </w:pPr>
            <w:r>
              <w:rPr>
                <w:b/>
                <w:noProof/>
                <w:sz w:val="20"/>
                <w:szCs w:val="20"/>
              </w:rPr>
              <w:t>2, 000</w:t>
            </w:r>
          </w:p>
        </w:tc>
        <w:tc>
          <w:tcPr>
            <w:tcW w:w="716" w:type="dxa"/>
            <w:tcBorders>
              <w:top w:val="single" w:sz="4" w:space="0" w:color="auto"/>
              <w:left w:val="single" w:sz="4" w:space="0" w:color="auto"/>
              <w:bottom w:val="single" w:sz="4" w:space="0" w:color="auto"/>
              <w:right w:val="single" w:sz="4" w:space="0" w:color="auto"/>
            </w:tcBorders>
          </w:tcPr>
          <w:p>
            <w:pPr>
              <w:jc w:val="center"/>
              <w:rPr>
                <w:b/>
                <w:noProof/>
                <w:sz w:val="20"/>
                <w:szCs w:val="20"/>
              </w:rPr>
            </w:pPr>
            <w:r>
              <w:rPr>
                <w:b/>
                <w:noProof/>
                <w:sz w:val="20"/>
                <w:szCs w:val="20"/>
              </w:rPr>
              <w:t>2, 000</w:t>
            </w:r>
          </w:p>
        </w:tc>
        <w:tc>
          <w:tcPr>
            <w:tcW w:w="1017" w:type="dxa"/>
            <w:tcBorders>
              <w:top w:val="single" w:sz="4" w:space="0" w:color="auto"/>
              <w:left w:val="single" w:sz="4" w:space="0" w:color="auto"/>
              <w:bottom w:val="single" w:sz="4" w:space="0" w:color="auto"/>
              <w:right w:val="single" w:sz="4" w:space="0" w:color="auto"/>
            </w:tcBorders>
          </w:tcPr>
          <w:p>
            <w:pPr>
              <w:jc w:val="center"/>
              <w:rPr>
                <w:b/>
                <w:noProof/>
                <w:sz w:val="20"/>
                <w:szCs w:val="20"/>
              </w:rPr>
            </w:pPr>
            <w:r>
              <w:rPr>
                <w:b/>
                <w:noProof/>
                <w:sz w:val="20"/>
                <w:szCs w:val="20"/>
              </w:rPr>
              <w:t>15, 600</w:t>
            </w:r>
          </w:p>
        </w:tc>
      </w:tr>
      <w:tr>
        <w:tc>
          <w:tcPr>
            <w:tcW w:w="4252" w:type="dxa"/>
            <w:vMerge w:val="restart"/>
            <w:tcBorders>
              <w:top w:val="single" w:sz="4" w:space="0" w:color="auto"/>
              <w:left w:val="single" w:sz="4" w:space="0" w:color="auto"/>
              <w:right w:val="single" w:sz="4" w:space="0" w:color="auto"/>
            </w:tcBorders>
            <w:vAlign w:val="center"/>
          </w:tcPr>
          <w:p>
            <w:pPr>
              <w:jc w:val="center"/>
              <w:rPr>
                <w:noProof/>
                <w:sz w:val="20"/>
                <w:szCs w:val="20"/>
              </w:rPr>
            </w:pPr>
            <w:r>
              <w:rPr>
                <w:noProof/>
                <w:sz w:val="20"/>
                <w:szCs w:val="20"/>
              </w:rPr>
              <w:t>Total expenditure financed from ERI external assigned revenues</w:t>
            </w:r>
          </w:p>
        </w:tc>
        <w:tc>
          <w:tcPr>
            <w:tcW w:w="2440" w:type="dxa"/>
            <w:tcBorders>
              <w:top w:val="single" w:sz="4" w:space="0" w:color="auto"/>
              <w:left w:val="single" w:sz="4" w:space="0" w:color="auto"/>
              <w:bottom w:val="single" w:sz="4" w:space="0" w:color="auto"/>
              <w:right w:val="single" w:sz="4" w:space="0" w:color="auto"/>
            </w:tcBorders>
          </w:tcPr>
          <w:p>
            <w:pPr>
              <w:jc w:val="center"/>
              <w:rPr>
                <w:noProof/>
                <w:sz w:val="20"/>
                <w:szCs w:val="20"/>
              </w:rPr>
            </w:pPr>
            <w:r>
              <w:rPr>
                <w:noProof/>
                <w:sz w:val="20"/>
                <w:szCs w:val="20"/>
              </w:rPr>
              <w:t>Commitments</w:t>
            </w:r>
          </w:p>
        </w:tc>
        <w:tc>
          <w:tcPr>
            <w:tcW w:w="742" w:type="dxa"/>
            <w:tcBorders>
              <w:top w:val="single" w:sz="4" w:space="0" w:color="auto"/>
              <w:left w:val="single" w:sz="4" w:space="0" w:color="auto"/>
              <w:bottom w:val="single" w:sz="4" w:space="0" w:color="auto"/>
              <w:right w:val="single" w:sz="4" w:space="0" w:color="auto"/>
            </w:tcBorders>
          </w:tcPr>
          <w:p>
            <w:pPr>
              <w:jc w:val="center"/>
              <w:rPr>
                <w:noProof/>
                <w:sz w:val="20"/>
                <w:szCs w:val="20"/>
              </w:rPr>
            </w:pPr>
            <w:r>
              <w:rPr>
                <w:noProof/>
                <w:sz w:val="20"/>
                <w:szCs w:val="20"/>
              </w:rPr>
              <w:t>=1+3</w:t>
            </w:r>
          </w:p>
        </w:tc>
        <w:tc>
          <w:tcPr>
            <w:tcW w:w="716" w:type="dxa"/>
            <w:tcBorders>
              <w:top w:val="single" w:sz="4" w:space="0" w:color="auto"/>
              <w:left w:val="single" w:sz="4" w:space="0" w:color="auto"/>
              <w:bottom w:val="single" w:sz="4" w:space="0" w:color="auto"/>
              <w:right w:val="single" w:sz="4" w:space="0" w:color="auto"/>
            </w:tcBorders>
          </w:tcPr>
          <w:p>
            <w:pPr>
              <w:jc w:val="center"/>
              <w:rPr>
                <w:b/>
                <w:noProof/>
                <w:sz w:val="20"/>
                <w:szCs w:val="20"/>
              </w:rPr>
            </w:pPr>
            <w:r>
              <w:rPr>
                <w:b/>
                <w:noProof/>
                <w:sz w:val="20"/>
                <w:szCs w:val="20"/>
              </w:rPr>
              <w:t>7 957, 000</w:t>
            </w:r>
          </w:p>
        </w:tc>
        <w:tc>
          <w:tcPr>
            <w:tcW w:w="716" w:type="dxa"/>
            <w:tcBorders>
              <w:top w:val="single" w:sz="4" w:space="0" w:color="auto"/>
              <w:left w:val="single" w:sz="4" w:space="0" w:color="auto"/>
              <w:bottom w:val="single" w:sz="4" w:space="0" w:color="auto"/>
              <w:right w:val="single" w:sz="4" w:space="0" w:color="auto"/>
            </w:tcBorders>
          </w:tcPr>
          <w:p>
            <w:pPr>
              <w:jc w:val="center"/>
              <w:rPr>
                <w:b/>
                <w:noProof/>
                <w:sz w:val="20"/>
                <w:szCs w:val="20"/>
              </w:rPr>
            </w:pPr>
            <w:r>
              <w:rPr>
                <w:b/>
                <w:noProof/>
                <w:sz w:val="20"/>
                <w:szCs w:val="20"/>
              </w:rPr>
              <w:t>8 117, 000</w:t>
            </w:r>
          </w:p>
        </w:tc>
        <w:tc>
          <w:tcPr>
            <w:tcW w:w="716" w:type="dxa"/>
            <w:tcBorders>
              <w:top w:val="single" w:sz="4" w:space="0" w:color="auto"/>
              <w:left w:val="single" w:sz="4" w:space="0" w:color="auto"/>
              <w:bottom w:val="single" w:sz="4" w:space="0" w:color="auto"/>
              <w:right w:val="single" w:sz="4" w:space="0" w:color="auto"/>
            </w:tcBorders>
          </w:tcPr>
          <w:p>
            <w:pPr>
              <w:jc w:val="center"/>
              <w:rPr>
                <w:b/>
                <w:noProof/>
                <w:sz w:val="20"/>
                <w:szCs w:val="20"/>
              </w:rPr>
            </w:pPr>
            <w:r>
              <w:rPr>
                <w:b/>
                <w:noProof/>
                <w:sz w:val="20"/>
                <w:szCs w:val="20"/>
              </w:rPr>
              <w:t>8 279, 000</w:t>
            </w:r>
          </w:p>
        </w:tc>
        <w:tc>
          <w:tcPr>
            <w:tcW w:w="716" w:type="dxa"/>
            <w:tcBorders>
              <w:top w:val="single" w:sz="4" w:space="0" w:color="auto"/>
              <w:left w:val="single" w:sz="4" w:space="0" w:color="auto"/>
              <w:bottom w:val="single" w:sz="4" w:space="0" w:color="auto"/>
              <w:right w:val="single" w:sz="4" w:space="0" w:color="auto"/>
            </w:tcBorders>
          </w:tcPr>
          <w:p>
            <w:pPr>
              <w:jc w:val="center"/>
              <w:rPr>
                <w:b/>
                <w:noProof/>
                <w:sz w:val="20"/>
                <w:szCs w:val="20"/>
              </w:rPr>
            </w:pPr>
            <w:r>
              <w:rPr>
                <w:b/>
                <w:noProof/>
                <w:sz w:val="20"/>
                <w:szCs w:val="20"/>
              </w:rPr>
              <w:t>8 444,000</w:t>
            </w:r>
          </w:p>
        </w:tc>
        <w:tc>
          <w:tcPr>
            <w:tcW w:w="716" w:type="dxa"/>
            <w:tcBorders>
              <w:top w:val="single" w:sz="4" w:space="0" w:color="auto"/>
              <w:left w:val="single" w:sz="4" w:space="0" w:color="auto"/>
              <w:bottom w:val="single" w:sz="4" w:space="0" w:color="auto"/>
              <w:right w:val="single" w:sz="4" w:space="0" w:color="auto"/>
            </w:tcBorders>
          </w:tcPr>
          <w:p>
            <w:pPr>
              <w:jc w:val="center"/>
              <w:rPr>
                <w:b/>
                <w:noProof/>
                <w:sz w:val="20"/>
                <w:szCs w:val="20"/>
              </w:rPr>
            </w:pPr>
            <w:r>
              <w:rPr>
                <w:b/>
                <w:noProof/>
                <w:sz w:val="20"/>
                <w:szCs w:val="20"/>
              </w:rPr>
              <w:t>2, 000</w:t>
            </w:r>
          </w:p>
        </w:tc>
        <w:tc>
          <w:tcPr>
            <w:tcW w:w="716" w:type="dxa"/>
            <w:tcBorders>
              <w:top w:val="single" w:sz="4" w:space="0" w:color="auto"/>
              <w:left w:val="single" w:sz="4" w:space="0" w:color="auto"/>
              <w:bottom w:val="single" w:sz="4" w:space="0" w:color="auto"/>
              <w:right w:val="single" w:sz="4" w:space="0" w:color="auto"/>
            </w:tcBorders>
          </w:tcPr>
          <w:p>
            <w:pPr>
              <w:jc w:val="center"/>
              <w:rPr>
                <w:b/>
                <w:noProof/>
                <w:sz w:val="20"/>
                <w:szCs w:val="20"/>
              </w:rPr>
            </w:pPr>
            <w:r>
              <w:rPr>
                <w:b/>
                <w:noProof/>
                <w:sz w:val="20"/>
                <w:szCs w:val="20"/>
              </w:rPr>
              <w:t>2, 000</w:t>
            </w:r>
          </w:p>
        </w:tc>
        <w:tc>
          <w:tcPr>
            <w:tcW w:w="716" w:type="dxa"/>
            <w:tcBorders>
              <w:top w:val="single" w:sz="4" w:space="0" w:color="auto"/>
              <w:left w:val="single" w:sz="4" w:space="0" w:color="auto"/>
              <w:bottom w:val="single" w:sz="4" w:space="0" w:color="auto"/>
              <w:right w:val="single" w:sz="4" w:space="0" w:color="auto"/>
            </w:tcBorders>
          </w:tcPr>
          <w:p>
            <w:pPr>
              <w:jc w:val="center"/>
              <w:rPr>
                <w:b/>
                <w:noProof/>
                <w:sz w:val="20"/>
                <w:szCs w:val="20"/>
              </w:rPr>
            </w:pPr>
            <w:r>
              <w:rPr>
                <w:b/>
                <w:noProof/>
                <w:sz w:val="20"/>
                <w:szCs w:val="20"/>
              </w:rPr>
              <w:t>2, 000</w:t>
            </w:r>
          </w:p>
        </w:tc>
        <w:tc>
          <w:tcPr>
            <w:tcW w:w="1017" w:type="dxa"/>
            <w:tcBorders>
              <w:top w:val="single" w:sz="4" w:space="0" w:color="auto"/>
              <w:left w:val="single" w:sz="4" w:space="0" w:color="auto"/>
              <w:bottom w:val="single" w:sz="4" w:space="0" w:color="auto"/>
              <w:right w:val="single" w:sz="4" w:space="0" w:color="auto"/>
            </w:tcBorders>
          </w:tcPr>
          <w:p>
            <w:pPr>
              <w:jc w:val="center"/>
              <w:rPr>
                <w:b/>
                <w:noProof/>
                <w:sz w:val="20"/>
                <w:szCs w:val="20"/>
              </w:rPr>
            </w:pPr>
            <w:r>
              <w:rPr>
                <w:b/>
                <w:noProof/>
                <w:sz w:val="20"/>
                <w:szCs w:val="20"/>
              </w:rPr>
              <w:t>32 803, 000</w:t>
            </w:r>
          </w:p>
        </w:tc>
      </w:tr>
      <w:tr>
        <w:tc>
          <w:tcPr>
            <w:tcW w:w="4252" w:type="dxa"/>
            <w:vMerge/>
            <w:tcBorders>
              <w:left w:val="single" w:sz="4" w:space="0" w:color="auto"/>
              <w:bottom w:val="single" w:sz="4" w:space="0" w:color="auto"/>
              <w:right w:val="single" w:sz="4" w:space="0" w:color="auto"/>
            </w:tcBorders>
            <w:vAlign w:val="center"/>
          </w:tcPr>
          <w:p>
            <w:pPr>
              <w:jc w:val="center"/>
              <w:rPr>
                <w:noProof/>
                <w:sz w:val="20"/>
                <w:szCs w:val="20"/>
              </w:rPr>
            </w:pPr>
          </w:p>
        </w:tc>
        <w:tc>
          <w:tcPr>
            <w:tcW w:w="2440" w:type="dxa"/>
            <w:tcBorders>
              <w:top w:val="single" w:sz="4" w:space="0" w:color="auto"/>
              <w:left w:val="single" w:sz="4" w:space="0" w:color="auto"/>
              <w:bottom w:val="single" w:sz="4" w:space="0" w:color="auto"/>
              <w:right w:val="single" w:sz="4" w:space="0" w:color="auto"/>
            </w:tcBorders>
          </w:tcPr>
          <w:p>
            <w:pPr>
              <w:jc w:val="center"/>
              <w:rPr>
                <w:noProof/>
                <w:sz w:val="20"/>
                <w:szCs w:val="20"/>
              </w:rPr>
            </w:pPr>
            <w:r>
              <w:rPr>
                <w:noProof/>
                <w:sz w:val="20"/>
                <w:szCs w:val="20"/>
              </w:rPr>
              <w:t>Payments</w:t>
            </w:r>
          </w:p>
        </w:tc>
        <w:tc>
          <w:tcPr>
            <w:tcW w:w="742" w:type="dxa"/>
            <w:tcBorders>
              <w:top w:val="single" w:sz="4" w:space="0" w:color="auto"/>
              <w:left w:val="single" w:sz="4" w:space="0" w:color="auto"/>
              <w:bottom w:val="single" w:sz="4" w:space="0" w:color="auto"/>
              <w:right w:val="single" w:sz="4" w:space="0" w:color="auto"/>
            </w:tcBorders>
          </w:tcPr>
          <w:p>
            <w:pPr>
              <w:jc w:val="center"/>
              <w:rPr>
                <w:noProof/>
                <w:sz w:val="20"/>
                <w:szCs w:val="20"/>
              </w:rPr>
            </w:pPr>
            <w:r>
              <w:rPr>
                <w:noProof/>
                <w:sz w:val="20"/>
                <w:szCs w:val="20"/>
              </w:rPr>
              <w:t>=2+3</w:t>
            </w:r>
          </w:p>
        </w:tc>
        <w:tc>
          <w:tcPr>
            <w:tcW w:w="716" w:type="dxa"/>
            <w:tcBorders>
              <w:top w:val="single" w:sz="4" w:space="0" w:color="auto"/>
              <w:left w:val="single" w:sz="4" w:space="0" w:color="auto"/>
              <w:bottom w:val="single" w:sz="4" w:space="0" w:color="auto"/>
              <w:right w:val="single" w:sz="4" w:space="0" w:color="auto"/>
            </w:tcBorders>
          </w:tcPr>
          <w:p>
            <w:pPr>
              <w:spacing w:before="0" w:after="0"/>
              <w:jc w:val="center"/>
              <w:rPr>
                <w:b/>
                <w:noProof/>
                <w:sz w:val="20"/>
                <w:szCs w:val="20"/>
              </w:rPr>
            </w:pPr>
            <w:r>
              <w:rPr>
                <w:b/>
                <w:noProof/>
                <w:sz w:val="20"/>
                <w:szCs w:val="20"/>
              </w:rPr>
              <w:t>7 313, 045</w:t>
            </w:r>
          </w:p>
        </w:tc>
        <w:tc>
          <w:tcPr>
            <w:tcW w:w="716" w:type="dxa"/>
            <w:tcBorders>
              <w:top w:val="single" w:sz="4" w:space="0" w:color="auto"/>
              <w:left w:val="single" w:sz="4" w:space="0" w:color="auto"/>
              <w:bottom w:val="single" w:sz="4" w:space="0" w:color="auto"/>
              <w:right w:val="single" w:sz="4" w:space="0" w:color="auto"/>
            </w:tcBorders>
          </w:tcPr>
          <w:p>
            <w:pPr>
              <w:spacing w:before="0" w:after="0"/>
              <w:jc w:val="center"/>
              <w:rPr>
                <w:b/>
                <w:noProof/>
                <w:sz w:val="20"/>
                <w:szCs w:val="20"/>
              </w:rPr>
            </w:pPr>
            <w:r>
              <w:rPr>
                <w:b/>
                <w:noProof/>
                <w:sz w:val="20"/>
                <w:szCs w:val="20"/>
              </w:rPr>
              <w:t>7 729, 058</w:t>
            </w:r>
          </w:p>
        </w:tc>
        <w:tc>
          <w:tcPr>
            <w:tcW w:w="716" w:type="dxa"/>
            <w:tcBorders>
              <w:top w:val="single" w:sz="4" w:space="0" w:color="auto"/>
              <w:left w:val="single" w:sz="4" w:space="0" w:color="auto"/>
              <w:bottom w:val="single" w:sz="4" w:space="0" w:color="auto"/>
              <w:right w:val="single" w:sz="4" w:space="0" w:color="auto"/>
            </w:tcBorders>
          </w:tcPr>
          <w:p>
            <w:pPr>
              <w:spacing w:before="0" w:after="0"/>
              <w:jc w:val="center"/>
              <w:rPr>
                <w:b/>
                <w:noProof/>
                <w:sz w:val="20"/>
                <w:szCs w:val="20"/>
              </w:rPr>
            </w:pPr>
            <w:r>
              <w:rPr>
                <w:b/>
                <w:noProof/>
                <w:sz w:val="20"/>
                <w:szCs w:val="20"/>
              </w:rPr>
              <w:t>7 214, 400</w:t>
            </w:r>
          </w:p>
        </w:tc>
        <w:tc>
          <w:tcPr>
            <w:tcW w:w="716" w:type="dxa"/>
            <w:tcBorders>
              <w:top w:val="single" w:sz="4" w:space="0" w:color="auto"/>
              <w:left w:val="single" w:sz="4" w:space="0" w:color="auto"/>
              <w:bottom w:val="single" w:sz="4" w:space="0" w:color="auto"/>
              <w:right w:val="single" w:sz="4" w:space="0" w:color="auto"/>
            </w:tcBorders>
          </w:tcPr>
          <w:p>
            <w:pPr>
              <w:spacing w:before="0" w:after="0"/>
              <w:jc w:val="center"/>
              <w:rPr>
                <w:b/>
                <w:noProof/>
                <w:sz w:val="20"/>
                <w:szCs w:val="20"/>
              </w:rPr>
            </w:pPr>
            <w:r>
              <w:rPr>
                <w:b/>
                <w:noProof/>
                <w:sz w:val="20"/>
                <w:szCs w:val="20"/>
              </w:rPr>
              <w:t>6 296, 509</w:t>
            </w:r>
          </w:p>
        </w:tc>
        <w:tc>
          <w:tcPr>
            <w:tcW w:w="716" w:type="dxa"/>
            <w:tcBorders>
              <w:top w:val="single" w:sz="4" w:space="0" w:color="auto"/>
              <w:left w:val="single" w:sz="4" w:space="0" w:color="auto"/>
              <w:bottom w:val="single" w:sz="4" w:space="0" w:color="auto"/>
              <w:right w:val="single" w:sz="4" w:space="0" w:color="auto"/>
            </w:tcBorders>
          </w:tcPr>
          <w:p>
            <w:pPr>
              <w:spacing w:before="0" w:after="0"/>
              <w:jc w:val="center"/>
              <w:rPr>
                <w:b/>
                <w:noProof/>
                <w:sz w:val="20"/>
                <w:szCs w:val="20"/>
              </w:rPr>
            </w:pPr>
            <w:r>
              <w:rPr>
                <w:b/>
                <w:noProof/>
                <w:sz w:val="20"/>
                <w:szCs w:val="20"/>
              </w:rPr>
              <w:t>4 245, 988</w:t>
            </w:r>
          </w:p>
        </w:tc>
        <w:tc>
          <w:tcPr>
            <w:tcW w:w="716" w:type="dxa"/>
            <w:tcBorders>
              <w:top w:val="single" w:sz="4" w:space="0" w:color="auto"/>
              <w:left w:val="single" w:sz="4" w:space="0" w:color="auto"/>
              <w:bottom w:val="single" w:sz="4" w:space="0" w:color="auto"/>
              <w:right w:val="single" w:sz="4" w:space="0" w:color="auto"/>
            </w:tcBorders>
          </w:tcPr>
          <w:p>
            <w:pPr>
              <w:spacing w:before="0" w:after="0"/>
              <w:jc w:val="center"/>
              <w:rPr>
                <w:b/>
                <w:noProof/>
                <w:sz w:val="20"/>
                <w:szCs w:val="20"/>
              </w:rPr>
            </w:pPr>
            <w:r>
              <w:rPr>
                <w:b/>
                <w:noProof/>
                <w:sz w:val="20"/>
                <w:szCs w:val="20"/>
              </w:rPr>
              <w:t>2, 000</w:t>
            </w:r>
          </w:p>
        </w:tc>
        <w:tc>
          <w:tcPr>
            <w:tcW w:w="716" w:type="dxa"/>
            <w:tcBorders>
              <w:top w:val="single" w:sz="4" w:space="0" w:color="auto"/>
              <w:left w:val="single" w:sz="4" w:space="0" w:color="auto"/>
              <w:bottom w:val="single" w:sz="4" w:space="0" w:color="auto"/>
              <w:right w:val="single" w:sz="4" w:space="0" w:color="auto"/>
            </w:tcBorders>
          </w:tcPr>
          <w:p>
            <w:pPr>
              <w:spacing w:before="0" w:after="0"/>
              <w:jc w:val="center"/>
              <w:rPr>
                <w:b/>
                <w:noProof/>
                <w:sz w:val="20"/>
                <w:szCs w:val="20"/>
              </w:rPr>
            </w:pPr>
            <w:r>
              <w:rPr>
                <w:b/>
                <w:noProof/>
                <w:sz w:val="20"/>
                <w:szCs w:val="20"/>
              </w:rPr>
              <w:t>2, 000</w:t>
            </w:r>
          </w:p>
        </w:tc>
        <w:tc>
          <w:tcPr>
            <w:tcW w:w="1017" w:type="dxa"/>
            <w:tcBorders>
              <w:top w:val="single" w:sz="4" w:space="0" w:color="auto"/>
              <w:left w:val="single" w:sz="4" w:space="0" w:color="auto"/>
              <w:bottom w:val="single" w:sz="4" w:space="0" w:color="auto"/>
              <w:right w:val="single" w:sz="4" w:space="0" w:color="auto"/>
            </w:tcBorders>
          </w:tcPr>
          <w:p>
            <w:pPr>
              <w:spacing w:before="0" w:after="0"/>
              <w:jc w:val="center"/>
              <w:rPr>
                <w:b/>
                <w:noProof/>
                <w:sz w:val="20"/>
                <w:szCs w:val="20"/>
              </w:rPr>
            </w:pPr>
            <w:r>
              <w:rPr>
                <w:b/>
                <w:noProof/>
                <w:sz w:val="20"/>
                <w:szCs w:val="20"/>
              </w:rPr>
              <w:t>32 803, 000</w:t>
            </w:r>
          </w:p>
        </w:tc>
      </w:tr>
    </w:tbl>
    <w:p>
      <w:pPr>
        <w:rPr>
          <w:i/>
          <w:noProof/>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noProof/>
                <w:sz w:val="22"/>
              </w:rPr>
              <w:br w:type="page"/>
            </w:r>
            <w:r>
              <w:rPr>
                <w:b/>
                <w:noProof/>
                <w:sz w:val="22"/>
              </w:rPr>
              <w:t xml:space="preserve">Heading of multiannual financial </w:t>
            </w:r>
            <w:r>
              <w:rPr>
                <w:noProof/>
                <w:sz w:val="22"/>
              </w:rPr>
              <w:br/>
            </w:r>
            <w:r>
              <w:rPr>
                <w:b/>
                <w:noProof/>
                <w:sz w:val="22"/>
              </w:rPr>
              <w:t xml:space="preserve">framework </w:t>
            </w:r>
          </w:p>
        </w:tc>
        <w:tc>
          <w:tcPr>
            <w:tcW w:w="1080" w:type="dxa"/>
            <w:shd w:val="thinDiagStripe" w:color="C0C0C0" w:fill="auto"/>
            <w:vAlign w:val="center"/>
          </w:tcPr>
          <w:p>
            <w:pPr>
              <w:spacing w:before="60" w:after="60"/>
              <w:jc w:val="center"/>
              <w:rPr>
                <w:noProof/>
              </w:rPr>
            </w:pPr>
            <w:r>
              <w:rPr>
                <w:noProof/>
              </w:rPr>
              <w:t>7</w:t>
            </w:r>
          </w:p>
        </w:tc>
        <w:tc>
          <w:tcPr>
            <w:tcW w:w="7817" w:type="dxa"/>
            <w:vAlign w:val="center"/>
          </w:tcPr>
          <w:p>
            <w:pPr>
              <w:spacing w:before="60" w:after="60"/>
              <w:rPr>
                <w:noProof/>
              </w:rPr>
            </w:pPr>
            <w:r>
              <w:rPr>
                <w:noProof/>
                <w:sz w:val="22"/>
              </w:rPr>
              <w:t>‘Administrative expenditure’</w:t>
            </w:r>
          </w:p>
        </w:tc>
      </w:tr>
    </w:tbl>
    <w:p>
      <w:pPr>
        <w:jc w:val="left"/>
        <w:rPr>
          <w:noProof/>
        </w:rPr>
      </w:pPr>
    </w:p>
    <w:p>
      <w:pPr>
        <w:jc w:val="right"/>
        <w:rPr>
          <w:noProof/>
          <w:sz w:val="20"/>
        </w:rPr>
      </w:pPr>
      <w:r>
        <w:rPr>
          <w:noProof/>
          <w:sz w:val="20"/>
        </w:rPr>
        <w:t>EUR million (to three decimal places)</w:t>
      </w:r>
    </w:p>
    <w:tbl>
      <w:tblPr>
        <w:tblW w:w="14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9"/>
        <w:gridCol w:w="2046"/>
        <w:gridCol w:w="868"/>
        <w:gridCol w:w="868"/>
        <w:gridCol w:w="868"/>
        <w:gridCol w:w="868"/>
        <w:gridCol w:w="868"/>
        <w:gridCol w:w="868"/>
        <w:gridCol w:w="868"/>
        <w:gridCol w:w="887"/>
        <w:gridCol w:w="1291"/>
      </w:tblGrid>
      <w:tr>
        <w:trPr>
          <w:jc w:val="center"/>
        </w:trPr>
        <w:tc>
          <w:tcPr>
            <w:tcW w:w="6245" w:type="dxa"/>
            <w:gridSpan w:val="2"/>
            <w:tcBorders>
              <w:top w:val="nil"/>
              <w:left w:val="nil"/>
            </w:tcBorders>
            <w:vAlign w:val="center"/>
          </w:tcPr>
          <w:p>
            <w:pPr>
              <w:jc w:val="center"/>
              <w:rPr>
                <w:noProof/>
                <w:sz w:val="20"/>
              </w:rPr>
            </w:pPr>
          </w:p>
        </w:tc>
        <w:tc>
          <w:tcPr>
            <w:tcW w:w="868" w:type="dxa"/>
            <w:vAlign w:val="center"/>
          </w:tcPr>
          <w:p>
            <w:pPr>
              <w:jc w:val="center"/>
              <w:rPr>
                <w:b/>
                <w:noProof/>
                <w:sz w:val="20"/>
              </w:rPr>
            </w:pPr>
            <w:r>
              <w:rPr>
                <w:b/>
                <w:noProof/>
                <w:sz w:val="20"/>
              </w:rPr>
              <w:t>2021</w:t>
            </w:r>
          </w:p>
        </w:tc>
        <w:tc>
          <w:tcPr>
            <w:tcW w:w="868" w:type="dxa"/>
            <w:vAlign w:val="center"/>
          </w:tcPr>
          <w:p>
            <w:pPr>
              <w:jc w:val="center"/>
              <w:rPr>
                <w:b/>
                <w:noProof/>
                <w:sz w:val="20"/>
              </w:rPr>
            </w:pPr>
            <w:r>
              <w:rPr>
                <w:b/>
                <w:noProof/>
                <w:sz w:val="20"/>
              </w:rPr>
              <w:t>2022</w:t>
            </w:r>
          </w:p>
        </w:tc>
        <w:tc>
          <w:tcPr>
            <w:tcW w:w="868" w:type="dxa"/>
            <w:vAlign w:val="center"/>
          </w:tcPr>
          <w:p>
            <w:pPr>
              <w:jc w:val="center"/>
              <w:rPr>
                <w:b/>
                <w:noProof/>
                <w:sz w:val="20"/>
              </w:rPr>
            </w:pPr>
            <w:r>
              <w:rPr>
                <w:b/>
                <w:noProof/>
                <w:sz w:val="20"/>
              </w:rPr>
              <w:t>2023</w:t>
            </w:r>
          </w:p>
        </w:tc>
        <w:tc>
          <w:tcPr>
            <w:tcW w:w="868" w:type="dxa"/>
            <w:vAlign w:val="center"/>
          </w:tcPr>
          <w:p>
            <w:pPr>
              <w:jc w:val="center"/>
              <w:rPr>
                <w:b/>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noProof/>
                <w:sz w:val="18"/>
              </w:rPr>
              <w:t>2027</w:t>
            </w:r>
          </w:p>
        </w:tc>
        <w:tc>
          <w:tcPr>
            <w:tcW w:w="887" w:type="dxa"/>
          </w:tcPr>
          <w:p>
            <w:pPr>
              <w:jc w:val="center"/>
              <w:rPr>
                <w:b/>
                <w:noProof/>
                <w:sz w:val="20"/>
              </w:rPr>
            </w:pPr>
            <w:r>
              <w:rPr>
                <w:b/>
                <w:i/>
                <w:noProof/>
                <w:sz w:val="20"/>
              </w:rPr>
              <w:t>Post 2027</w:t>
            </w:r>
          </w:p>
        </w:tc>
        <w:tc>
          <w:tcPr>
            <w:tcW w:w="1291" w:type="dxa"/>
            <w:vAlign w:val="center"/>
          </w:tcPr>
          <w:p>
            <w:pPr>
              <w:jc w:val="center"/>
              <w:rPr>
                <w:b/>
                <w:noProof/>
                <w:sz w:val="20"/>
              </w:rPr>
            </w:pPr>
            <w:r>
              <w:rPr>
                <w:b/>
                <w:noProof/>
                <w:sz w:val="20"/>
              </w:rPr>
              <w:t>TOTAL</w:t>
            </w:r>
          </w:p>
        </w:tc>
      </w:tr>
      <w:tr>
        <w:trPr>
          <w:trHeight w:val="313"/>
          <w:jc w:val="center"/>
        </w:trPr>
        <w:tc>
          <w:tcPr>
            <w:tcW w:w="6245" w:type="dxa"/>
            <w:gridSpan w:val="2"/>
            <w:vAlign w:val="center"/>
          </w:tcPr>
          <w:p>
            <w:pPr>
              <w:spacing w:before="20" w:after="20"/>
              <w:rPr>
                <w:noProof/>
              </w:rPr>
            </w:pPr>
            <w:r>
              <w:rPr>
                <w:noProof/>
                <w:sz w:val="22"/>
              </w:rPr>
              <w:t xml:space="preserve">Human resources </w:t>
            </w:r>
          </w:p>
        </w:tc>
        <w:tc>
          <w:tcPr>
            <w:tcW w:w="868" w:type="dxa"/>
            <w:vAlign w:val="center"/>
          </w:tcPr>
          <w:p>
            <w:pPr>
              <w:spacing w:before="20" w:after="20"/>
              <w:jc w:val="right"/>
              <w:rPr>
                <w:noProof/>
                <w:sz w:val="20"/>
              </w:rPr>
            </w:pPr>
            <w:r>
              <w:rPr>
                <w:noProof/>
                <w:sz w:val="20"/>
              </w:rPr>
              <w:t>1, 500</w:t>
            </w:r>
          </w:p>
        </w:tc>
        <w:tc>
          <w:tcPr>
            <w:tcW w:w="868" w:type="dxa"/>
            <w:vAlign w:val="center"/>
          </w:tcPr>
          <w:p>
            <w:pPr>
              <w:spacing w:before="20" w:after="20"/>
              <w:jc w:val="right"/>
              <w:rPr>
                <w:noProof/>
                <w:sz w:val="20"/>
              </w:rPr>
            </w:pPr>
            <w:r>
              <w:rPr>
                <w:noProof/>
                <w:sz w:val="20"/>
              </w:rPr>
              <w:t>1, 500</w:t>
            </w:r>
          </w:p>
        </w:tc>
        <w:tc>
          <w:tcPr>
            <w:tcW w:w="868" w:type="dxa"/>
            <w:vAlign w:val="center"/>
          </w:tcPr>
          <w:p>
            <w:pPr>
              <w:spacing w:before="20" w:after="20"/>
              <w:jc w:val="right"/>
              <w:rPr>
                <w:noProof/>
                <w:sz w:val="20"/>
              </w:rPr>
            </w:pPr>
            <w:r>
              <w:rPr>
                <w:noProof/>
                <w:sz w:val="20"/>
              </w:rPr>
              <w:t>1, 500</w:t>
            </w:r>
          </w:p>
        </w:tc>
        <w:tc>
          <w:tcPr>
            <w:tcW w:w="868" w:type="dxa"/>
            <w:vAlign w:val="center"/>
          </w:tcPr>
          <w:p>
            <w:pPr>
              <w:spacing w:before="20" w:after="20"/>
              <w:jc w:val="right"/>
              <w:rPr>
                <w:noProof/>
                <w:sz w:val="20"/>
              </w:rPr>
            </w:pPr>
            <w:r>
              <w:rPr>
                <w:noProof/>
                <w:sz w:val="20"/>
              </w:rPr>
              <w:t>1,500</w:t>
            </w:r>
          </w:p>
        </w:tc>
        <w:tc>
          <w:tcPr>
            <w:tcW w:w="868" w:type="dxa"/>
            <w:vAlign w:val="center"/>
          </w:tcPr>
          <w:p>
            <w:pPr>
              <w:spacing w:before="20" w:after="20"/>
              <w:jc w:val="right"/>
              <w:rPr>
                <w:noProof/>
                <w:sz w:val="20"/>
              </w:rPr>
            </w:pPr>
            <w:r>
              <w:rPr>
                <w:noProof/>
                <w:sz w:val="20"/>
              </w:rPr>
              <w:t>1,500</w:t>
            </w:r>
          </w:p>
        </w:tc>
        <w:tc>
          <w:tcPr>
            <w:tcW w:w="868" w:type="dxa"/>
            <w:vAlign w:val="center"/>
          </w:tcPr>
          <w:p>
            <w:pPr>
              <w:spacing w:before="20" w:after="20"/>
              <w:jc w:val="right"/>
              <w:rPr>
                <w:noProof/>
                <w:sz w:val="20"/>
              </w:rPr>
            </w:pPr>
            <w:r>
              <w:rPr>
                <w:noProof/>
                <w:sz w:val="20"/>
              </w:rPr>
              <w:t>1,500</w:t>
            </w:r>
          </w:p>
        </w:tc>
        <w:tc>
          <w:tcPr>
            <w:tcW w:w="868" w:type="dxa"/>
            <w:vAlign w:val="center"/>
          </w:tcPr>
          <w:p>
            <w:pPr>
              <w:spacing w:before="20" w:after="20"/>
              <w:jc w:val="right"/>
              <w:rPr>
                <w:b/>
                <w:noProof/>
                <w:sz w:val="20"/>
              </w:rPr>
            </w:pPr>
            <w:r>
              <w:rPr>
                <w:b/>
                <w:noProof/>
                <w:sz w:val="20"/>
              </w:rPr>
              <w:t>1,500</w:t>
            </w:r>
          </w:p>
        </w:tc>
        <w:tc>
          <w:tcPr>
            <w:tcW w:w="887" w:type="dxa"/>
            <w:shd w:val="clear" w:color="auto" w:fill="A6A6A6"/>
          </w:tcPr>
          <w:p>
            <w:pPr>
              <w:spacing w:before="20" w:after="20"/>
              <w:jc w:val="right"/>
              <w:rPr>
                <w:b/>
                <w:noProof/>
                <w:sz w:val="20"/>
              </w:rPr>
            </w:pPr>
          </w:p>
        </w:tc>
        <w:tc>
          <w:tcPr>
            <w:tcW w:w="1291" w:type="dxa"/>
            <w:vAlign w:val="center"/>
          </w:tcPr>
          <w:p>
            <w:pPr>
              <w:spacing w:before="20" w:after="20"/>
              <w:jc w:val="right"/>
              <w:rPr>
                <w:b/>
                <w:noProof/>
                <w:sz w:val="20"/>
              </w:rPr>
            </w:pPr>
            <w:r>
              <w:rPr>
                <w:b/>
                <w:noProof/>
                <w:sz w:val="20"/>
              </w:rPr>
              <w:t>10,500</w:t>
            </w:r>
          </w:p>
        </w:tc>
      </w:tr>
      <w:tr>
        <w:trPr>
          <w:trHeight w:val="351"/>
          <w:jc w:val="center"/>
        </w:trPr>
        <w:tc>
          <w:tcPr>
            <w:tcW w:w="6245" w:type="dxa"/>
            <w:gridSpan w:val="2"/>
            <w:vAlign w:val="center"/>
          </w:tcPr>
          <w:p>
            <w:pPr>
              <w:spacing w:before="20" w:after="20"/>
              <w:rPr>
                <w:noProof/>
              </w:rPr>
            </w:pPr>
            <w:r>
              <w:rPr>
                <w:noProof/>
                <w:sz w:val="22"/>
              </w:rPr>
              <w:t xml:space="preserve">Other administrative expenditure </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87" w:type="dxa"/>
            <w:shd w:val="clear" w:color="auto" w:fill="A6A6A6"/>
          </w:tcPr>
          <w:p>
            <w:pPr>
              <w:spacing w:before="20" w:after="20"/>
              <w:jc w:val="right"/>
              <w:rPr>
                <w:b/>
                <w:noProof/>
                <w:sz w:val="20"/>
              </w:rPr>
            </w:pPr>
          </w:p>
        </w:tc>
        <w:tc>
          <w:tcPr>
            <w:tcW w:w="1291" w:type="dxa"/>
            <w:vAlign w:val="center"/>
          </w:tcPr>
          <w:p>
            <w:pPr>
              <w:spacing w:before="20" w:after="20"/>
              <w:jc w:val="right"/>
              <w:rPr>
                <w:b/>
                <w:noProof/>
                <w:sz w:val="20"/>
              </w:rPr>
            </w:pPr>
          </w:p>
        </w:tc>
      </w:tr>
      <w:tr>
        <w:trPr>
          <w:trHeight w:val="351"/>
          <w:jc w:val="center"/>
        </w:trPr>
        <w:tc>
          <w:tcPr>
            <w:tcW w:w="4199" w:type="dxa"/>
            <w:vAlign w:val="center"/>
          </w:tcPr>
          <w:p>
            <w:pPr>
              <w:spacing w:before="20" w:after="20"/>
              <w:jc w:val="left"/>
              <w:rPr>
                <w:b/>
                <w:noProof/>
                <w:sz w:val="22"/>
              </w:rPr>
            </w:pPr>
            <w:r>
              <w:rPr>
                <w:b/>
                <w:noProof/>
                <w:sz w:val="22"/>
              </w:rPr>
              <w:t>TOTAL appropriations under HEADING 7 of the multiannual financial framework</w:t>
            </w:r>
          </w:p>
        </w:tc>
        <w:tc>
          <w:tcPr>
            <w:tcW w:w="2046" w:type="dxa"/>
            <w:vAlign w:val="center"/>
          </w:tcPr>
          <w:p>
            <w:pPr>
              <w:spacing w:before="20" w:after="20"/>
              <w:rPr>
                <w:noProof/>
                <w:sz w:val="22"/>
              </w:rPr>
            </w:pPr>
            <w:r>
              <w:rPr>
                <w:noProof/>
                <w:sz w:val="18"/>
              </w:rPr>
              <w:t>(Total commitments = Total payments)</w:t>
            </w:r>
          </w:p>
        </w:tc>
        <w:tc>
          <w:tcPr>
            <w:tcW w:w="868" w:type="dxa"/>
            <w:vAlign w:val="center"/>
          </w:tcPr>
          <w:p>
            <w:pPr>
              <w:spacing w:before="20" w:after="20"/>
              <w:jc w:val="right"/>
              <w:rPr>
                <w:b/>
                <w:noProof/>
                <w:sz w:val="20"/>
              </w:rPr>
            </w:pPr>
            <w:r>
              <w:rPr>
                <w:b/>
                <w:noProof/>
                <w:sz w:val="20"/>
              </w:rPr>
              <w:t>1,500</w:t>
            </w:r>
          </w:p>
        </w:tc>
        <w:tc>
          <w:tcPr>
            <w:tcW w:w="868" w:type="dxa"/>
            <w:vAlign w:val="center"/>
          </w:tcPr>
          <w:p>
            <w:pPr>
              <w:spacing w:before="20" w:after="20"/>
              <w:jc w:val="right"/>
              <w:rPr>
                <w:b/>
                <w:noProof/>
                <w:sz w:val="20"/>
              </w:rPr>
            </w:pPr>
            <w:r>
              <w:rPr>
                <w:b/>
                <w:noProof/>
                <w:sz w:val="20"/>
              </w:rPr>
              <w:t>1,500</w:t>
            </w:r>
          </w:p>
        </w:tc>
        <w:tc>
          <w:tcPr>
            <w:tcW w:w="868" w:type="dxa"/>
            <w:vAlign w:val="center"/>
          </w:tcPr>
          <w:p>
            <w:pPr>
              <w:spacing w:before="20" w:after="20"/>
              <w:jc w:val="right"/>
              <w:rPr>
                <w:b/>
                <w:noProof/>
                <w:sz w:val="20"/>
              </w:rPr>
            </w:pPr>
            <w:r>
              <w:rPr>
                <w:b/>
                <w:noProof/>
                <w:sz w:val="20"/>
              </w:rPr>
              <w:t>1,500</w:t>
            </w:r>
          </w:p>
        </w:tc>
        <w:tc>
          <w:tcPr>
            <w:tcW w:w="868" w:type="dxa"/>
            <w:vAlign w:val="center"/>
          </w:tcPr>
          <w:p>
            <w:pPr>
              <w:spacing w:before="20" w:after="20"/>
              <w:jc w:val="right"/>
              <w:rPr>
                <w:b/>
                <w:noProof/>
                <w:sz w:val="20"/>
              </w:rPr>
            </w:pPr>
            <w:r>
              <w:rPr>
                <w:b/>
                <w:noProof/>
                <w:sz w:val="20"/>
              </w:rPr>
              <w:t>1,500</w:t>
            </w:r>
          </w:p>
        </w:tc>
        <w:tc>
          <w:tcPr>
            <w:tcW w:w="868" w:type="dxa"/>
            <w:vAlign w:val="center"/>
          </w:tcPr>
          <w:p>
            <w:pPr>
              <w:spacing w:before="20" w:after="20"/>
              <w:jc w:val="right"/>
              <w:rPr>
                <w:b/>
                <w:noProof/>
                <w:sz w:val="20"/>
              </w:rPr>
            </w:pPr>
            <w:r>
              <w:rPr>
                <w:b/>
                <w:noProof/>
                <w:sz w:val="20"/>
              </w:rPr>
              <w:t>1,500</w:t>
            </w:r>
          </w:p>
        </w:tc>
        <w:tc>
          <w:tcPr>
            <w:tcW w:w="868" w:type="dxa"/>
            <w:vAlign w:val="center"/>
          </w:tcPr>
          <w:p>
            <w:pPr>
              <w:spacing w:before="20" w:after="20"/>
              <w:jc w:val="right"/>
              <w:rPr>
                <w:b/>
                <w:noProof/>
                <w:sz w:val="20"/>
              </w:rPr>
            </w:pPr>
            <w:r>
              <w:rPr>
                <w:b/>
                <w:noProof/>
                <w:sz w:val="20"/>
              </w:rPr>
              <w:t>1,500</w:t>
            </w:r>
          </w:p>
        </w:tc>
        <w:tc>
          <w:tcPr>
            <w:tcW w:w="868" w:type="dxa"/>
            <w:vAlign w:val="center"/>
          </w:tcPr>
          <w:p>
            <w:pPr>
              <w:spacing w:before="20" w:after="20"/>
              <w:jc w:val="right"/>
              <w:rPr>
                <w:b/>
                <w:noProof/>
                <w:sz w:val="20"/>
              </w:rPr>
            </w:pPr>
            <w:r>
              <w:rPr>
                <w:b/>
                <w:noProof/>
                <w:sz w:val="20"/>
              </w:rPr>
              <w:t>1,500</w:t>
            </w:r>
          </w:p>
        </w:tc>
        <w:tc>
          <w:tcPr>
            <w:tcW w:w="887" w:type="dxa"/>
            <w:shd w:val="clear" w:color="auto" w:fill="A6A6A6"/>
          </w:tcPr>
          <w:p>
            <w:pPr>
              <w:spacing w:before="20" w:after="20"/>
              <w:jc w:val="right"/>
              <w:rPr>
                <w:b/>
                <w:noProof/>
                <w:sz w:val="20"/>
              </w:rPr>
            </w:pPr>
          </w:p>
        </w:tc>
        <w:tc>
          <w:tcPr>
            <w:tcW w:w="1291" w:type="dxa"/>
            <w:vAlign w:val="center"/>
          </w:tcPr>
          <w:p>
            <w:pPr>
              <w:spacing w:before="20" w:after="20"/>
              <w:jc w:val="right"/>
              <w:rPr>
                <w:b/>
                <w:noProof/>
                <w:sz w:val="20"/>
              </w:rPr>
            </w:pPr>
            <w:r>
              <w:rPr>
                <w:b/>
                <w:noProof/>
                <w:sz w:val="20"/>
              </w:rPr>
              <w:t>10,500</w:t>
            </w:r>
          </w:p>
        </w:tc>
      </w:tr>
    </w:tbl>
    <w:p>
      <w:pPr>
        <w:rPr>
          <w:noProof/>
        </w:rPr>
        <w:sectPr>
          <w:headerReference w:type="default" r:id="rId13"/>
          <w:footerReference w:type="default" r:id="rId14"/>
          <w:headerReference w:type="first" r:id="rId15"/>
          <w:footerReference w:type="first" r:id="rId16"/>
          <w:pgSz w:w="16840" w:h="11907" w:orient="landscape" w:code="9"/>
          <w:pgMar w:top="1134" w:right="1418" w:bottom="1134" w:left="1418" w:header="709" w:footer="709" w:gutter="0"/>
          <w:cols w:space="708"/>
          <w:docGrid w:linePitch="360"/>
        </w:sectPr>
      </w:pPr>
    </w:p>
    <w:p>
      <w:pPr>
        <w:pStyle w:val="ManualHeading3"/>
        <w:rPr>
          <w:noProof/>
          <w:szCs w:val="24"/>
        </w:rPr>
      </w:pPr>
      <w:bookmarkStart w:id="44" w:name="_Toc514941993"/>
      <w:bookmarkStart w:id="45" w:name="_Toc39839413"/>
      <w:r>
        <w:t>3.2.2.</w:t>
      </w:r>
      <w:r>
        <w:tab/>
      </w:r>
      <w:r>
        <w:rPr>
          <w:noProof/>
        </w:rPr>
        <w:t>Summary of estimated impact on appropriations of an administrative nature</w:t>
      </w:r>
      <w:bookmarkEnd w:id="44"/>
      <w:bookmarkEnd w:id="45"/>
    </w:p>
    <w:p>
      <w:pPr>
        <w:tabs>
          <w:tab w:val="num" w:pos="1134"/>
        </w:tabs>
        <w:ind w:left="1134" w:hanging="283"/>
        <w:rPr>
          <w:rFonts w:eastAsia="Times New Roman"/>
          <w:noProof/>
          <w:lang w:eastAsia="de-DE"/>
        </w:rPr>
      </w:pPr>
      <w:r>
        <w:rPr>
          <w:rFonts w:eastAsia="Times New Roman"/>
          <w:noProof/>
          <w:lang w:eastAsia="de-DE"/>
        </w:rPr>
        <w:sym w:font="Wingdings" w:char="F0A8"/>
      </w:r>
      <w:r>
        <w:rPr>
          <w:rFonts w:eastAsia="Times New Roman"/>
          <w:noProof/>
          <w:lang w:eastAsia="de-DE"/>
        </w:rPr>
        <w:tab/>
        <w:t xml:space="preserve">The proposal/initiative does not require the use of appropriations of an administrative nature </w:t>
      </w:r>
    </w:p>
    <w:p>
      <w:pPr>
        <w:tabs>
          <w:tab w:val="num" w:pos="1134"/>
        </w:tabs>
        <w:ind w:left="1134" w:hanging="283"/>
        <w:rPr>
          <w:rFonts w:eastAsia="Times New Roman"/>
          <w:noProof/>
          <w:lang w:eastAsia="de-DE"/>
        </w:rPr>
      </w:pPr>
      <w:r>
        <w:rPr>
          <w:rFonts w:eastAsia="Times New Roman"/>
          <w:noProof/>
          <w:lang w:eastAsia="de-DE"/>
        </w:rPr>
        <w:t>X</w:t>
      </w:r>
      <w:r>
        <w:rPr>
          <w:rFonts w:eastAsia="Times New Roman"/>
          <w:noProof/>
          <w:lang w:eastAsia="de-DE"/>
        </w:rPr>
        <w:tab/>
        <w:t>The proposal/initiative requires the use of appropriations of an administrative nature, as explained below:</w:t>
      </w:r>
    </w:p>
    <w:p>
      <w:pPr>
        <w:rPr>
          <w:noProof/>
          <w:sz w:val="20"/>
        </w:rPr>
      </w:pPr>
      <w:r>
        <w:rPr>
          <w:noProof/>
          <w:sz w:val="20"/>
        </w:rPr>
        <w:t>EUR million (to three decimal places)</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vAlign w:val="center"/>
          </w:tcPr>
          <w:p>
            <w:pPr>
              <w:spacing w:before="60" w:after="60" w:line="200" w:lineRule="exact"/>
              <w:jc w:val="center"/>
              <w:rPr>
                <w:b/>
                <w:noProof/>
                <w:sz w:val="16"/>
                <w:szCs w:val="16"/>
              </w:rPr>
            </w:pPr>
            <w:r>
              <w:rPr>
                <w:b/>
                <w:noProof/>
                <w:sz w:val="16"/>
                <w:szCs w:val="16"/>
              </w:rPr>
              <w:t>Years</w:t>
            </w:r>
          </w:p>
        </w:tc>
        <w:tc>
          <w:tcPr>
            <w:tcW w:w="1080" w:type="dxa"/>
            <w:vAlign w:val="center"/>
          </w:tcPr>
          <w:p>
            <w:pPr>
              <w:spacing w:before="60" w:after="60" w:line="200" w:lineRule="exact"/>
              <w:jc w:val="center"/>
              <w:rPr>
                <w:noProof/>
                <w:sz w:val="16"/>
                <w:szCs w:val="16"/>
              </w:rPr>
            </w:pPr>
            <w:r>
              <w:rPr>
                <w:b/>
                <w:noProof/>
                <w:sz w:val="20"/>
              </w:rPr>
              <w:t>2021</w:t>
            </w:r>
          </w:p>
        </w:tc>
        <w:tc>
          <w:tcPr>
            <w:tcW w:w="1080" w:type="dxa"/>
            <w:vAlign w:val="center"/>
          </w:tcPr>
          <w:p>
            <w:pPr>
              <w:spacing w:before="60" w:after="60" w:line="200" w:lineRule="exact"/>
              <w:jc w:val="center"/>
              <w:rPr>
                <w:noProof/>
                <w:sz w:val="16"/>
                <w:szCs w:val="16"/>
              </w:rPr>
            </w:pPr>
            <w:r>
              <w:rPr>
                <w:b/>
                <w:noProof/>
                <w:sz w:val="20"/>
              </w:rPr>
              <w:t>2022</w:t>
            </w:r>
          </w:p>
        </w:tc>
        <w:tc>
          <w:tcPr>
            <w:tcW w:w="1080" w:type="dxa"/>
            <w:vAlign w:val="center"/>
          </w:tcPr>
          <w:p>
            <w:pPr>
              <w:spacing w:before="60" w:after="60" w:line="200" w:lineRule="exact"/>
              <w:jc w:val="center"/>
              <w:rPr>
                <w:noProof/>
                <w:sz w:val="16"/>
                <w:szCs w:val="16"/>
              </w:rPr>
            </w:pPr>
            <w:r>
              <w:rPr>
                <w:b/>
                <w:noProof/>
                <w:sz w:val="20"/>
              </w:rPr>
              <w:t>2023</w:t>
            </w:r>
          </w:p>
        </w:tc>
        <w:tc>
          <w:tcPr>
            <w:tcW w:w="1080" w:type="dxa"/>
            <w:vAlign w:val="center"/>
          </w:tcPr>
          <w:p>
            <w:pPr>
              <w:spacing w:line="200" w:lineRule="exact"/>
              <w:jc w:val="center"/>
              <w:rPr>
                <w:b/>
                <w:noProof/>
                <w:sz w:val="16"/>
                <w:szCs w:val="16"/>
              </w:rPr>
            </w:pPr>
            <w:r>
              <w:rPr>
                <w:b/>
                <w:noProof/>
                <w:sz w:val="18"/>
              </w:rPr>
              <w:t>2024</w:t>
            </w:r>
          </w:p>
        </w:tc>
        <w:tc>
          <w:tcPr>
            <w:tcW w:w="1080" w:type="dxa"/>
            <w:vAlign w:val="center"/>
          </w:tcPr>
          <w:p>
            <w:pPr>
              <w:spacing w:line="200" w:lineRule="exact"/>
              <w:jc w:val="center"/>
              <w:rPr>
                <w:b/>
                <w:noProof/>
                <w:sz w:val="16"/>
                <w:szCs w:val="16"/>
              </w:rPr>
            </w:pPr>
            <w:r>
              <w:rPr>
                <w:b/>
                <w:noProof/>
                <w:sz w:val="18"/>
              </w:rPr>
              <w:t>2025</w:t>
            </w:r>
          </w:p>
        </w:tc>
        <w:tc>
          <w:tcPr>
            <w:tcW w:w="1080" w:type="dxa"/>
          </w:tcPr>
          <w:p>
            <w:pPr>
              <w:spacing w:before="60" w:after="60" w:line="200" w:lineRule="exact"/>
              <w:jc w:val="center"/>
              <w:rPr>
                <w:b/>
                <w:noProof/>
                <w:sz w:val="16"/>
              </w:rPr>
            </w:pPr>
            <w:r>
              <w:rPr>
                <w:b/>
                <w:noProof/>
                <w:sz w:val="16"/>
              </w:rPr>
              <w:t>2026</w:t>
            </w:r>
          </w:p>
        </w:tc>
        <w:tc>
          <w:tcPr>
            <w:tcW w:w="1080" w:type="dxa"/>
          </w:tcPr>
          <w:p>
            <w:pPr>
              <w:spacing w:before="60" w:after="60" w:line="200" w:lineRule="exact"/>
              <w:jc w:val="center"/>
              <w:rPr>
                <w:b/>
                <w:noProof/>
                <w:sz w:val="16"/>
              </w:rPr>
            </w:pPr>
            <w:r>
              <w:rPr>
                <w:b/>
                <w:noProof/>
                <w:sz w:val="16"/>
              </w:rPr>
              <w:t>2027</w:t>
            </w:r>
          </w:p>
        </w:tc>
        <w:tc>
          <w:tcPr>
            <w:tcW w:w="1080" w:type="dxa"/>
            <w:vAlign w:val="center"/>
          </w:tcPr>
          <w:p>
            <w:pPr>
              <w:spacing w:before="60" w:after="60" w:line="200" w:lineRule="exact"/>
              <w:jc w:val="center"/>
              <w:rPr>
                <w:b/>
                <w:noProof/>
                <w:sz w:val="16"/>
                <w:szCs w:val="16"/>
              </w:rPr>
            </w:pPr>
            <w:r>
              <w:rPr>
                <w:b/>
                <w:noProof/>
                <w:sz w:val="16"/>
              </w:rPr>
              <w:t>TOTAL</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HEADING 7</w:t>
            </w:r>
            <w:r>
              <w:rPr>
                <w:noProof/>
                <w:sz w:val="22"/>
              </w:rPr>
              <w:br/>
            </w:r>
            <w:r>
              <w:rPr>
                <w:b/>
                <w:noProof/>
                <w:sz w:val="16"/>
              </w:rPr>
              <w:t>of the multiannual financial framework</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tcPr>
          <w:p>
            <w:pPr>
              <w:spacing w:before="60" w:after="60" w:line="200" w:lineRule="exact"/>
              <w:jc w:val="right"/>
              <w:rPr>
                <w:b/>
                <w:noProof/>
                <w:sz w:val="16"/>
                <w:szCs w:val="16"/>
              </w:rPr>
            </w:pPr>
          </w:p>
        </w:tc>
        <w:tc>
          <w:tcPr>
            <w:tcW w:w="1080" w:type="dxa"/>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Human resources </w:t>
            </w:r>
          </w:p>
        </w:tc>
        <w:tc>
          <w:tcPr>
            <w:tcW w:w="1080" w:type="dxa"/>
            <w:vAlign w:val="center"/>
          </w:tcPr>
          <w:p>
            <w:pPr>
              <w:spacing w:before="60" w:after="60" w:line="200" w:lineRule="exact"/>
              <w:jc w:val="right"/>
              <w:rPr>
                <w:noProof/>
                <w:sz w:val="16"/>
                <w:szCs w:val="16"/>
              </w:rPr>
            </w:pPr>
            <w:r>
              <w:rPr>
                <w:noProof/>
                <w:sz w:val="16"/>
                <w:szCs w:val="16"/>
              </w:rPr>
              <w:t>1,500</w:t>
            </w:r>
          </w:p>
        </w:tc>
        <w:tc>
          <w:tcPr>
            <w:tcW w:w="1080" w:type="dxa"/>
            <w:vAlign w:val="center"/>
          </w:tcPr>
          <w:p>
            <w:pPr>
              <w:spacing w:before="60" w:after="60" w:line="200" w:lineRule="exact"/>
              <w:jc w:val="right"/>
              <w:rPr>
                <w:noProof/>
                <w:sz w:val="16"/>
                <w:szCs w:val="16"/>
              </w:rPr>
            </w:pPr>
            <w:r>
              <w:rPr>
                <w:noProof/>
                <w:sz w:val="16"/>
                <w:szCs w:val="16"/>
              </w:rPr>
              <w:t>1,500</w:t>
            </w:r>
          </w:p>
        </w:tc>
        <w:tc>
          <w:tcPr>
            <w:tcW w:w="1080" w:type="dxa"/>
            <w:vAlign w:val="center"/>
          </w:tcPr>
          <w:p>
            <w:pPr>
              <w:spacing w:before="60" w:after="60" w:line="200" w:lineRule="exact"/>
              <w:jc w:val="right"/>
              <w:rPr>
                <w:noProof/>
                <w:sz w:val="16"/>
                <w:szCs w:val="16"/>
              </w:rPr>
            </w:pPr>
            <w:r>
              <w:rPr>
                <w:noProof/>
                <w:sz w:val="16"/>
                <w:szCs w:val="16"/>
              </w:rPr>
              <w:t>1,500</w:t>
            </w:r>
          </w:p>
        </w:tc>
        <w:tc>
          <w:tcPr>
            <w:tcW w:w="1080" w:type="dxa"/>
            <w:vAlign w:val="center"/>
          </w:tcPr>
          <w:p>
            <w:pPr>
              <w:spacing w:before="60" w:after="60" w:line="200" w:lineRule="exact"/>
              <w:jc w:val="right"/>
              <w:rPr>
                <w:noProof/>
                <w:sz w:val="16"/>
                <w:szCs w:val="16"/>
              </w:rPr>
            </w:pPr>
            <w:r>
              <w:rPr>
                <w:noProof/>
                <w:sz w:val="16"/>
                <w:szCs w:val="16"/>
              </w:rPr>
              <w:t>1,500</w:t>
            </w:r>
          </w:p>
        </w:tc>
        <w:tc>
          <w:tcPr>
            <w:tcW w:w="1080" w:type="dxa"/>
            <w:vAlign w:val="center"/>
          </w:tcPr>
          <w:p>
            <w:pPr>
              <w:spacing w:before="60" w:after="60" w:line="200" w:lineRule="exact"/>
              <w:jc w:val="right"/>
              <w:rPr>
                <w:noProof/>
                <w:sz w:val="16"/>
                <w:szCs w:val="16"/>
              </w:rPr>
            </w:pPr>
            <w:r>
              <w:rPr>
                <w:noProof/>
                <w:sz w:val="16"/>
                <w:szCs w:val="16"/>
              </w:rPr>
              <w:t>1,500</w:t>
            </w:r>
          </w:p>
        </w:tc>
        <w:tc>
          <w:tcPr>
            <w:tcW w:w="1080" w:type="dxa"/>
            <w:vAlign w:val="center"/>
          </w:tcPr>
          <w:p>
            <w:pPr>
              <w:spacing w:before="60" w:after="60" w:line="200" w:lineRule="exact"/>
              <w:jc w:val="right"/>
              <w:rPr>
                <w:b/>
                <w:noProof/>
                <w:sz w:val="16"/>
                <w:szCs w:val="16"/>
              </w:rPr>
            </w:pPr>
            <w:r>
              <w:rPr>
                <w:b/>
                <w:noProof/>
                <w:sz w:val="16"/>
                <w:szCs w:val="16"/>
              </w:rPr>
              <w:t>1,500</w:t>
            </w:r>
          </w:p>
        </w:tc>
        <w:tc>
          <w:tcPr>
            <w:tcW w:w="1080" w:type="dxa"/>
          </w:tcPr>
          <w:p>
            <w:pPr>
              <w:spacing w:before="60" w:after="60" w:line="200" w:lineRule="exact"/>
              <w:jc w:val="right"/>
              <w:rPr>
                <w:b/>
                <w:noProof/>
                <w:sz w:val="16"/>
                <w:szCs w:val="16"/>
              </w:rPr>
            </w:pPr>
            <w:r>
              <w:rPr>
                <w:b/>
                <w:noProof/>
                <w:sz w:val="16"/>
                <w:szCs w:val="16"/>
              </w:rPr>
              <w:t>1,500</w:t>
            </w:r>
          </w:p>
        </w:tc>
        <w:tc>
          <w:tcPr>
            <w:tcW w:w="1080" w:type="dxa"/>
          </w:tcPr>
          <w:p>
            <w:pPr>
              <w:spacing w:before="60" w:after="60" w:line="200" w:lineRule="exact"/>
              <w:jc w:val="right"/>
              <w:rPr>
                <w:b/>
                <w:noProof/>
                <w:sz w:val="16"/>
                <w:szCs w:val="16"/>
              </w:rPr>
            </w:pPr>
            <w:r>
              <w:rPr>
                <w:b/>
                <w:noProof/>
                <w:sz w:val="16"/>
                <w:szCs w:val="16"/>
              </w:rPr>
              <w:t>10,500</w:t>
            </w: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Other administrative expenditure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tcPr>
          <w:p>
            <w:pPr>
              <w:spacing w:before="60" w:after="60" w:line="200" w:lineRule="exact"/>
              <w:jc w:val="right"/>
              <w:rPr>
                <w:b/>
                <w:noProof/>
                <w:sz w:val="16"/>
                <w:szCs w:val="16"/>
              </w:rPr>
            </w:pPr>
          </w:p>
        </w:tc>
        <w:tc>
          <w:tcPr>
            <w:tcW w:w="1080" w:type="dxa"/>
          </w:tcPr>
          <w:p>
            <w:pPr>
              <w:spacing w:before="60" w:after="60" w:line="200" w:lineRule="exact"/>
              <w:jc w:val="right"/>
              <w:rPr>
                <w:b/>
                <w:noProof/>
                <w:sz w:val="16"/>
                <w:szCs w:val="16"/>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Subtotal HEADING 7</w:t>
            </w:r>
            <w:r>
              <w:rPr>
                <w:noProof/>
                <w:sz w:val="22"/>
              </w:rPr>
              <w:br/>
            </w:r>
            <w:r>
              <w:rPr>
                <w:b/>
                <w:noProof/>
                <w:sz w:val="16"/>
              </w:rPr>
              <w:t xml:space="preserve">of the multiannual financial framework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tcPr>
          <w:p>
            <w:pPr>
              <w:spacing w:before="60" w:after="60" w:line="200" w:lineRule="exact"/>
              <w:jc w:val="right"/>
              <w:rPr>
                <w:b/>
                <w:noProof/>
                <w:sz w:val="16"/>
                <w:szCs w:val="16"/>
              </w:rPr>
            </w:pPr>
          </w:p>
        </w:tc>
        <w:tc>
          <w:tcPr>
            <w:tcW w:w="1080" w:type="dxa"/>
          </w:tcPr>
          <w:p>
            <w:pPr>
              <w:spacing w:before="60" w:after="60" w:line="200" w:lineRule="exact"/>
              <w:jc w:val="right"/>
              <w:rPr>
                <w:b/>
                <w:noProof/>
                <w:sz w:val="16"/>
                <w:szCs w:val="16"/>
              </w:rPr>
            </w:pP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noProof/>
                <w:sz w:val="16"/>
                <w:szCs w:val="16"/>
              </w:rPr>
            </w:pPr>
            <w:r>
              <w:rPr>
                <w:b/>
                <w:noProof/>
                <w:sz w:val="16"/>
              </w:rPr>
              <w:t>Outside HEADING 7</w:t>
            </w:r>
            <w:r>
              <w:rPr>
                <w:noProof/>
                <w:sz w:val="22"/>
              </w:rPr>
              <w:br/>
            </w:r>
            <w:r>
              <w:rPr>
                <w:b/>
                <w:noProof/>
                <w:sz w:val="16"/>
              </w:rPr>
              <w:t xml:space="preserve">of the multiannual financial framework </w:t>
            </w:r>
          </w:p>
          <w:p>
            <w:pPr>
              <w:spacing w:before="0" w:after="0" w:line="200" w:lineRule="exact"/>
              <w:jc w:val="center"/>
              <w:rPr>
                <w:b/>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tcPr>
          <w:p>
            <w:pPr>
              <w:spacing w:before="60" w:after="60" w:line="200" w:lineRule="exact"/>
              <w:jc w:val="right"/>
              <w:rPr>
                <w:b/>
                <w:noProof/>
                <w:sz w:val="16"/>
                <w:szCs w:val="16"/>
              </w:rPr>
            </w:pPr>
          </w:p>
        </w:tc>
        <w:tc>
          <w:tcPr>
            <w:tcW w:w="1080" w:type="dxa"/>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Human resources </w:t>
            </w:r>
          </w:p>
        </w:tc>
        <w:tc>
          <w:tcPr>
            <w:tcW w:w="1080" w:type="dxa"/>
          </w:tcPr>
          <w:p>
            <w:pPr>
              <w:spacing w:before="60" w:after="60" w:line="200" w:lineRule="exact"/>
              <w:jc w:val="right"/>
              <w:rPr>
                <w:noProof/>
                <w:sz w:val="16"/>
                <w:szCs w:val="16"/>
              </w:rPr>
            </w:pPr>
            <w:r>
              <w:rPr>
                <w:noProof/>
                <w:sz w:val="20"/>
                <w:szCs w:val="20"/>
              </w:rPr>
              <w:t>2,400</w:t>
            </w:r>
          </w:p>
        </w:tc>
        <w:tc>
          <w:tcPr>
            <w:tcW w:w="1080" w:type="dxa"/>
          </w:tcPr>
          <w:p>
            <w:pPr>
              <w:spacing w:before="60" w:after="60" w:line="200" w:lineRule="exact"/>
              <w:jc w:val="right"/>
              <w:rPr>
                <w:noProof/>
                <w:sz w:val="16"/>
                <w:szCs w:val="16"/>
              </w:rPr>
            </w:pPr>
            <w:r>
              <w:rPr>
                <w:noProof/>
                <w:sz w:val="20"/>
                <w:szCs w:val="20"/>
              </w:rPr>
              <w:t>2,400</w:t>
            </w:r>
          </w:p>
        </w:tc>
        <w:tc>
          <w:tcPr>
            <w:tcW w:w="1080" w:type="dxa"/>
            <w:vAlign w:val="center"/>
          </w:tcPr>
          <w:p>
            <w:pPr>
              <w:spacing w:before="60" w:after="60" w:line="200" w:lineRule="exact"/>
              <w:jc w:val="right"/>
              <w:rPr>
                <w:noProof/>
                <w:sz w:val="16"/>
                <w:szCs w:val="16"/>
              </w:rPr>
            </w:pPr>
            <w:r>
              <w:rPr>
                <w:noProof/>
                <w:sz w:val="16"/>
                <w:szCs w:val="16"/>
              </w:rPr>
              <w:t>2,400</w:t>
            </w:r>
          </w:p>
        </w:tc>
        <w:tc>
          <w:tcPr>
            <w:tcW w:w="1080" w:type="dxa"/>
            <w:vAlign w:val="center"/>
          </w:tcPr>
          <w:p>
            <w:pPr>
              <w:spacing w:before="60" w:after="60" w:line="200" w:lineRule="exact"/>
              <w:jc w:val="right"/>
              <w:rPr>
                <w:noProof/>
                <w:sz w:val="16"/>
                <w:szCs w:val="16"/>
              </w:rPr>
            </w:pPr>
            <w:r>
              <w:rPr>
                <w:noProof/>
                <w:sz w:val="16"/>
                <w:szCs w:val="16"/>
              </w:rPr>
              <w:t>2,400</w:t>
            </w:r>
          </w:p>
        </w:tc>
        <w:tc>
          <w:tcPr>
            <w:tcW w:w="1080" w:type="dxa"/>
            <w:vAlign w:val="center"/>
          </w:tcPr>
          <w:p>
            <w:pPr>
              <w:spacing w:before="60" w:after="60" w:line="200" w:lineRule="exact"/>
              <w:jc w:val="right"/>
              <w:rPr>
                <w:noProof/>
                <w:sz w:val="16"/>
                <w:szCs w:val="16"/>
              </w:rPr>
            </w:pPr>
            <w:r>
              <w:rPr>
                <w:noProof/>
                <w:sz w:val="16"/>
                <w:szCs w:val="16"/>
              </w:rPr>
              <w:t>2,000</w:t>
            </w:r>
          </w:p>
        </w:tc>
        <w:tc>
          <w:tcPr>
            <w:tcW w:w="1080" w:type="dxa"/>
            <w:vAlign w:val="center"/>
          </w:tcPr>
          <w:p>
            <w:pPr>
              <w:spacing w:before="60" w:after="60" w:line="200" w:lineRule="exact"/>
              <w:jc w:val="right"/>
              <w:rPr>
                <w:b/>
                <w:noProof/>
                <w:sz w:val="16"/>
                <w:szCs w:val="16"/>
              </w:rPr>
            </w:pPr>
            <w:r>
              <w:rPr>
                <w:b/>
                <w:noProof/>
                <w:sz w:val="16"/>
                <w:szCs w:val="16"/>
              </w:rPr>
              <w:t>2,000</w:t>
            </w:r>
          </w:p>
        </w:tc>
        <w:tc>
          <w:tcPr>
            <w:tcW w:w="1080" w:type="dxa"/>
          </w:tcPr>
          <w:p>
            <w:pPr>
              <w:spacing w:before="60" w:after="60" w:line="200" w:lineRule="exact"/>
              <w:jc w:val="right"/>
              <w:rPr>
                <w:b/>
                <w:noProof/>
                <w:sz w:val="16"/>
                <w:szCs w:val="16"/>
              </w:rPr>
            </w:pPr>
            <w:r>
              <w:rPr>
                <w:b/>
                <w:noProof/>
                <w:sz w:val="16"/>
                <w:szCs w:val="16"/>
              </w:rPr>
              <w:t>2,000</w:t>
            </w:r>
          </w:p>
        </w:tc>
        <w:tc>
          <w:tcPr>
            <w:tcW w:w="1080" w:type="dxa"/>
          </w:tcPr>
          <w:p>
            <w:pPr>
              <w:spacing w:before="60" w:after="60" w:line="200" w:lineRule="exact"/>
              <w:jc w:val="right"/>
              <w:rPr>
                <w:b/>
                <w:noProof/>
                <w:sz w:val="16"/>
                <w:szCs w:val="16"/>
              </w:rPr>
            </w:pPr>
            <w:r>
              <w:rPr>
                <w:b/>
                <w:noProof/>
                <w:sz w:val="16"/>
                <w:szCs w:val="16"/>
              </w:rPr>
              <w:t>15,600</w:t>
            </w: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Other expenditure </w:t>
            </w:r>
            <w:r>
              <w:rPr>
                <w:noProof/>
                <w:sz w:val="22"/>
              </w:rPr>
              <w:br/>
            </w:r>
            <w:r>
              <w:rPr>
                <w:noProof/>
                <w:sz w:val="16"/>
              </w:rPr>
              <w:t>of an administrative nature</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tcPr>
          <w:p>
            <w:pPr>
              <w:spacing w:before="60" w:after="60" w:line="200" w:lineRule="exact"/>
              <w:jc w:val="right"/>
              <w:rPr>
                <w:b/>
                <w:noProof/>
                <w:sz w:val="16"/>
                <w:szCs w:val="16"/>
              </w:rPr>
            </w:pPr>
          </w:p>
        </w:tc>
        <w:tc>
          <w:tcPr>
            <w:tcW w:w="1080" w:type="dxa"/>
          </w:tcPr>
          <w:p>
            <w:pPr>
              <w:spacing w:before="60" w:after="60" w:line="200" w:lineRule="exact"/>
              <w:jc w:val="right"/>
              <w:rPr>
                <w:b/>
                <w:noProof/>
                <w:sz w:val="16"/>
                <w:szCs w:val="16"/>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 xml:space="preserve">Subtotal </w:t>
            </w:r>
            <w:r>
              <w:rPr>
                <w:noProof/>
                <w:sz w:val="22"/>
              </w:rPr>
              <w:br/>
            </w:r>
            <w:r>
              <w:rPr>
                <w:b/>
                <w:noProof/>
                <w:sz w:val="16"/>
              </w:rPr>
              <w:t>outside HEADING 7</w:t>
            </w:r>
            <w:r>
              <w:rPr>
                <w:noProof/>
                <w:sz w:val="22"/>
              </w:rPr>
              <w:br/>
            </w:r>
            <w:r>
              <w:rPr>
                <w:b/>
                <w:noProof/>
                <w:sz w:val="16"/>
              </w:rPr>
              <w:t xml:space="preserve">of the multiannual financial framework </w:t>
            </w:r>
          </w:p>
        </w:tc>
        <w:tc>
          <w:tcPr>
            <w:tcW w:w="1080" w:type="dxa"/>
          </w:tcPr>
          <w:p>
            <w:pPr>
              <w:spacing w:before="60" w:after="60" w:line="200" w:lineRule="exact"/>
              <w:jc w:val="right"/>
              <w:rPr>
                <w:noProof/>
                <w:sz w:val="16"/>
                <w:szCs w:val="16"/>
              </w:rPr>
            </w:pPr>
            <w:r>
              <w:rPr>
                <w:noProof/>
                <w:sz w:val="20"/>
                <w:szCs w:val="20"/>
              </w:rPr>
              <w:t>2,400</w:t>
            </w:r>
          </w:p>
        </w:tc>
        <w:tc>
          <w:tcPr>
            <w:tcW w:w="1080" w:type="dxa"/>
          </w:tcPr>
          <w:p>
            <w:pPr>
              <w:spacing w:before="60" w:after="60" w:line="200" w:lineRule="exact"/>
              <w:jc w:val="right"/>
              <w:rPr>
                <w:noProof/>
                <w:sz w:val="16"/>
                <w:szCs w:val="16"/>
              </w:rPr>
            </w:pPr>
            <w:r>
              <w:rPr>
                <w:noProof/>
                <w:sz w:val="16"/>
                <w:szCs w:val="16"/>
              </w:rPr>
              <w:t>2,400</w:t>
            </w:r>
          </w:p>
        </w:tc>
        <w:tc>
          <w:tcPr>
            <w:tcW w:w="1080" w:type="dxa"/>
            <w:vAlign w:val="center"/>
          </w:tcPr>
          <w:p>
            <w:pPr>
              <w:spacing w:before="60" w:after="60" w:line="200" w:lineRule="exact"/>
              <w:jc w:val="right"/>
              <w:rPr>
                <w:noProof/>
                <w:sz w:val="16"/>
                <w:szCs w:val="16"/>
              </w:rPr>
            </w:pPr>
            <w:r>
              <w:rPr>
                <w:noProof/>
                <w:sz w:val="16"/>
                <w:szCs w:val="16"/>
              </w:rPr>
              <w:t>2,400</w:t>
            </w:r>
          </w:p>
        </w:tc>
        <w:tc>
          <w:tcPr>
            <w:tcW w:w="1080" w:type="dxa"/>
            <w:vAlign w:val="center"/>
          </w:tcPr>
          <w:p>
            <w:pPr>
              <w:spacing w:before="60" w:after="60" w:line="200" w:lineRule="exact"/>
              <w:jc w:val="right"/>
              <w:rPr>
                <w:noProof/>
                <w:sz w:val="16"/>
                <w:szCs w:val="16"/>
              </w:rPr>
            </w:pPr>
            <w:r>
              <w:rPr>
                <w:noProof/>
                <w:sz w:val="16"/>
                <w:szCs w:val="16"/>
              </w:rPr>
              <w:t>2,400</w:t>
            </w:r>
          </w:p>
        </w:tc>
        <w:tc>
          <w:tcPr>
            <w:tcW w:w="1080" w:type="dxa"/>
            <w:vAlign w:val="center"/>
          </w:tcPr>
          <w:p>
            <w:pPr>
              <w:spacing w:before="60" w:after="60" w:line="200" w:lineRule="exact"/>
              <w:jc w:val="right"/>
              <w:rPr>
                <w:noProof/>
                <w:sz w:val="16"/>
                <w:szCs w:val="16"/>
              </w:rPr>
            </w:pPr>
            <w:r>
              <w:rPr>
                <w:noProof/>
                <w:sz w:val="16"/>
                <w:szCs w:val="16"/>
              </w:rPr>
              <w:t>2,000</w:t>
            </w:r>
          </w:p>
        </w:tc>
        <w:tc>
          <w:tcPr>
            <w:tcW w:w="1080" w:type="dxa"/>
            <w:vAlign w:val="center"/>
          </w:tcPr>
          <w:p>
            <w:pPr>
              <w:spacing w:before="60" w:after="60" w:line="200" w:lineRule="exact"/>
              <w:jc w:val="right"/>
              <w:rPr>
                <w:b/>
                <w:noProof/>
                <w:sz w:val="16"/>
                <w:szCs w:val="16"/>
              </w:rPr>
            </w:pPr>
            <w:r>
              <w:rPr>
                <w:b/>
                <w:noProof/>
                <w:sz w:val="16"/>
                <w:szCs w:val="16"/>
              </w:rPr>
              <w:t>2,000</w:t>
            </w:r>
          </w:p>
        </w:tc>
        <w:tc>
          <w:tcPr>
            <w:tcW w:w="1080" w:type="dxa"/>
          </w:tcPr>
          <w:p>
            <w:pPr>
              <w:spacing w:before="60" w:after="60" w:line="200" w:lineRule="exact"/>
              <w:jc w:val="right"/>
              <w:rPr>
                <w:b/>
                <w:noProof/>
                <w:sz w:val="16"/>
                <w:szCs w:val="16"/>
              </w:rPr>
            </w:pPr>
            <w:r>
              <w:rPr>
                <w:b/>
                <w:noProof/>
                <w:sz w:val="16"/>
                <w:szCs w:val="16"/>
              </w:rPr>
              <w:t>2,000</w:t>
            </w:r>
          </w:p>
        </w:tc>
        <w:tc>
          <w:tcPr>
            <w:tcW w:w="1080" w:type="dxa"/>
          </w:tcPr>
          <w:p>
            <w:pPr>
              <w:spacing w:before="60" w:after="60" w:line="200" w:lineRule="exact"/>
              <w:jc w:val="right"/>
              <w:rPr>
                <w:b/>
                <w:noProof/>
                <w:sz w:val="16"/>
                <w:szCs w:val="16"/>
              </w:rPr>
            </w:pPr>
            <w:r>
              <w:rPr>
                <w:b/>
                <w:noProof/>
                <w:sz w:val="16"/>
                <w:szCs w:val="16"/>
              </w:rPr>
              <w:t>15,600</w:t>
            </w:r>
          </w:p>
        </w:tc>
      </w:tr>
    </w:tbl>
    <w:p>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TOTAL</w:t>
            </w:r>
          </w:p>
        </w:tc>
        <w:tc>
          <w:tcPr>
            <w:tcW w:w="1080" w:type="dxa"/>
            <w:tcBorders>
              <w:top w:val="single" w:sz="12" w:space="0" w:color="auto"/>
              <w:left w:val="single" w:sz="2" w:space="0" w:color="auto"/>
              <w:bottom w:val="single" w:sz="12" w:space="0" w:color="auto"/>
              <w:right w:val="single" w:sz="2" w:space="0" w:color="auto"/>
            </w:tcBorders>
          </w:tcPr>
          <w:p>
            <w:pPr>
              <w:spacing w:before="60" w:after="60" w:line="200" w:lineRule="exact"/>
              <w:jc w:val="right"/>
              <w:rPr>
                <w:b/>
                <w:noProof/>
                <w:sz w:val="16"/>
                <w:szCs w:val="16"/>
              </w:rPr>
            </w:pPr>
            <w:r>
              <w:rPr>
                <w:b/>
                <w:noProof/>
                <w:sz w:val="16"/>
                <w:szCs w:val="16"/>
              </w:rPr>
              <w:t>3,900</w:t>
            </w:r>
          </w:p>
        </w:tc>
        <w:tc>
          <w:tcPr>
            <w:tcW w:w="1080" w:type="dxa"/>
            <w:tcBorders>
              <w:top w:val="single" w:sz="12" w:space="0" w:color="auto"/>
              <w:left w:val="single" w:sz="2" w:space="0" w:color="auto"/>
              <w:bottom w:val="single" w:sz="12" w:space="0" w:color="auto"/>
              <w:right w:val="single" w:sz="2" w:space="0" w:color="auto"/>
            </w:tcBorders>
          </w:tcPr>
          <w:p>
            <w:pPr>
              <w:spacing w:before="60" w:after="60" w:line="200" w:lineRule="exact"/>
              <w:jc w:val="right"/>
              <w:rPr>
                <w:b/>
                <w:noProof/>
                <w:sz w:val="16"/>
                <w:szCs w:val="16"/>
              </w:rPr>
            </w:pPr>
            <w:r>
              <w:rPr>
                <w:noProof/>
                <w:sz w:val="20"/>
                <w:szCs w:val="20"/>
              </w:rPr>
              <w:t>3,900</w:t>
            </w:r>
          </w:p>
        </w:tc>
        <w:tc>
          <w:tcPr>
            <w:tcW w:w="1080" w:type="dxa"/>
            <w:tcBorders>
              <w:top w:val="single" w:sz="12" w:space="0" w:color="auto"/>
              <w:left w:val="single" w:sz="2" w:space="0" w:color="auto"/>
              <w:bottom w:val="single" w:sz="12" w:space="0" w:color="auto"/>
              <w:right w:val="single" w:sz="2" w:space="0" w:color="auto"/>
            </w:tcBorders>
          </w:tcPr>
          <w:p>
            <w:pPr>
              <w:spacing w:before="60" w:after="60" w:line="200" w:lineRule="exact"/>
              <w:jc w:val="right"/>
              <w:rPr>
                <w:b/>
                <w:noProof/>
                <w:sz w:val="16"/>
                <w:szCs w:val="16"/>
              </w:rPr>
            </w:pPr>
            <w:r>
              <w:rPr>
                <w:noProof/>
                <w:sz w:val="20"/>
                <w:szCs w:val="20"/>
              </w:rPr>
              <w:t>3,900</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b/>
                <w:noProof/>
                <w:sz w:val="16"/>
                <w:szCs w:val="16"/>
              </w:rPr>
              <w:t>3,900</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b/>
                <w:noProof/>
                <w:sz w:val="16"/>
                <w:szCs w:val="16"/>
              </w:rPr>
              <w:t>3,500</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b/>
                <w:noProof/>
                <w:sz w:val="16"/>
                <w:szCs w:val="16"/>
              </w:rPr>
              <w:t>3,500</w:t>
            </w:r>
          </w:p>
        </w:tc>
        <w:tc>
          <w:tcPr>
            <w:tcW w:w="1080" w:type="dxa"/>
            <w:tcBorders>
              <w:top w:val="single" w:sz="12" w:space="0" w:color="auto"/>
              <w:left w:val="single" w:sz="2" w:space="0" w:color="auto"/>
              <w:bottom w:val="single" w:sz="12" w:space="0" w:color="auto"/>
              <w:right w:val="single" w:sz="12" w:space="0" w:color="auto"/>
            </w:tcBorders>
            <w:vAlign w:val="center"/>
          </w:tcPr>
          <w:p>
            <w:pPr>
              <w:spacing w:before="60" w:after="60" w:line="200" w:lineRule="exact"/>
              <w:jc w:val="right"/>
              <w:rPr>
                <w:b/>
                <w:noProof/>
                <w:sz w:val="16"/>
                <w:szCs w:val="16"/>
              </w:rPr>
            </w:pPr>
            <w:r>
              <w:rPr>
                <w:b/>
                <w:noProof/>
                <w:sz w:val="16"/>
                <w:szCs w:val="16"/>
              </w:rPr>
              <w:t>3,500</w:t>
            </w:r>
          </w:p>
        </w:tc>
        <w:tc>
          <w:tcPr>
            <w:tcW w:w="1080" w:type="dxa"/>
            <w:tcBorders>
              <w:top w:val="single" w:sz="12" w:space="0" w:color="auto"/>
              <w:left w:val="single" w:sz="2" w:space="0" w:color="auto"/>
              <w:bottom w:val="single" w:sz="12" w:space="0" w:color="auto"/>
              <w:right w:val="single" w:sz="12" w:space="0" w:color="auto"/>
            </w:tcBorders>
          </w:tcPr>
          <w:p>
            <w:pPr>
              <w:spacing w:before="60" w:after="60" w:line="200" w:lineRule="exact"/>
              <w:jc w:val="right"/>
              <w:rPr>
                <w:b/>
                <w:noProof/>
                <w:sz w:val="16"/>
                <w:szCs w:val="16"/>
              </w:rPr>
            </w:pPr>
            <w:r>
              <w:rPr>
                <w:b/>
                <w:noProof/>
                <w:sz w:val="16"/>
                <w:szCs w:val="16"/>
              </w:rPr>
              <w:t>26,100</w:t>
            </w:r>
          </w:p>
        </w:tc>
      </w:tr>
    </w:tbl>
    <w:p>
      <w:pPr>
        <w:rPr>
          <w:noProof/>
          <w:sz w:val="18"/>
        </w:rPr>
      </w:pPr>
      <w:r>
        <w:rPr>
          <w:noProof/>
          <w:sz w:val="18"/>
        </w:rPr>
        <w:t>The appropriations required for human resources and other expenditure of an administrative nature will be met by appropriations from the DG that are already assigned to management of the action and/or have been redeployed within the DG, together if necessary with any additional allocation which may be granted to the managing DG under the annual allocation procedure and in the light of budgetary constraints.</w:t>
      </w:r>
    </w:p>
    <w:p>
      <w:pPr>
        <w:spacing w:before="0" w:after="200" w:line="276" w:lineRule="auto"/>
        <w:jc w:val="left"/>
        <w:rPr>
          <w:noProof/>
          <w:sz w:val="18"/>
        </w:rPr>
      </w:pPr>
      <w:r>
        <w:rPr>
          <w:noProof/>
          <w:sz w:val="18"/>
        </w:rPr>
        <w:br w:type="page"/>
      </w:r>
    </w:p>
    <w:p>
      <w:pPr>
        <w:pStyle w:val="ManualHeading4"/>
        <w:rPr>
          <w:noProof/>
          <w:szCs w:val="24"/>
        </w:rPr>
      </w:pPr>
      <w:r>
        <w:t>3.2.2.1.</w:t>
      </w:r>
      <w:r>
        <w:tab/>
      </w:r>
      <w:r>
        <w:rPr>
          <w:noProof/>
        </w:rPr>
        <w:t>Estimated requirements of human resources</w:t>
      </w:r>
    </w:p>
    <w:p>
      <w:pPr>
        <w:tabs>
          <w:tab w:val="num" w:pos="1134"/>
        </w:tabs>
        <w:ind w:left="1134" w:hanging="283"/>
        <w:rPr>
          <w:rFonts w:eastAsia="Times New Roman"/>
          <w:noProof/>
          <w:lang w:eastAsia="de-DE"/>
        </w:rPr>
      </w:pPr>
      <w:r>
        <w:rPr>
          <w:rFonts w:eastAsia="Times New Roman"/>
          <w:noProof/>
          <w:lang w:eastAsia="de-DE"/>
        </w:rPr>
        <w:sym w:font="Wingdings" w:char="F0A8"/>
      </w:r>
      <w:r>
        <w:rPr>
          <w:rFonts w:eastAsia="Times New Roman"/>
          <w:noProof/>
          <w:lang w:eastAsia="de-DE"/>
        </w:rPr>
        <w:tab/>
        <w:t xml:space="preserve">The proposal/initiative does not require the use of human resources. </w:t>
      </w:r>
    </w:p>
    <w:p>
      <w:pPr>
        <w:tabs>
          <w:tab w:val="num" w:pos="1134"/>
        </w:tabs>
        <w:ind w:left="1134" w:hanging="283"/>
        <w:rPr>
          <w:rFonts w:eastAsia="Times New Roman"/>
          <w:noProof/>
          <w:lang w:eastAsia="de-DE"/>
        </w:rPr>
      </w:pPr>
      <w:r>
        <w:rPr>
          <w:rFonts w:eastAsia="Times New Roman"/>
          <w:noProof/>
          <w:lang w:eastAsia="de-DE"/>
        </w:rPr>
        <w:t>X</w:t>
      </w:r>
      <w:r>
        <w:rPr>
          <w:rFonts w:eastAsia="Times New Roman"/>
          <w:noProof/>
          <w:lang w:eastAsia="de-DE"/>
        </w:rPr>
        <w:tab/>
        <w:t>The proposal/initiative requires the use of human resources, as explained below:</w:t>
      </w:r>
    </w:p>
    <w:p>
      <w:pPr>
        <w:spacing w:after="60"/>
        <w:jc w:val="right"/>
        <w:rPr>
          <w:i/>
          <w:noProof/>
          <w:sz w:val="20"/>
        </w:rPr>
      </w:pPr>
      <w:r>
        <w:rPr>
          <w:i/>
          <w:noProof/>
          <w:sz w:val="20"/>
        </w:rPr>
        <w:t>Estimate to be expressed in full time equivalent units</w:t>
      </w:r>
    </w:p>
    <w:tbl>
      <w:tblPr>
        <w:tblW w:w="5324" w:type="pct"/>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438"/>
        <w:gridCol w:w="1442"/>
        <w:gridCol w:w="1044"/>
        <w:gridCol w:w="912"/>
        <w:gridCol w:w="1044"/>
        <w:gridCol w:w="1042"/>
        <w:gridCol w:w="914"/>
        <w:gridCol w:w="1028"/>
        <w:gridCol w:w="1025"/>
      </w:tblGrid>
      <w:tr>
        <w:trPr>
          <w:trHeight w:val="289"/>
        </w:trPr>
        <w:tc>
          <w:tcPr>
            <w:tcW w:w="1456" w:type="pct"/>
            <w:gridSpan w:val="2"/>
            <w:vAlign w:val="center"/>
          </w:tcPr>
          <w:p>
            <w:pPr>
              <w:spacing w:before="40" w:after="40"/>
              <w:jc w:val="center"/>
              <w:rPr>
                <w:i/>
                <w:noProof/>
                <w:sz w:val="16"/>
                <w:szCs w:val="16"/>
              </w:rPr>
            </w:pPr>
            <w:r>
              <w:rPr>
                <w:b/>
                <w:noProof/>
                <w:sz w:val="16"/>
                <w:szCs w:val="16"/>
              </w:rPr>
              <w:t>Years</w:t>
            </w:r>
          </w:p>
        </w:tc>
        <w:tc>
          <w:tcPr>
            <w:tcW w:w="528" w:type="pct"/>
            <w:shd w:val="clear" w:color="auto" w:fill="auto"/>
            <w:vAlign w:val="center"/>
          </w:tcPr>
          <w:p>
            <w:pPr>
              <w:spacing w:before="20" w:after="20"/>
              <w:jc w:val="center"/>
              <w:rPr>
                <w:b/>
                <w:noProof/>
                <w:sz w:val="20"/>
              </w:rPr>
            </w:pPr>
            <w:r>
              <w:rPr>
                <w:b/>
                <w:noProof/>
                <w:sz w:val="20"/>
              </w:rPr>
              <w:t>2021</w:t>
            </w:r>
          </w:p>
        </w:tc>
        <w:tc>
          <w:tcPr>
            <w:tcW w:w="461" w:type="pct"/>
            <w:shd w:val="clear" w:color="auto" w:fill="auto"/>
            <w:vAlign w:val="center"/>
          </w:tcPr>
          <w:p>
            <w:pPr>
              <w:spacing w:before="20" w:after="20"/>
              <w:jc w:val="center"/>
              <w:rPr>
                <w:b/>
                <w:noProof/>
                <w:sz w:val="20"/>
              </w:rPr>
            </w:pPr>
            <w:r>
              <w:rPr>
                <w:b/>
                <w:noProof/>
                <w:sz w:val="20"/>
              </w:rPr>
              <w:t>2022</w:t>
            </w:r>
          </w:p>
        </w:tc>
        <w:tc>
          <w:tcPr>
            <w:tcW w:w="528" w:type="pct"/>
            <w:shd w:val="clear" w:color="auto" w:fill="auto"/>
            <w:vAlign w:val="center"/>
          </w:tcPr>
          <w:p>
            <w:pPr>
              <w:spacing w:before="20" w:after="20"/>
              <w:jc w:val="center"/>
              <w:rPr>
                <w:b/>
                <w:noProof/>
                <w:sz w:val="20"/>
              </w:rPr>
            </w:pPr>
            <w:r>
              <w:rPr>
                <w:b/>
                <w:noProof/>
                <w:sz w:val="20"/>
              </w:rPr>
              <w:t>2023</w:t>
            </w:r>
          </w:p>
        </w:tc>
        <w:tc>
          <w:tcPr>
            <w:tcW w:w="527" w:type="pct"/>
            <w:shd w:val="clear" w:color="auto" w:fill="auto"/>
            <w:vAlign w:val="center"/>
          </w:tcPr>
          <w:p>
            <w:pPr>
              <w:jc w:val="center"/>
              <w:rPr>
                <w:b/>
                <w:noProof/>
                <w:sz w:val="20"/>
              </w:rPr>
            </w:pPr>
            <w:r>
              <w:rPr>
                <w:b/>
                <w:noProof/>
                <w:sz w:val="20"/>
              </w:rPr>
              <w:t>2024</w:t>
            </w:r>
          </w:p>
        </w:tc>
        <w:tc>
          <w:tcPr>
            <w:tcW w:w="462" w:type="pct"/>
            <w:shd w:val="clear" w:color="auto" w:fill="auto"/>
            <w:vAlign w:val="center"/>
          </w:tcPr>
          <w:p>
            <w:pPr>
              <w:jc w:val="center"/>
              <w:rPr>
                <w:b/>
                <w:noProof/>
                <w:sz w:val="20"/>
              </w:rPr>
            </w:pPr>
            <w:r>
              <w:rPr>
                <w:b/>
                <w:noProof/>
                <w:sz w:val="20"/>
              </w:rPr>
              <w:t>2025</w:t>
            </w:r>
          </w:p>
        </w:tc>
        <w:tc>
          <w:tcPr>
            <w:tcW w:w="520" w:type="pct"/>
            <w:shd w:val="clear" w:color="auto" w:fill="auto"/>
            <w:vAlign w:val="center"/>
          </w:tcPr>
          <w:p>
            <w:pPr>
              <w:jc w:val="center"/>
              <w:rPr>
                <w:b/>
                <w:noProof/>
                <w:sz w:val="20"/>
              </w:rPr>
            </w:pPr>
            <w:r>
              <w:rPr>
                <w:b/>
                <w:noProof/>
                <w:sz w:val="20"/>
              </w:rPr>
              <w:t>2026</w:t>
            </w:r>
          </w:p>
        </w:tc>
        <w:tc>
          <w:tcPr>
            <w:tcW w:w="518" w:type="pct"/>
          </w:tcPr>
          <w:p>
            <w:pPr>
              <w:jc w:val="center"/>
              <w:rPr>
                <w:b/>
                <w:noProof/>
                <w:sz w:val="20"/>
              </w:rPr>
            </w:pPr>
            <w:r>
              <w:rPr>
                <w:b/>
                <w:noProof/>
                <w:sz w:val="20"/>
              </w:rPr>
              <w:t>2027</w:t>
            </w:r>
          </w:p>
        </w:tc>
      </w:tr>
      <w:tr>
        <w:trPr>
          <w:trHeight w:val="289"/>
        </w:trPr>
        <w:tc>
          <w:tcPr>
            <w:tcW w:w="1456" w:type="pct"/>
            <w:gridSpan w:val="2"/>
          </w:tcPr>
          <w:p>
            <w:pPr>
              <w:spacing w:beforeLines="20" w:before="48" w:afterLines="20" w:after="48"/>
              <w:ind w:left="134"/>
              <w:jc w:val="left"/>
              <w:rPr>
                <w:b/>
                <w:noProof/>
                <w:sz w:val="16"/>
                <w:szCs w:val="16"/>
              </w:rPr>
            </w:pPr>
            <w:r>
              <w:rPr>
                <w:noProof/>
                <w:sz w:val="16"/>
              </w:rPr>
              <w:t>Headquarters and Commission’s Representation Offices</w:t>
            </w:r>
          </w:p>
        </w:tc>
        <w:tc>
          <w:tcPr>
            <w:tcW w:w="528" w:type="pct"/>
            <w:shd w:val="clear" w:color="auto" w:fill="auto"/>
            <w:vAlign w:val="center"/>
          </w:tcPr>
          <w:p>
            <w:pPr>
              <w:spacing w:beforeLines="20" w:before="48" w:afterLines="20" w:after="48"/>
              <w:jc w:val="center"/>
              <w:rPr>
                <w:noProof/>
                <w:sz w:val="16"/>
                <w:szCs w:val="16"/>
              </w:rPr>
            </w:pPr>
            <w:r>
              <w:rPr>
                <w:noProof/>
                <w:sz w:val="16"/>
                <w:szCs w:val="16"/>
              </w:rPr>
              <w:t>10</w:t>
            </w:r>
          </w:p>
        </w:tc>
        <w:tc>
          <w:tcPr>
            <w:tcW w:w="461" w:type="pct"/>
            <w:shd w:val="clear" w:color="auto" w:fill="auto"/>
            <w:vAlign w:val="center"/>
          </w:tcPr>
          <w:p>
            <w:pPr>
              <w:spacing w:beforeLines="20" w:before="48" w:afterLines="20" w:after="48"/>
              <w:jc w:val="center"/>
              <w:rPr>
                <w:noProof/>
                <w:sz w:val="16"/>
                <w:szCs w:val="16"/>
              </w:rPr>
            </w:pPr>
            <w:r>
              <w:rPr>
                <w:noProof/>
                <w:sz w:val="16"/>
                <w:szCs w:val="16"/>
              </w:rPr>
              <w:t>10</w:t>
            </w:r>
          </w:p>
        </w:tc>
        <w:tc>
          <w:tcPr>
            <w:tcW w:w="528" w:type="pct"/>
            <w:shd w:val="clear" w:color="auto" w:fill="auto"/>
            <w:vAlign w:val="center"/>
          </w:tcPr>
          <w:p>
            <w:pPr>
              <w:spacing w:beforeLines="20" w:before="48" w:afterLines="20" w:after="48"/>
              <w:jc w:val="center"/>
              <w:rPr>
                <w:noProof/>
                <w:sz w:val="16"/>
                <w:szCs w:val="16"/>
              </w:rPr>
            </w:pPr>
            <w:r>
              <w:rPr>
                <w:noProof/>
                <w:sz w:val="16"/>
                <w:szCs w:val="16"/>
              </w:rPr>
              <w:t>10</w:t>
            </w:r>
          </w:p>
        </w:tc>
        <w:tc>
          <w:tcPr>
            <w:tcW w:w="527" w:type="pct"/>
            <w:shd w:val="clear" w:color="auto" w:fill="auto"/>
            <w:vAlign w:val="center"/>
          </w:tcPr>
          <w:p>
            <w:pPr>
              <w:spacing w:beforeLines="20" w:before="48" w:afterLines="20" w:after="48"/>
              <w:jc w:val="center"/>
              <w:rPr>
                <w:noProof/>
                <w:sz w:val="16"/>
                <w:szCs w:val="16"/>
              </w:rPr>
            </w:pPr>
            <w:r>
              <w:rPr>
                <w:noProof/>
                <w:sz w:val="16"/>
                <w:szCs w:val="16"/>
              </w:rPr>
              <w:t>10</w:t>
            </w:r>
          </w:p>
        </w:tc>
        <w:tc>
          <w:tcPr>
            <w:tcW w:w="462" w:type="pct"/>
            <w:shd w:val="clear" w:color="auto" w:fill="auto"/>
            <w:vAlign w:val="center"/>
          </w:tcPr>
          <w:p>
            <w:pPr>
              <w:spacing w:beforeLines="20" w:before="48" w:afterLines="20" w:after="48"/>
              <w:jc w:val="center"/>
              <w:rPr>
                <w:noProof/>
                <w:sz w:val="16"/>
                <w:szCs w:val="16"/>
              </w:rPr>
            </w:pPr>
            <w:r>
              <w:rPr>
                <w:noProof/>
                <w:sz w:val="16"/>
                <w:szCs w:val="16"/>
              </w:rPr>
              <w:t>10</w:t>
            </w:r>
          </w:p>
        </w:tc>
        <w:tc>
          <w:tcPr>
            <w:tcW w:w="520" w:type="pct"/>
            <w:shd w:val="clear" w:color="auto" w:fill="auto"/>
            <w:vAlign w:val="center"/>
          </w:tcPr>
          <w:p>
            <w:pPr>
              <w:spacing w:beforeLines="20" w:before="48" w:afterLines="20" w:after="48"/>
              <w:jc w:val="center"/>
              <w:rPr>
                <w:noProof/>
                <w:sz w:val="16"/>
                <w:szCs w:val="16"/>
              </w:rPr>
            </w:pPr>
            <w:r>
              <w:rPr>
                <w:noProof/>
                <w:sz w:val="16"/>
                <w:szCs w:val="16"/>
              </w:rPr>
              <w:t>10</w:t>
            </w:r>
          </w:p>
        </w:tc>
        <w:tc>
          <w:tcPr>
            <w:tcW w:w="518" w:type="pct"/>
          </w:tcPr>
          <w:p>
            <w:pPr>
              <w:spacing w:beforeLines="20" w:before="48" w:afterLines="20" w:after="48"/>
              <w:jc w:val="center"/>
              <w:rPr>
                <w:noProof/>
                <w:sz w:val="16"/>
                <w:szCs w:val="16"/>
              </w:rPr>
            </w:pPr>
            <w:r>
              <w:rPr>
                <w:noProof/>
                <w:sz w:val="16"/>
                <w:szCs w:val="16"/>
              </w:rPr>
              <w:t>10</w:t>
            </w:r>
          </w:p>
        </w:tc>
      </w:tr>
      <w:tr>
        <w:trPr>
          <w:trHeight w:val="289"/>
        </w:trPr>
        <w:tc>
          <w:tcPr>
            <w:tcW w:w="1456" w:type="pct"/>
            <w:gridSpan w:val="2"/>
          </w:tcPr>
          <w:p>
            <w:pPr>
              <w:spacing w:beforeLines="20" w:before="48" w:afterLines="20" w:after="48"/>
              <w:ind w:left="134"/>
              <w:jc w:val="left"/>
              <w:rPr>
                <w:noProof/>
                <w:sz w:val="16"/>
                <w:szCs w:val="16"/>
              </w:rPr>
            </w:pPr>
            <w:r>
              <w:rPr>
                <w:noProof/>
                <w:sz w:val="16"/>
              </w:rPr>
              <w:t>Delegations</w:t>
            </w:r>
          </w:p>
        </w:tc>
        <w:tc>
          <w:tcPr>
            <w:tcW w:w="528" w:type="pct"/>
            <w:shd w:val="clear" w:color="auto" w:fill="auto"/>
            <w:vAlign w:val="center"/>
          </w:tcPr>
          <w:p>
            <w:pPr>
              <w:spacing w:beforeLines="20" w:before="48" w:afterLines="20" w:after="48"/>
              <w:jc w:val="center"/>
              <w:rPr>
                <w:noProof/>
                <w:sz w:val="16"/>
                <w:szCs w:val="16"/>
              </w:rPr>
            </w:pPr>
          </w:p>
        </w:tc>
        <w:tc>
          <w:tcPr>
            <w:tcW w:w="461" w:type="pct"/>
            <w:shd w:val="clear" w:color="auto" w:fill="auto"/>
            <w:vAlign w:val="center"/>
          </w:tcPr>
          <w:p>
            <w:pPr>
              <w:spacing w:beforeLines="20" w:before="48" w:afterLines="20" w:after="48"/>
              <w:jc w:val="center"/>
              <w:rPr>
                <w:noProof/>
                <w:sz w:val="16"/>
                <w:szCs w:val="16"/>
              </w:rPr>
            </w:pPr>
          </w:p>
        </w:tc>
        <w:tc>
          <w:tcPr>
            <w:tcW w:w="52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c>
          <w:tcPr>
            <w:tcW w:w="462" w:type="pct"/>
            <w:shd w:val="clear" w:color="auto" w:fill="auto"/>
            <w:vAlign w:val="center"/>
          </w:tcPr>
          <w:p>
            <w:pPr>
              <w:spacing w:beforeLines="20" w:before="48" w:afterLines="20" w:after="48"/>
              <w:jc w:val="center"/>
              <w:rPr>
                <w:noProof/>
                <w:sz w:val="16"/>
                <w:szCs w:val="16"/>
              </w:rPr>
            </w:pPr>
          </w:p>
        </w:tc>
        <w:tc>
          <w:tcPr>
            <w:tcW w:w="520" w:type="pct"/>
            <w:shd w:val="clear" w:color="auto" w:fill="auto"/>
            <w:vAlign w:val="center"/>
          </w:tcPr>
          <w:p>
            <w:pPr>
              <w:spacing w:beforeLines="20" w:before="48" w:afterLines="20" w:after="48"/>
              <w:jc w:val="center"/>
              <w:rPr>
                <w:noProof/>
                <w:sz w:val="16"/>
                <w:szCs w:val="16"/>
              </w:rPr>
            </w:pPr>
          </w:p>
        </w:tc>
        <w:tc>
          <w:tcPr>
            <w:tcW w:w="518" w:type="pct"/>
          </w:tcPr>
          <w:p>
            <w:pPr>
              <w:spacing w:beforeLines="20" w:before="48" w:afterLines="20" w:after="48"/>
              <w:jc w:val="center"/>
              <w:rPr>
                <w:noProof/>
                <w:sz w:val="16"/>
                <w:szCs w:val="16"/>
              </w:rPr>
            </w:pPr>
          </w:p>
        </w:tc>
      </w:tr>
      <w:tr>
        <w:trPr>
          <w:trHeight w:val="289"/>
        </w:trPr>
        <w:tc>
          <w:tcPr>
            <w:tcW w:w="1456" w:type="pct"/>
            <w:gridSpan w:val="2"/>
          </w:tcPr>
          <w:p>
            <w:pPr>
              <w:spacing w:beforeLines="20" w:before="48" w:afterLines="20" w:after="48"/>
              <w:ind w:left="134"/>
              <w:jc w:val="left"/>
              <w:rPr>
                <w:noProof/>
                <w:sz w:val="16"/>
                <w:szCs w:val="16"/>
              </w:rPr>
            </w:pPr>
            <w:r>
              <w:rPr>
                <w:noProof/>
                <w:sz w:val="16"/>
              </w:rPr>
              <w:t>Research</w:t>
            </w:r>
          </w:p>
        </w:tc>
        <w:tc>
          <w:tcPr>
            <w:tcW w:w="528" w:type="pct"/>
            <w:shd w:val="clear" w:color="auto" w:fill="auto"/>
            <w:vAlign w:val="center"/>
          </w:tcPr>
          <w:p>
            <w:pPr>
              <w:spacing w:beforeLines="20" w:before="48" w:afterLines="20" w:after="48"/>
              <w:jc w:val="center"/>
              <w:rPr>
                <w:noProof/>
                <w:sz w:val="16"/>
                <w:szCs w:val="16"/>
              </w:rPr>
            </w:pPr>
          </w:p>
        </w:tc>
        <w:tc>
          <w:tcPr>
            <w:tcW w:w="461" w:type="pct"/>
            <w:shd w:val="clear" w:color="auto" w:fill="auto"/>
            <w:vAlign w:val="center"/>
          </w:tcPr>
          <w:p>
            <w:pPr>
              <w:spacing w:beforeLines="20" w:before="48" w:afterLines="20" w:after="48"/>
              <w:jc w:val="center"/>
              <w:rPr>
                <w:noProof/>
                <w:sz w:val="16"/>
                <w:szCs w:val="16"/>
              </w:rPr>
            </w:pPr>
          </w:p>
        </w:tc>
        <w:tc>
          <w:tcPr>
            <w:tcW w:w="52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c>
          <w:tcPr>
            <w:tcW w:w="462" w:type="pct"/>
            <w:shd w:val="clear" w:color="auto" w:fill="auto"/>
            <w:vAlign w:val="center"/>
          </w:tcPr>
          <w:p>
            <w:pPr>
              <w:spacing w:beforeLines="20" w:before="48" w:afterLines="20" w:after="48"/>
              <w:jc w:val="center"/>
              <w:rPr>
                <w:noProof/>
                <w:sz w:val="16"/>
                <w:szCs w:val="16"/>
              </w:rPr>
            </w:pPr>
          </w:p>
        </w:tc>
        <w:tc>
          <w:tcPr>
            <w:tcW w:w="520" w:type="pct"/>
            <w:shd w:val="clear" w:color="auto" w:fill="auto"/>
            <w:vAlign w:val="center"/>
          </w:tcPr>
          <w:p>
            <w:pPr>
              <w:spacing w:beforeLines="20" w:before="48" w:afterLines="20" w:after="48"/>
              <w:jc w:val="center"/>
              <w:rPr>
                <w:noProof/>
                <w:sz w:val="16"/>
                <w:szCs w:val="16"/>
              </w:rPr>
            </w:pPr>
          </w:p>
        </w:tc>
        <w:tc>
          <w:tcPr>
            <w:tcW w:w="518" w:type="pct"/>
          </w:tcPr>
          <w:p>
            <w:pPr>
              <w:spacing w:beforeLines="20" w:before="48" w:afterLines="20" w:after="48"/>
              <w:jc w:val="center"/>
              <w:rPr>
                <w:noProof/>
                <w:sz w:val="16"/>
                <w:szCs w:val="16"/>
              </w:rPr>
            </w:pPr>
          </w:p>
        </w:tc>
      </w:tr>
      <w:tr>
        <w:trPr>
          <w:trHeight w:val="485"/>
        </w:trPr>
        <w:tc>
          <w:tcPr>
            <w:tcW w:w="727" w:type="pct"/>
            <w:vMerge w:val="restart"/>
            <w:vAlign w:val="center"/>
          </w:tcPr>
          <w:p>
            <w:pPr>
              <w:spacing w:beforeLines="20" w:before="48" w:afterLines="20" w:after="48"/>
              <w:ind w:left="136"/>
              <w:jc w:val="left"/>
              <w:rPr>
                <w:b/>
                <w:noProof/>
                <w:sz w:val="16"/>
                <w:szCs w:val="16"/>
              </w:rPr>
            </w:pPr>
            <w:r>
              <w:rPr>
                <w:noProof/>
                <w:sz w:val="16"/>
                <w:szCs w:val="16"/>
              </w:rPr>
              <w:t>Financed from HEADING 7 of the multiannual financial framework</w:t>
            </w:r>
            <w:r>
              <w:rPr>
                <w:b/>
                <w:noProof/>
                <w:sz w:val="16"/>
              </w:rPr>
              <w:t xml:space="preserve"> </w:t>
            </w:r>
          </w:p>
        </w:tc>
        <w:tc>
          <w:tcPr>
            <w:tcW w:w="729" w:type="pct"/>
            <w:vAlign w:val="center"/>
          </w:tcPr>
          <w:p>
            <w:pPr>
              <w:spacing w:beforeLines="20" w:before="48" w:afterLines="20" w:after="48"/>
              <w:ind w:left="136"/>
              <w:jc w:val="left"/>
              <w:rPr>
                <w:b/>
                <w:noProof/>
                <w:sz w:val="16"/>
                <w:szCs w:val="16"/>
              </w:rPr>
            </w:pPr>
            <w:r>
              <w:rPr>
                <w:noProof/>
                <w:sz w:val="16"/>
              </w:rPr>
              <w:t>- at Headquarters</w:t>
            </w:r>
          </w:p>
        </w:tc>
        <w:tc>
          <w:tcPr>
            <w:tcW w:w="528" w:type="pct"/>
            <w:shd w:val="clear" w:color="auto" w:fill="auto"/>
            <w:vAlign w:val="center"/>
          </w:tcPr>
          <w:p>
            <w:pPr>
              <w:spacing w:beforeLines="20" w:before="48" w:afterLines="20" w:after="48"/>
              <w:jc w:val="center"/>
              <w:rPr>
                <w:noProof/>
                <w:sz w:val="16"/>
                <w:szCs w:val="16"/>
              </w:rPr>
            </w:pPr>
          </w:p>
        </w:tc>
        <w:tc>
          <w:tcPr>
            <w:tcW w:w="461" w:type="pct"/>
            <w:shd w:val="clear" w:color="auto" w:fill="auto"/>
            <w:vAlign w:val="center"/>
          </w:tcPr>
          <w:p>
            <w:pPr>
              <w:spacing w:beforeLines="20" w:before="48" w:afterLines="20" w:after="48"/>
              <w:jc w:val="center"/>
              <w:rPr>
                <w:noProof/>
                <w:sz w:val="16"/>
                <w:szCs w:val="16"/>
              </w:rPr>
            </w:pPr>
          </w:p>
        </w:tc>
        <w:tc>
          <w:tcPr>
            <w:tcW w:w="52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c>
          <w:tcPr>
            <w:tcW w:w="462" w:type="pct"/>
            <w:shd w:val="clear" w:color="auto" w:fill="auto"/>
            <w:vAlign w:val="center"/>
          </w:tcPr>
          <w:p>
            <w:pPr>
              <w:spacing w:beforeLines="20" w:before="48" w:afterLines="20" w:after="48"/>
              <w:jc w:val="center"/>
              <w:rPr>
                <w:noProof/>
                <w:sz w:val="16"/>
                <w:szCs w:val="16"/>
              </w:rPr>
            </w:pPr>
          </w:p>
        </w:tc>
        <w:tc>
          <w:tcPr>
            <w:tcW w:w="520" w:type="pct"/>
            <w:shd w:val="clear" w:color="auto" w:fill="auto"/>
            <w:vAlign w:val="center"/>
          </w:tcPr>
          <w:p>
            <w:pPr>
              <w:spacing w:beforeLines="20" w:before="48" w:afterLines="20" w:after="48"/>
              <w:jc w:val="center"/>
              <w:rPr>
                <w:noProof/>
                <w:sz w:val="16"/>
                <w:szCs w:val="16"/>
              </w:rPr>
            </w:pPr>
          </w:p>
        </w:tc>
        <w:tc>
          <w:tcPr>
            <w:tcW w:w="518" w:type="pct"/>
          </w:tcPr>
          <w:p>
            <w:pPr>
              <w:spacing w:beforeLines="20" w:before="48" w:afterLines="20" w:after="48"/>
              <w:jc w:val="center"/>
              <w:rPr>
                <w:noProof/>
                <w:sz w:val="16"/>
                <w:szCs w:val="16"/>
              </w:rPr>
            </w:pPr>
          </w:p>
        </w:tc>
      </w:tr>
      <w:tr>
        <w:trPr>
          <w:trHeight w:val="289"/>
        </w:trPr>
        <w:tc>
          <w:tcPr>
            <w:tcW w:w="727" w:type="pct"/>
            <w:vMerge/>
            <w:vAlign w:val="center"/>
          </w:tcPr>
          <w:p>
            <w:pPr>
              <w:spacing w:beforeLines="20" w:before="48" w:afterLines="20" w:after="48"/>
              <w:ind w:left="136"/>
              <w:jc w:val="left"/>
              <w:rPr>
                <w:noProof/>
                <w:sz w:val="16"/>
                <w:szCs w:val="16"/>
              </w:rPr>
            </w:pPr>
          </w:p>
        </w:tc>
        <w:tc>
          <w:tcPr>
            <w:tcW w:w="729" w:type="pct"/>
            <w:vAlign w:val="center"/>
          </w:tcPr>
          <w:p>
            <w:pPr>
              <w:spacing w:beforeLines="20" w:before="48" w:afterLines="20" w:after="48"/>
              <w:ind w:left="136"/>
              <w:jc w:val="left"/>
              <w:rPr>
                <w:noProof/>
                <w:sz w:val="16"/>
                <w:szCs w:val="16"/>
              </w:rPr>
            </w:pPr>
            <w:r>
              <w:rPr>
                <w:noProof/>
                <w:sz w:val="16"/>
              </w:rPr>
              <w:t xml:space="preserve">- in Delegations </w:t>
            </w:r>
          </w:p>
        </w:tc>
        <w:tc>
          <w:tcPr>
            <w:tcW w:w="528" w:type="pct"/>
            <w:shd w:val="clear" w:color="auto" w:fill="auto"/>
            <w:vAlign w:val="center"/>
          </w:tcPr>
          <w:p>
            <w:pPr>
              <w:spacing w:beforeLines="20" w:before="48" w:afterLines="20" w:after="48"/>
              <w:jc w:val="center"/>
              <w:rPr>
                <w:noProof/>
                <w:sz w:val="16"/>
                <w:szCs w:val="16"/>
              </w:rPr>
            </w:pPr>
          </w:p>
        </w:tc>
        <w:tc>
          <w:tcPr>
            <w:tcW w:w="461" w:type="pct"/>
            <w:shd w:val="clear" w:color="auto" w:fill="auto"/>
            <w:vAlign w:val="center"/>
          </w:tcPr>
          <w:p>
            <w:pPr>
              <w:spacing w:beforeLines="20" w:before="48" w:afterLines="20" w:after="48"/>
              <w:jc w:val="center"/>
              <w:rPr>
                <w:noProof/>
                <w:sz w:val="16"/>
                <w:szCs w:val="16"/>
              </w:rPr>
            </w:pPr>
          </w:p>
        </w:tc>
        <w:tc>
          <w:tcPr>
            <w:tcW w:w="52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c>
          <w:tcPr>
            <w:tcW w:w="462" w:type="pct"/>
            <w:shd w:val="clear" w:color="auto" w:fill="auto"/>
            <w:vAlign w:val="center"/>
          </w:tcPr>
          <w:p>
            <w:pPr>
              <w:spacing w:beforeLines="20" w:before="48" w:afterLines="20" w:after="48"/>
              <w:jc w:val="center"/>
              <w:rPr>
                <w:noProof/>
                <w:sz w:val="16"/>
                <w:szCs w:val="16"/>
              </w:rPr>
            </w:pPr>
          </w:p>
        </w:tc>
        <w:tc>
          <w:tcPr>
            <w:tcW w:w="520" w:type="pct"/>
            <w:shd w:val="clear" w:color="auto" w:fill="auto"/>
            <w:vAlign w:val="center"/>
          </w:tcPr>
          <w:p>
            <w:pPr>
              <w:spacing w:beforeLines="20" w:before="48" w:afterLines="20" w:after="48"/>
              <w:jc w:val="center"/>
              <w:rPr>
                <w:noProof/>
                <w:sz w:val="16"/>
                <w:szCs w:val="16"/>
              </w:rPr>
            </w:pPr>
          </w:p>
        </w:tc>
        <w:tc>
          <w:tcPr>
            <w:tcW w:w="518" w:type="pct"/>
          </w:tcPr>
          <w:p>
            <w:pPr>
              <w:spacing w:beforeLines="20" w:before="48" w:afterLines="20" w:after="48"/>
              <w:jc w:val="center"/>
              <w:rPr>
                <w:noProof/>
                <w:sz w:val="16"/>
                <w:szCs w:val="16"/>
              </w:rPr>
            </w:pPr>
          </w:p>
        </w:tc>
      </w:tr>
      <w:tr>
        <w:trPr>
          <w:trHeight w:val="370"/>
        </w:trPr>
        <w:tc>
          <w:tcPr>
            <w:tcW w:w="727" w:type="pct"/>
            <w:vMerge w:val="restart"/>
            <w:vAlign w:val="center"/>
          </w:tcPr>
          <w:p>
            <w:pPr>
              <w:spacing w:beforeLines="20" w:before="48" w:afterLines="20" w:after="48"/>
              <w:ind w:left="136"/>
              <w:jc w:val="left"/>
              <w:rPr>
                <w:b/>
                <w:noProof/>
                <w:sz w:val="16"/>
                <w:szCs w:val="16"/>
              </w:rPr>
            </w:pPr>
            <w:r>
              <w:rPr>
                <w:noProof/>
                <w:sz w:val="16"/>
                <w:szCs w:val="16"/>
              </w:rPr>
              <w:t>Financed from the envelope of the programme</w:t>
            </w:r>
            <w:r>
              <w:rPr>
                <w:b/>
                <w:noProof/>
                <w:sz w:val="16"/>
                <w:szCs w:val="16"/>
              </w:rPr>
              <w:t xml:space="preserve"> </w:t>
            </w:r>
            <w:r>
              <w:rPr>
                <w:rStyle w:val="FootnoteReference"/>
                <w:b/>
                <w:noProof/>
                <w:sz w:val="16"/>
                <w:szCs w:val="16"/>
              </w:rPr>
              <w:footnoteReference w:id="12"/>
            </w:r>
          </w:p>
        </w:tc>
        <w:tc>
          <w:tcPr>
            <w:tcW w:w="729" w:type="pct"/>
            <w:shd w:val="clear" w:color="auto" w:fill="auto"/>
            <w:vAlign w:val="center"/>
          </w:tcPr>
          <w:p>
            <w:pPr>
              <w:spacing w:beforeLines="20" w:before="48" w:afterLines="20" w:after="48"/>
              <w:ind w:left="136"/>
              <w:jc w:val="left"/>
              <w:rPr>
                <w:b/>
                <w:noProof/>
                <w:sz w:val="16"/>
                <w:szCs w:val="16"/>
              </w:rPr>
            </w:pPr>
            <w:r>
              <w:rPr>
                <w:noProof/>
                <w:sz w:val="16"/>
              </w:rPr>
              <w:t>- at Headquarters</w:t>
            </w:r>
          </w:p>
        </w:tc>
        <w:tc>
          <w:tcPr>
            <w:tcW w:w="528" w:type="pct"/>
            <w:shd w:val="clear" w:color="auto" w:fill="auto"/>
            <w:vAlign w:val="center"/>
          </w:tcPr>
          <w:p>
            <w:pPr>
              <w:spacing w:beforeLines="20" w:before="48" w:afterLines="20" w:after="48"/>
              <w:jc w:val="center"/>
              <w:rPr>
                <w:noProof/>
                <w:sz w:val="16"/>
                <w:szCs w:val="16"/>
              </w:rPr>
            </w:pPr>
          </w:p>
        </w:tc>
        <w:tc>
          <w:tcPr>
            <w:tcW w:w="461" w:type="pct"/>
            <w:shd w:val="clear" w:color="auto" w:fill="auto"/>
            <w:vAlign w:val="center"/>
          </w:tcPr>
          <w:p>
            <w:pPr>
              <w:spacing w:beforeLines="20" w:before="48" w:afterLines="20" w:after="48"/>
              <w:jc w:val="center"/>
              <w:rPr>
                <w:noProof/>
                <w:sz w:val="16"/>
                <w:szCs w:val="16"/>
              </w:rPr>
            </w:pPr>
          </w:p>
        </w:tc>
        <w:tc>
          <w:tcPr>
            <w:tcW w:w="52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c>
          <w:tcPr>
            <w:tcW w:w="462" w:type="pct"/>
            <w:shd w:val="clear" w:color="auto" w:fill="auto"/>
            <w:vAlign w:val="center"/>
          </w:tcPr>
          <w:p>
            <w:pPr>
              <w:spacing w:beforeLines="20" w:before="48" w:afterLines="20" w:after="48"/>
              <w:jc w:val="center"/>
              <w:rPr>
                <w:noProof/>
                <w:sz w:val="16"/>
                <w:szCs w:val="16"/>
              </w:rPr>
            </w:pPr>
          </w:p>
        </w:tc>
        <w:tc>
          <w:tcPr>
            <w:tcW w:w="520" w:type="pct"/>
            <w:shd w:val="clear" w:color="auto" w:fill="auto"/>
            <w:vAlign w:val="center"/>
          </w:tcPr>
          <w:p>
            <w:pPr>
              <w:spacing w:beforeLines="20" w:before="48" w:afterLines="20" w:after="48"/>
              <w:jc w:val="center"/>
              <w:rPr>
                <w:noProof/>
                <w:sz w:val="16"/>
                <w:szCs w:val="16"/>
              </w:rPr>
            </w:pPr>
          </w:p>
        </w:tc>
        <w:tc>
          <w:tcPr>
            <w:tcW w:w="518" w:type="pct"/>
          </w:tcPr>
          <w:p>
            <w:pPr>
              <w:spacing w:beforeLines="20" w:before="48" w:afterLines="20" w:after="48"/>
              <w:jc w:val="center"/>
              <w:rPr>
                <w:noProof/>
                <w:sz w:val="16"/>
                <w:szCs w:val="16"/>
              </w:rPr>
            </w:pPr>
          </w:p>
        </w:tc>
      </w:tr>
      <w:tr>
        <w:trPr>
          <w:trHeight w:val="289"/>
        </w:trPr>
        <w:tc>
          <w:tcPr>
            <w:tcW w:w="727" w:type="pct"/>
            <w:vMerge/>
          </w:tcPr>
          <w:p>
            <w:pPr>
              <w:spacing w:beforeLines="20" w:before="48" w:afterLines="20" w:after="48"/>
              <w:ind w:left="136"/>
              <w:jc w:val="left"/>
              <w:rPr>
                <w:b/>
                <w:noProof/>
                <w:sz w:val="16"/>
                <w:szCs w:val="16"/>
              </w:rPr>
            </w:pPr>
          </w:p>
        </w:tc>
        <w:tc>
          <w:tcPr>
            <w:tcW w:w="729" w:type="pct"/>
            <w:shd w:val="clear" w:color="auto" w:fill="auto"/>
            <w:vAlign w:val="center"/>
          </w:tcPr>
          <w:p>
            <w:pPr>
              <w:spacing w:beforeLines="20" w:before="48" w:afterLines="20" w:after="48"/>
              <w:ind w:left="136"/>
              <w:jc w:val="left"/>
              <w:rPr>
                <w:b/>
                <w:noProof/>
                <w:sz w:val="16"/>
                <w:szCs w:val="16"/>
              </w:rPr>
            </w:pPr>
            <w:r>
              <w:rPr>
                <w:noProof/>
                <w:sz w:val="16"/>
              </w:rPr>
              <w:t xml:space="preserve">- in Delegations </w:t>
            </w:r>
          </w:p>
        </w:tc>
        <w:tc>
          <w:tcPr>
            <w:tcW w:w="528" w:type="pct"/>
            <w:shd w:val="clear" w:color="auto" w:fill="auto"/>
            <w:vAlign w:val="center"/>
          </w:tcPr>
          <w:p>
            <w:pPr>
              <w:spacing w:beforeLines="20" w:before="48" w:afterLines="20" w:after="48"/>
              <w:jc w:val="center"/>
              <w:rPr>
                <w:noProof/>
                <w:sz w:val="16"/>
                <w:szCs w:val="16"/>
              </w:rPr>
            </w:pPr>
          </w:p>
        </w:tc>
        <w:tc>
          <w:tcPr>
            <w:tcW w:w="461" w:type="pct"/>
            <w:shd w:val="clear" w:color="auto" w:fill="auto"/>
            <w:vAlign w:val="center"/>
          </w:tcPr>
          <w:p>
            <w:pPr>
              <w:spacing w:beforeLines="20" w:before="48" w:afterLines="20" w:after="48"/>
              <w:jc w:val="center"/>
              <w:rPr>
                <w:noProof/>
                <w:sz w:val="16"/>
                <w:szCs w:val="16"/>
              </w:rPr>
            </w:pPr>
          </w:p>
        </w:tc>
        <w:tc>
          <w:tcPr>
            <w:tcW w:w="52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c>
          <w:tcPr>
            <w:tcW w:w="462" w:type="pct"/>
            <w:shd w:val="clear" w:color="auto" w:fill="auto"/>
            <w:vAlign w:val="center"/>
          </w:tcPr>
          <w:p>
            <w:pPr>
              <w:spacing w:beforeLines="20" w:before="48" w:afterLines="20" w:after="48"/>
              <w:jc w:val="center"/>
              <w:rPr>
                <w:noProof/>
                <w:sz w:val="16"/>
                <w:szCs w:val="16"/>
              </w:rPr>
            </w:pPr>
          </w:p>
        </w:tc>
        <w:tc>
          <w:tcPr>
            <w:tcW w:w="520" w:type="pct"/>
            <w:shd w:val="clear" w:color="auto" w:fill="auto"/>
            <w:vAlign w:val="center"/>
          </w:tcPr>
          <w:p>
            <w:pPr>
              <w:spacing w:beforeLines="20" w:before="48" w:afterLines="20" w:after="48"/>
              <w:jc w:val="center"/>
              <w:rPr>
                <w:noProof/>
                <w:sz w:val="16"/>
                <w:szCs w:val="16"/>
              </w:rPr>
            </w:pPr>
          </w:p>
        </w:tc>
        <w:tc>
          <w:tcPr>
            <w:tcW w:w="518" w:type="pct"/>
          </w:tcPr>
          <w:p>
            <w:pPr>
              <w:spacing w:beforeLines="20" w:before="48" w:afterLines="20" w:after="48"/>
              <w:jc w:val="center"/>
              <w:rPr>
                <w:noProof/>
                <w:sz w:val="16"/>
                <w:szCs w:val="16"/>
              </w:rPr>
            </w:pPr>
          </w:p>
        </w:tc>
      </w:tr>
      <w:tr>
        <w:trPr>
          <w:trHeight w:val="289"/>
        </w:trPr>
        <w:tc>
          <w:tcPr>
            <w:tcW w:w="1456" w:type="pct"/>
            <w:gridSpan w:val="2"/>
          </w:tcPr>
          <w:p>
            <w:pPr>
              <w:spacing w:beforeLines="20" w:before="48" w:afterLines="20" w:after="48"/>
              <w:ind w:left="136"/>
              <w:jc w:val="left"/>
              <w:rPr>
                <w:noProof/>
                <w:sz w:val="16"/>
                <w:szCs w:val="16"/>
              </w:rPr>
            </w:pPr>
            <w:r>
              <w:rPr>
                <w:noProof/>
                <w:sz w:val="16"/>
                <w:szCs w:val="16"/>
              </w:rPr>
              <w:t>Research</w:t>
            </w:r>
          </w:p>
        </w:tc>
        <w:tc>
          <w:tcPr>
            <w:tcW w:w="528" w:type="pct"/>
            <w:shd w:val="clear" w:color="auto" w:fill="auto"/>
            <w:vAlign w:val="center"/>
          </w:tcPr>
          <w:p>
            <w:pPr>
              <w:spacing w:beforeLines="20" w:before="48" w:afterLines="20" w:after="48"/>
              <w:jc w:val="center"/>
              <w:rPr>
                <w:noProof/>
                <w:sz w:val="16"/>
                <w:szCs w:val="16"/>
              </w:rPr>
            </w:pPr>
          </w:p>
        </w:tc>
        <w:tc>
          <w:tcPr>
            <w:tcW w:w="461" w:type="pct"/>
            <w:shd w:val="clear" w:color="auto" w:fill="auto"/>
            <w:vAlign w:val="center"/>
          </w:tcPr>
          <w:p>
            <w:pPr>
              <w:spacing w:beforeLines="20" w:before="48" w:afterLines="20" w:after="48"/>
              <w:jc w:val="center"/>
              <w:rPr>
                <w:noProof/>
                <w:sz w:val="16"/>
                <w:szCs w:val="16"/>
              </w:rPr>
            </w:pPr>
          </w:p>
        </w:tc>
        <w:tc>
          <w:tcPr>
            <w:tcW w:w="52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c>
          <w:tcPr>
            <w:tcW w:w="462" w:type="pct"/>
            <w:shd w:val="clear" w:color="auto" w:fill="auto"/>
            <w:vAlign w:val="center"/>
          </w:tcPr>
          <w:p>
            <w:pPr>
              <w:spacing w:beforeLines="20" w:before="48" w:afterLines="20" w:after="48"/>
              <w:jc w:val="center"/>
              <w:rPr>
                <w:noProof/>
                <w:sz w:val="16"/>
                <w:szCs w:val="16"/>
              </w:rPr>
            </w:pPr>
          </w:p>
        </w:tc>
        <w:tc>
          <w:tcPr>
            <w:tcW w:w="520" w:type="pct"/>
            <w:shd w:val="clear" w:color="auto" w:fill="auto"/>
            <w:vAlign w:val="center"/>
          </w:tcPr>
          <w:p>
            <w:pPr>
              <w:spacing w:beforeLines="20" w:before="48" w:afterLines="20" w:after="48"/>
              <w:jc w:val="center"/>
              <w:rPr>
                <w:noProof/>
                <w:sz w:val="16"/>
                <w:szCs w:val="16"/>
              </w:rPr>
            </w:pPr>
          </w:p>
        </w:tc>
        <w:tc>
          <w:tcPr>
            <w:tcW w:w="518" w:type="pct"/>
          </w:tcPr>
          <w:p>
            <w:pPr>
              <w:spacing w:beforeLines="20" w:before="48" w:afterLines="20" w:after="48"/>
              <w:jc w:val="center"/>
              <w:rPr>
                <w:noProof/>
                <w:sz w:val="16"/>
                <w:szCs w:val="16"/>
              </w:rPr>
            </w:pPr>
          </w:p>
        </w:tc>
      </w:tr>
      <w:tr>
        <w:trPr>
          <w:trHeight w:val="289"/>
        </w:trPr>
        <w:tc>
          <w:tcPr>
            <w:tcW w:w="1456" w:type="pct"/>
            <w:gridSpan w:val="2"/>
            <w:tcBorders>
              <w:top w:val="single" w:sz="6" w:space="0" w:color="auto"/>
              <w:left w:val="single" w:sz="6" w:space="0" w:color="auto"/>
              <w:bottom w:val="double" w:sz="4" w:space="0" w:color="auto"/>
              <w:right w:val="single" w:sz="6" w:space="0" w:color="auto"/>
            </w:tcBorders>
          </w:tcPr>
          <w:p>
            <w:pPr>
              <w:spacing w:beforeLines="20" w:before="48" w:afterLines="20" w:after="48"/>
              <w:ind w:left="134"/>
              <w:jc w:val="left"/>
              <w:rPr>
                <w:noProof/>
                <w:sz w:val="16"/>
              </w:rPr>
            </w:pPr>
            <w:r>
              <w:rPr>
                <w:noProof/>
                <w:sz w:val="16"/>
              </w:rPr>
              <w:t>Other (assigned revenue)</w:t>
            </w:r>
          </w:p>
        </w:tc>
        <w:tc>
          <w:tcPr>
            <w:tcW w:w="528" w:type="pct"/>
            <w:shd w:val="clear" w:color="auto" w:fill="auto"/>
            <w:vAlign w:val="center"/>
          </w:tcPr>
          <w:p>
            <w:pPr>
              <w:spacing w:beforeLines="20" w:before="48" w:afterLines="20" w:after="48"/>
              <w:jc w:val="center"/>
              <w:rPr>
                <w:noProof/>
                <w:sz w:val="16"/>
                <w:szCs w:val="16"/>
              </w:rPr>
            </w:pPr>
            <w:r>
              <w:rPr>
                <w:noProof/>
                <w:sz w:val="16"/>
                <w:szCs w:val="16"/>
              </w:rPr>
              <w:t>30</w:t>
            </w:r>
          </w:p>
        </w:tc>
        <w:tc>
          <w:tcPr>
            <w:tcW w:w="461" w:type="pct"/>
            <w:shd w:val="clear" w:color="auto" w:fill="auto"/>
            <w:vAlign w:val="center"/>
          </w:tcPr>
          <w:p>
            <w:pPr>
              <w:spacing w:beforeLines="20" w:before="48" w:afterLines="20" w:after="48"/>
              <w:jc w:val="center"/>
              <w:rPr>
                <w:noProof/>
                <w:sz w:val="16"/>
                <w:szCs w:val="16"/>
              </w:rPr>
            </w:pPr>
            <w:r>
              <w:rPr>
                <w:noProof/>
                <w:sz w:val="16"/>
                <w:szCs w:val="16"/>
              </w:rPr>
              <w:t>30</w:t>
            </w:r>
          </w:p>
        </w:tc>
        <w:tc>
          <w:tcPr>
            <w:tcW w:w="528" w:type="pct"/>
            <w:tcBorders>
              <w:top w:val="single" w:sz="6" w:space="0" w:color="auto"/>
              <w:left w:val="single" w:sz="6" w:space="0" w:color="auto"/>
              <w:bottom w:val="double" w:sz="4" w:space="0" w:color="auto"/>
              <w:right w:val="single" w:sz="6" w:space="0" w:color="auto"/>
            </w:tcBorders>
            <w:shd w:val="clear" w:color="auto" w:fill="auto"/>
            <w:vAlign w:val="center"/>
          </w:tcPr>
          <w:p>
            <w:pPr>
              <w:spacing w:beforeLines="20" w:before="48" w:afterLines="20" w:after="48"/>
              <w:jc w:val="center"/>
              <w:rPr>
                <w:noProof/>
                <w:sz w:val="16"/>
                <w:szCs w:val="16"/>
              </w:rPr>
            </w:pPr>
            <w:r>
              <w:rPr>
                <w:noProof/>
                <w:sz w:val="16"/>
                <w:szCs w:val="16"/>
              </w:rPr>
              <w:t>30</w:t>
            </w:r>
          </w:p>
        </w:tc>
        <w:tc>
          <w:tcPr>
            <w:tcW w:w="527" w:type="pct"/>
            <w:tcBorders>
              <w:top w:val="single" w:sz="6" w:space="0" w:color="auto"/>
              <w:left w:val="single" w:sz="6" w:space="0" w:color="auto"/>
              <w:bottom w:val="double" w:sz="4" w:space="0" w:color="auto"/>
              <w:right w:val="single" w:sz="6" w:space="0" w:color="auto"/>
            </w:tcBorders>
            <w:shd w:val="clear" w:color="auto" w:fill="auto"/>
            <w:vAlign w:val="center"/>
          </w:tcPr>
          <w:p>
            <w:pPr>
              <w:spacing w:beforeLines="20" w:before="48" w:afterLines="20" w:after="48"/>
              <w:jc w:val="center"/>
              <w:rPr>
                <w:noProof/>
                <w:sz w:val="16"/>
                <w:szCs w:val="16"/>
              </w:rPr>
            </w:pPr>
            <w:r>
              <w:rPr>
                <w:noProof/>
                <w:sz w:val="16"/>
                <w:szCs w:val="16"/>
              </w:rPr>
              <w:t>30</w:t>
            </w:r>
          </w:p>
        </w:tc>
        <w:tc>
          <w:tcPr>
            <w:tcW w:w="462" w:type="pct"/>
            <w:tcBorders>
              <w:top w:val="single" w:sz="6" w:space="0" w:color="auto"/>
              <w:left w:val="single" w:sz="6" w:space="0" w:color="auto"/>
              <w:bottom w:val="double" w:sz="4" w:space="0" w:color="auto"/>
              <w:right w:val="single" w:sz="6" w:space="0" w:color="auto"/>
            </w:tcBorders>
            <w:shd w:val="clear" w:color="auto" w:fill="auto"/>
            <w:vAlign w:val="center"/>
          </w:tcPr>
          <w:p>
            <w:pPr>
              <w:spacing w:beforeLines="20" w:before="48" w:afterLines="20" w:after="48"/>
              <w:jc w:val="center"/>
              <w:rPr>
                <w:noProof/>
                <w:sz w:val="16"/>
                <w:szCs w:val="16"/>
              </w:rPr>
            </w:pPr>
            <w:r>
              <w:rPr>
                <w:noProof/>
                <w:sz w:val="16"/>
                <w:szCs w:val="16"/>
              </w:rPr>
              <w:t>25</w:t>
            </w:r>
          </w:p>
        </w:tc>
        <w:tc>
          <w:tcPr>
            <w:tcW w:w="520" w:type="pct"/>
            <w:tcBorders>
              <w:top w:val="single" w:sz="6" w:space="0" w:color="auto"/>
              <w:left w:val="single" w:sz="6" w:space="0" w:color="auto"/>
              <w:bottom w:val="double" w:sz="4" w:space="0" w:color="auto"/>
              <w:right w:val="single" w:sz="6" w:space="0" w:color="auto"/>
            </w:tcBorders>
            <w:shd w:val="clear" w:color="auto" w:fill="auto"/>
            <w:vAlign w:val="center"/>
          </w:tcPr>
          <w:p>
            <w:pPr>
              <w:spacing w:beforeLines="20" w:before="48" w:afterLines="20" w:after="48"/>
              <w:jc w:val="center"/>
              <w:rPr>
                <w:noProof/>
                <w:sz w:val="16"/>
                <w:szCs w:val="16"/>
              </w:rPr>
            </w:pPr>
            <w:r>
              <w:rPr>
                <w:noProof/>
                <w:sz w:val="16"/>
                <w:szCs w:val="16"/>
              </w:rPr>
              <w:t>25</w:t>
            </w:r>
          </w:p>
        </w:tc>
        <w:tc>
          <w:tcPr>
            <w:tcW w:w="518" w:type="pct"/>
            <w:tcBorders>
              <w:top w:val="single" w:sz="6" w:space="0" w:color="auto"/>
              <w:left w:val="single" w:sz="6" w:space="0" w:color="auto"/>
              <w:bottom w:val="double" w:sz="4" w:space="0" w:color="auto"/>
              <w:right w:val="single" w:sz="6" w:space="0" w:color="auto"/>
            </w:tcBorders>
          </w:tcPr>
          <w:p>
            <w:pPr>
              <w:spacing w:beforeLines="20" w:before="48" w:afterLines="20" w:after="48"/>
              <w:jc w:val="center"/>
              <w:rPr>
                <w:noProof/>
                <w:sz w:val="16"/>
                <w:szCs w:val="16"/>
              </w:rPr>
            </w:pPr>
            <w:r>
              <w:rPr>
                <w:noProof/>
                <w:sz w:val="16"/>
                <w:szCs w:val="16"/>
              </w:rPr>
              <w:t>25</w:t>
            </w:r>
          </w:p>
        </w:tc>
      </w:tr>
      <w:tr>
        <w:trPr>
          <w:trHeight w:val="289"/>
        </w:trPr>
        <w:tc>
          <w:tcPr>
            <w:tcW w:w="1456" w:type="pct"/>
            <w:gridSpan w:val="2"/>
            <w:tcBorders>
              <w:top w:val="double" w:sz="4" w:space="0" w:color="auto"/>
            </w:tcBorders>
          </w:tcPr>
          <w:p>
            <w:pPr>
              <w:spacing w:beforeLines="20" w:before="48" w:afterLines="20" w:after="48"/>
              <w:ind w:left="136"/>
              <w:jc w:val="left"/>
              <w:rPr>
                <w:noProof/>
                <w:sz w:val="16"/>
                <w:szCs w:val="16"/>
              </w:rPr>
            </w:pPr>
            <w:r>
              <w:rPr>
                <w:b/>
                <w:noProof/>
                <w:sz w:val="16"/>
              </w:rPr>
              <w:t>TOTAL</w:t>
            </w:r>
          </w:p>
        </w:tc>
        <w:tc>
          <w:tcPr>
            <w:tcW w:w="528"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40</w:t>
            </w:r>
          </w:p>
        </w:tc>
        <w:tc>
          <w:tcPr>
            <w:tcW w:w="461"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40</w:t>
            </w:r>
          </w:p>
        </w:tc>
        <w:tc>
          <w:tcPr>
            <w:tcW w:w="528"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40</w:t>
            </w:r>
          </w:p>
        </w:tc>
        <w:tc>
          <w:tcPr>
            <w:tcW w:w="527"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40</w:t>
            </w:r>
          </w:p>
        </w:tc>
        <w:tc>
          <w:tcPr>
            <w:tcW w:w="462"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35</w:t>
            </w:r>
          </w:p>
        </w:tc>
        <w:tc>
          <w:tcPr>
            <w:tcW w:w="520"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35</w:t>
            </w:r>
          </w:p>
        </w:tc>
        <w:tc>
          <w:tcPr>
            <w:tcW w:w="518" w:type="pct"/>
            <w:tcBorders>
              <w:top w:val="double" w:sz="4" w:space="0" w:color="auto"/>
            </w:tcBorders>
          </w:tcPr>
          <w:p>
            <w:pPr>
              <w:spacing w:beforeLines="20" w:before="48" w:afterLines="20" w:after="48"/>
              <w:jc w:val="center"/>
              <w:rPr>
                <w:b/>
                <w:noProof/>
                <w:sz w:val="16"/>
                <w:szCs w:val="16"/>
              </w:rPr>
            </w:pPr>
            <w:r>
              <w:rPr>
                <w:b/>
                <w:noProof/>
                <w:sz w:val="16"/>
                <w:szCs w:val="16"/>
              </w:rPr>
              <w:t>35</w:t>
            </w:r>
          </w:p>
        </w:tc>
      </w:tr>
    </w:tbl>
    <w:p>
      <w:pPr>
        <w:ind w:left="850"/>
        <w:rPr>
          <w:noProof/>
          <w:sz w:val="18"/>
          <w:szCs w:val="18"/>
        </w:rPr>
      </w:pPr>
      <w:r>
        <w:rPr>
          <w:noProof/>
          <w:sz w:val="18"/>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r>
        <w:rPr>
          <w:noProof/>
        </w:rPr>
        <w:t xml:space="preserve"> </w:t>
      </w:r>
      <w:r>
        <w:rPr>
          <w:noProof/>
          <w:sz w:val="18"/>
        </w:rPr>
        <w:t>Additional staff will be only external staff and will be financed solely from assigned revenues</w:t>
      </w:r>
    </w:p>
    <w:p>
      <w:pPr>
        <w:rPr>
          <w:noProof/>
          <w:sz w:val="20"/>
        </w:rPr>
      </w:pPr>
      <w:r>
        <w:rPr>
          <w:noProof/>
          <w:sz w:val="20"/>
        </w:rPr>
        <w:t>Description of tasks to be carried out:</w:t>
      </w:r>
    </w:p>
    <w:tbl>
      <w:tblPr>
        <w:tblW w:w="10632"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392"/>
      </w:tblGrid>
      <w:tr>
        <w:tc>
          <w:tcPr>
            <w:tcW w:w="3240" w:type="dxa"/>
          </w:tcPr>
          <w:p>
            <w:pPr>
              <w:rPr>
                <w:noProof/>
                <w:sz w:val="20"/>
              </w:rPr>
            </w:pPr>
            <w:r>
              <w:rPr>
                <w:noProof/>
                <w:sz w:val="20"/>
              </w:rPr>
              <w:t>Officials and temporary staff</w:t>
            </w:r>
          </w:p>
        </w:tc>
        <w:tc>
          <w:tcPr>
            <w:tcW w:w="7392" w:type="dxa"/>
          </w:tcPr>
          <w:p>
            <w:pPr>
              <w:rPr>
                <w:noProof/>
                <w:sz w:val="20"/>
              </w:rPr>
            </w:pPr>
          </w:p>
        </w:tc>
      </w:tr>
      <w:tr>
        <w:tc>
          <w:tcPr>
            <w:tcW w:w="3240" w:type="dxa"/>
          </w:tcPr>
          <w:p>
            <w:pPr>
              <w:spacing w:before="60" w:after="60"/>
              <w:rPr>
                <w:noProof/>
                <w:sz w:val="20"/>
              </w:rPr>
            </w:pPr>
            <w:r>
              <w:rPr>
                <w:noProof/>
                <w:sz w:val="20"/>
              </w:rPr>
              <w:t>External staff</w:t>
            </w:r>
          </w:p>
        </w:tc>
        <w:tc>
          <w:tcPr>
            <w:tcW w:w="7392" w:type="dxa"/>
          </w:tcPr>
          <w:p>
            <w:pPr>
              <w:rPr>
                <w:noProof/>
                <w:sz w:val="20"/>
              </w:rPr>
            </w:pPr>
            <w:r>
              <w:rPr>
                <w:noProof/>
                <w:sz w:val="20"/>
              </w:rPr>
              <w:t>Contract agents for supporting the negotiation of the new programmes, monitoring the implementation, including audit and financial management, participation in the closure process of the programmes</w:t>
            </w:r>
          </w:p>
        </w:tc>
      </w:tr>
    </w:tbl>
    <w:p>
      <w:pPr>
        <w:rPr>
          <w:noProof/>
        </w:rPr>
        <w:sectPr>
          <w:headerReference w:type="default" r:id="rId17"/>
          <w:footerReference w:type="default" r:id="rId18"/>
          <w:headerReference w:type="first" r:id="rId19"/>
          <w:footerReference w:type="first" r:id="rId20"/>
          <w:pgSz w:w="11907" w:h="16840"/>
          <w:pgMar w:top="1134" w:right="1418" w:bottom="1134" w:left="1418" w:header="709" w:footer="709" w:gutter="0"/>
          <w:cols w:space="708"/>
          <w:docGrid w:linePitch="360"/>
        </w:sectPr>
      </w:pPr>
    </w:p>
    <w:p>
      <w:pPr>
        <w:pStyle w:val="ManualHeading2"/>
        <w:rPr>
          <w:noProof/>
          <w:szCs w:val="24"/>
        </w:rPr>
      </w:pPr>
      <w:bookmarkStart w:id="46" w:name="_Toc514941995"/>
      <w:bookmarkStart w:id="47" w:name="_Toc39839415"/>
      <w:r>
        <w:t>3.3.</w:t>
      </w:r>
      <w:r>
        <w:tab/>
      </w:r>
      <w:r>
        <w:rPr>
          <w:noProof/>
        </w:rPr>
        <w:t>Estimated impact on revenue</w:t>
      </w:r>
      <w:bookmarkEnd w:id="46"/>
      <w:bookmarkEnd w:id="47"/>
      <w:r>
        <w:rPr>
          <w:noProof/>
        </w:rPr>
        <w:t xml:space="preserve"> </w:t>
      </w:r>
    </w:p>
    <w:p>
      <w:pPr>
        <w:tabs>
          <w:tab w:val="num" w:pos="1134"/>
        </w:tabs>
        <w:ind w:left="1134" w:hanging="283"/>
        <w:rPr>
          <w:rFonts w:eastAsia="Times New Roman"/>
          <w:noProof/>
          <w:lang w:eastAsia="de-DE"/>
        </w:rPr>
      </w:pPr>
      <w:r>
        <w:rPr>
          <w:rFonts w:eastAsia="Times New Roman"/>
          <w:noProof/>
          <w:lang w:eastAsia="de-DE"/>
        </w:rPr>
        <w:t>X</w:t>
      </w:r>
      <w:r>
        <w:rPr>
          <w:rFonts w:eastAsia="Times New Roman"/>
          <w:noProof/>
          <w:lang w:eastAsia="de-DE"/>
        </w:rPr>
        <w:tab/>
        <w:t>The proposal/initiative has no financial impact on revenue.</w:t>
      </w:r>
    </w:p>
    <w:p>
      <w:pPr>
        <w:tabs>
          <w:tab w:val="num" w:pos="1134"/>
        </w:tabs>
        <w:ind w:left="1134" w:hanging="283"/>
        <w:rPr>
          <w:rFonts w:eastAsia="Times New Roman"/>
          <w:noProof/>
          <w:lang w:eastAsia="de-DE"/>
        </w:rPr>
      </w:pPr>
      <w:r>
        <w:rPr>
          <w:rFonts w:eastAsia="Times New Roman"/>
          <w:noProof/>
          <w:lang w:eastAsia="de-DE"/>
        </w:rPr>
        <w:sym w:font="Wingdings" w:char="F0A8"/>
      </w:r>
      <w:r>
        <w:rPr>
          <w:rFonts w:eastAsia="Times New Roman"/>
          <w:noProof/>
          <w:lang w:eastAsia="de-DE"/>
        </w:rPr>
        <w:tab/>
        <w:t>The proposal/initiative has the following financial impact:</w:t>
      </w:r>
    </w:p>
    <w:p>
      <w:pPr>
        <w:pStyle w:val="Tiret2"/>
        <w:numPr>
          <w:ilvl w:val="0"/>
          <w:numId w:val="14"/>
        </w:numPr>
        <w:rPr>
          <w:noProof/>
          <w:lang w:eastAsia="de-DE"/>
        </w:rPr>
      </w:pPr>
      <w:r>
        <w:rPr>
          <w:noProof/>
          <w:lang w:eastAsia="de-DE"/>
        </w:rPr>
        <w:sym w:font="Wingdings" w:char="F0A8"/>
      </w:r>
      <w:r>
        <w:rPr>
          <w:noProof/>
          <w:lang w:eastAsia="de-DE"/>
        </w:rPr>
        <w:tab/>
        <w:t xml:space="preserve">on own resources </w:t>
      </w:r>
    </w:p>
    <w:p>
      <w:pPr>
        <w:pStyle w:val="Tiret2"/>
        <w:numPr>
          <w:ilvl w:val="0"/>
          <w:numId w:val="14"/>
        </w:numPr>
        <w:rPr>
          <w:noProof/>
          <w:lang w:eastAsia="de-DE"/>
        </w:rPr>
      </w:pPr>
      <w:r>
        <w:rPr>
          <w:noProof/>
          <w:lang w:eastAsia="de-DE"/>
        </w:rPr>
        <w:sym w:font="Wingdings" w:char="F0A8"/>
      </w:r>
      <w:r>
        <w:rPr>
          <w:noProof/>
          <w:lang w:eastAsia="de-DE"/>
        </w:rPr>
        <w:tab/>
        <w:t>on other revenue</w:t>
      </w:r>
    </w:p>
    <w:p>
      <w:pPr>
        <w:rPr>
          <w:noProof/>
        </w:rPr>
      </w:pPr>
      <w:r>
        <w:rPr>
          <w:noProof/>
        </w:rPr>
        <w:t xml:space="preserve">please indicate, if the revenue is assigned to expenditure lines </w:t>
      </w:r>
      <w:r>
        <w:rPr>
          <w:noProof/>
        </w:rPr>
        <w:sym w:font="Wingdings" w:char="F0A8"/>
      </w:r>
      <w:r>
        <w:rPr>
          <w:noProof/>
        </w:rPr>
        <w:tab/>
      </w:r>
    </w:p>
    <w:p>
      <w:pPr>
        <w:jc w:val="right"/>
        <w:rPr>
          <w:i/>
          <w:noProof/>
          <w:sz w:val="20"/>
        </w:rPr>
      </w:pPr>
      <w:r>
        <w:rPr>
          <w:noProof/>
        </w:rPr>
        <w:t>EUR million (to three decimal places)</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080"/>
        <w:gridCol w:w="900"/>
        <w:gridCol w:w="900"/>
        <w:gridCol w:w="1080"/>
        <w:gridCol w:w="1080"/>
        <w:gridCol w:w="1080"/>
        <w:gridCol w:w="1080"/>
      </w:tblGrid>
      <w:tr>
        <w:trPr>
          <w:trHeight w:val="388"/>
          <w:jc w:val="center"/>
        </w:trPr>
        <w:tc>
          <w:tcPr>
            <w:tcW w:w="2144" w:type="dxa"/>
            <w:vMerge w:val="restart"/>
            <w:vAlign w:val="center"/>
          </w:tcPr>
          <w:p>
            <w:pPr>
              <w:spacing w:before="40" w:after="40"/>
              <w:rPr>
                <w:noProof/>
                <w:sz w:val="18"/>
              </w:rPr>
            </w:pPr>
            <w:r>
              <w:rPr>
                <w:noProof/>
                <w:sz w:val="18"/>
              </w:rPr>
              <w:t>Budget revenue line:</w:t>
            </w:r>
          </w:p>
        </w:tc>
        <w:tc>
          <w:tcPr>
            <w:tcW w:w="7200" w:type="dxa"/>
            <w:gridSpan w:val="7"/>
            <w:vAlign w:val="center"/>
          </w:tcPr>
          <w:p>
            <w:pPr>
              <w:jc w:val="center"/>
              <w:rPr>
                <w:noProof/>
                <w:sz w:val="18"/>
              </w:rPr>
            </w:pPr>
            <w:r>
              <w:rPr>
                <w:noProof/>
                <w:sz w:val="18"/>
              </w:rPr>
              <w:t>Impact of the proposal/initiative</w:t>
            </w:r>
          </w:p>
        </w:tc>
      </w:tr>
      <w:tr>
        <w:trPr>
          <w:trHeight w:val="388"/>
          <w:jc w:val="center"/>
        </w:trPr>
        <w:tc>
          <w:tcPr>
            <w:tcW w:w="2144" w:type="dxa"/>
            <w:vMerge/>
          </w:tcPr>
          <w:p>
            <w:pPr>
              <w:spacing w:before="40" w:after="40"/>
              <w:rPr>
                <w:noProof/>
                <w:sz w:val="18"/>
              </w:rPr>
            </w:pPr>
          </w:p>
        </w:tc>
        <w:tc>
          <w:tcPr>
            <w:tcW w:w="1080" w:type="dxa"/>
            <w:vAlign w:val="center"/>
          </w:tcPr>
          <w:p>
            <w:pPr>
              <w:jc w:val="center"/>
              <w:rPr>
                <w:noProof/>
                <w:sz w:val="18"/>
              </w:rPr>
            </w:pPr>
            <w:r>
              <w:rPr>
                <w:b/>
                <w:noProof/>
                <w:sz w:val="20"/>
              </w:rPr>
              <w:t>2021</w:t>
            </w:r>
          </w:p>
        </w:tc>
        <w:tc>
          <w:tcPr>
            <w:tcW w:w="900" w:type="dxa"/>
            <w:vAlign w:val="center"/>
          </w:tcPr>
          <w:p>
            <w:pPr>
              <w:jc w:val="center"/>
              <w:rPr>
                <w:b/>
                <w:noProof/>
                <w:sz w:val="20"/>
              </w:rPr>
            </w:pPr>
            <w:r>
              <w:rPr>
                <w:b/>
                <w:noProof/>
                <w:sz w:val="20"/>
              </w:rPr>
              <w:t>2022</w:t>
            </w:r>
          </w:p>
        </w:tc>
        <w:tc>
          <w:tcPr>
            <w:tcW w:w="900" w:type="dxa"/>
            <w:vAlign w:val="center"/>
          </w:tcPr>
          <w:p>
            <w:pPr>
              <w:jc w:val="center"/>
              <w:rPr>
                <w:b/>
                <w:noProof/>
                <w:sz w:val="20"/>
              </w:rPr>
            </w:pPr>
            <w:r>
              <w:rPr>
                <w:b/>
                <w:noProof/>
                <w:sz w:val="20"/>
              </w:rPr>
              <w:t>2023</w:t>
            </w:r>
          </w:p>
        </w:tc>
        <w:tc>
          <w:tcPr>
            <w:tcW w:w="1080" w:type="dxa"/>
            <w:vAlign w:val="center"/>
          </w:tcPr>
          <w:p>
            <w:pPr>
              <w:jc w:val="center"/>
              <w:rPr>
                <w:b/>
                <w:noProof/>
                <w:sz w:val="20"/>
              </w:rPr>
            </w:pPr>
            <w:r>
              <w:rPr>
                <w:b/>
                <w:noProof/>
                <w:sz w:val="20"/>
              </w:rPr>
              <w:t>2024</w:t>
            </w:r>
          </w:p>
        </w:tc>
        <w:tc>
          <w:tcPr>
            <w:tcW w:w="1080" w:type="dxa"/>
            <w:vAlign w:val="center"/>
          </w:tcPr>
          <w:p>
            <w:pPr>
              <w:jc w:val="center"/>
              <w:rPr>
                <w:b/>
                <w:noProof/>
                <w:sz w:val="20"/>
              </w:rPr>
            </w:pPr>
            <w:r>
              <w:rPr>
                <w:b/>
                <w:noProof/>
                <w:sz w:val="20"/>
              </w:rPr>
              <w:t>2025</w:t>
            </w:r>
          </w:p>
        </w:tc>
        <w:tc>
          <w:tcPr>
            <w:tcW w:w="1080" w:type="dxa"/>
            <w:vAlign w:val="center"/>
          </w:tcPr>
          <w:p>
            <w:pPr>
              <w:jc w:val="center"/>
              <w:rPr>
                <w:b/>
                <w:noProof/>
                <w:sz w:val="20"/>
              </w:rPr>
            </w:pPr>
            <w:r>
              <w:rPr>
                <w:b/>
                <w:noProof/>
                <w:sz w:val="20"/>
              </w:rPr>
              <w:t>2026</w:t>
            </w:r>
          </w:p>
        </w:tc>
        <w:tc>
          <w:tcPr>
            <w:tcW w:w="1080" w:type="dxa"/>
            <w:vAlign w:val="center"/>
          </w:tcPr>
          <w:p>
            <w:pPr>
              <w:jc w:val="center"/>
              <w:rPr>
                <w:b/>
                <w:noProof/>
                <w:sz w:val="20"/>
              </w:rPr>
            </w:pPr>
            <w:r>
              <w:rPr>
                <w:b/>
                <w:noProof/>
                <w:sz w:val="20"/>
              </w:rPr>
              <w:t>2027</w:t>
            </w:r>
          </w:p>
        </w:tc>
      </w:tr>
      <w:tr>
        <w:trPr>
          <w:trHeight w:val="388"/>
          <w:jc w:val="center"/>
        </w:trPr>
        <w:tc>
          <w:tcPr>
            <w:tcW w:w="2144" w:type="dxa"/>
            <w:vAlign w:val="center"/>
          </w:tcPr>
          <w:p>
            <w:pPr>
              <w:spacing w:before="40" w:after="40"/>
              <w:rPr>
                <w:noProof/>
                <w:sz w:val="18"/>
              </w:rPr>
            </w:pPr>
            <w:r>
              <w:rPr>
                <w:noProof/>
                <w:sz w:val="18"/>
              </w:rPr>
              <w:t>Article ………….</w:t>
            </w: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ind w:left="850"/>
        <w:rPr>
          <w:noProof/>
          <w:sz w:val="20"/>
        </w:rPr>
      </w:pPr>
      <w:r>
        <w:rPr>
          <w:noProof/>
          <w:sz w:val="20"/>
        </w:rPr>
        <w:t>For assigned revenue, specify the budget expenditure line(s) affected.</w:t>
      </w:r>
    </w:p>
    <w:p>
      <w:pPr>
        <w:ind w:left="850"/>
        <w:rPr>
          <w:noProof/>
        </w:rPr>
      </w:pPr>
      <w:r>
        <w:rPr>
          <w:noProof/>
          <w:color w:val="0000FF"/>
        </w:rPr>
        <w:t>[…]</w:t>
      </w:r>
    </w:p>
    <w:p>
      <w:pPr>
        <w:ind w:left="850"/>
        <w:rPr>
          <w:noProof/>
          <w:sz w:val="16"/>
          <w:szCs w:val="16"/>
        </w:rPr>
      </w:pPr>
      <w:r>
        <w:rPr>
          <w:noProof/>
          <w:sz w:val="20"/>
        </w:rPr>
        <w:t>Other remarks (e.g. method/formula used for calculating the impact on revenue or any other information).</w:t>
      </w:r>
      <w:r>
        <w:rPr>
          <w:noProof/>
          <w:sz w:val="16"/>
          <w:szCs w:val="16"/>
        </w:rPr>
        <w:t xml:space="preserve"> </w:t>
      </w:r>
    </w:p>
    <w:p>
      <w:pPr>
        <w:ind w:left="850"/>
        <w:rPr>
          <w:noProof/>
        </w:rPr>
      </w:pPr>
      <w:r>
        <w:rPr>
          <w:noProof/>
          <w:color w:val="0000FF"/>
        </w:rPr>
        <w: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EUAlbertina">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rPr>
          <w:lang w:val="en-US"/>
        </w:rPr>
      </w:pPr>
      <w:r>
        <w:rPr>
          <w:rStyle w:val="FootnoteReference"/>
        </w:rPr>
        <w:footnoteRef/>
      </w:r>
      <w:r>
        <w:tab/>
      </w:r>
      <w:r>
        <w:rPr>
          <w:lang w:val="en-US"/>
        </w:rPr>
        <w:t>COM(2020) 22 final.</w:t>
      </w:r>
    </w:p>
  </w:footnote>
  <w:footnote w:id="3">
    <w:p>
      <w:pPr>
        <w:pStyle w:val="FootnoteText"/>
        <w:rPr>
          <w:lang w:val="en-US"/>
        </w:rPr>
      </w:pPr>
      <w:r>
        <w:rPr>
          <w:rStyle w:val="FootnoteReference"/>
        </w:rPr>
        <w:footnoteRef/>
      </w:r>
      <w:r>
        <w:tab/>
      </w:r>
      <w:r>
        <w:rPr>
          <w:lang w:val="en-US"/>
        </w:rPr>
        <w:t>COM(2020) 23 final.</w:t>
      </w:r>
    </w:p>
  </w:footnote>
  <w:footnote w:id="4">
    <w:p>
      <w:pPr>
        <w:pStyle w:val="FootnoteText"/>
        <w:rPr>
          <w:lang w:val="en-US"/>
        </w:rPr>
      </w:pPr>
      <w:r>
        <w:rPr>
          <w:rStyle w:val="FootnoteReference"/>
        </w:rPr>
        <w:footnoteRef/>
      </w:r>
      <w:r>
        <w:tab/>
      </w:r>
      <w:r>
        <w:rPr>
          <w:lang w:val="en-US"/>
        </w:rPr>
        <w:t>SWD(2018) 282 final.</w:t>
      </w:r>
    </w:p>
  </w:footnote>
  <w:footnote w:id="5">
    <w:p>
      <w:pPr>
        <w:pStyle w:val="FootnoteText"/>
      </w:pPr>
      <w:r>
        <w:rPr>
          <w:rStyle w:val="FootnoteReference"/>
        </w:rPr>
        <w:footnoteRef/>
      </w:r>
      <w:r>
        <w:tab/>
        <w:t>COM(2018) 372 final.</w:t>
      </w:r>
    </w:p>
  </w:footnote>
  <w:footnote w:id="6">
    <w:p>
      <w:pPr>
        <w:pStyle w:val="FootnoteText"/>
        <w:rPr>
          <w:lang w:val="en-IE"/>
        </w:rPr>
      </w:pPr>
      <w:r>
        <w:rPr>
          <w:rStyle w:val="FootnoteReference"/>
        </w:rPr>
        <w:footnoteRef/>
      </w:r>
      <w:r>
        <w:rPr>
          <w:lang w:val="en-IE"/>
        </w:rPr>
        <w:tab/>
        <w:t>OJ C , , p.</w:t>
      </w:r>
    </w:p>
  </w:footnote>
  <w:footnote w:id="7">
    <w:p>
      <w:pPr>
        <w:pStyle w:val="FootnoteText"/>
        <w:rPr>
          <w:lang w:val="en-IE"/>
        </w:rPr>
      </w:pPr>
      <w:r>
        <w:rPr>
          <w:rStyle w:val="FootnoteReference"/>
        </w:rPr>
        <w:footnoteRef/>
      </w:r>
      <w:r>
        <w:rPr>
          <w:lang w:val="en-IE"/>
        </w:rPr>
        <w:tab/>
      </w:r>
      <w:r>
        <w:t>As referred to in Article 58(2)(a) or (b) of the Financial Regulation.</w:t>
      </w:r>
    </w:p>
  </w:footnote>
  <w:footnote w:id="8">
    <w:p>
      <w:pPr>
        <w:pStyle w:val="FootnoteText"/>
        <w:rPr>
          <w:lang w:val="en-IE"/>
        </w:rPr>
      </w:pPr>
      <w:r>
        <w:rPr>
          <w:rStyle w:val="FootnoteReference"/>
        </w:rPr>
        <w:footnoteRef/>
      </w:r>
      <w:r>
        <w:rPr>
          <w:lang w:val="en-IE"/>
        </w:rPr>
        <w:tab/>
      </w:r>
      <w:r>
        <w:t xml:space="preserve">Details of management modes and references to the Financial Regulation may be found on the BudgWeb site: </w:t>
      </w:r>
      <w:hyperlink r:id="rId1" w:history="1">
        <w:r>
          <w:rPr>
            <w:rStyle w:val="Hyperlink"/>
            <w:szCs w:val="24"/>
          </w:rPr>
          <w:t>https://myintracomm.ec.europa.eu/budgweb/EN/man/budgmanag/Pages/budgmanag.aspx</w:t>
        </w:r>
      </w:hyperlink>
    </w:p>
  </w:footnote>
  <w:footnote w:id="9">
    <w:p>
      <w:pPr>
        <w:pStyle w:val="FootnoteText"/>
        <w:rPr>
          <w:lang w:val="en-IE"/>
        </w:rPr>
      </w:pPr>
      <w:r>
        <w:rPr>
          <w:rStyle w:val="FootnoteReference"/>
        </w:rPr>
        <w:footnoteRef/>
      </w:r>
      <w:r>
        <w:rPr>
          <w:lang w:val="en-IE"/>
        </w:rPr>
        <w:tab/>
      </w:r>
      <w:r>
        <w:t>Diff. = Differentiated appropriations / Non-diff. = Non-differentiated appropriations.</w:t>
      </w:r>
    </w:p>
  </w:footnote>
  <w:footnote w:id="10">
    <w:p>
      <w:pPr>
        <w:pStyle w:val="FootnoteText"/>
        <w:rPr>
          <w:lang w:val="en-IE"/>
        </w:rPr>
      </w:pPr>
      <w:r>
        <w:rPr>
          <w:rStyle w:val="FootnoteReference"/>
        </w:rPr>
        <w:footnoteRef/>
      </w:r>
      <w:r>
        <w:rPr>
          <w:lang w:val="en-IE"/>
        </w:rPr>
        <w:tab/>
      </w:r>
      <w:r>
        <w:t>EFTA: European Free Trade Association.</w:t>
      </w:r>
    </w:p>
  </w:footnote>
  <w:footnote w:id="11">
    <w:p>
      <w:pPr>
        <w:pStyle w:val="FootnoteText"/>
        <w:rPr>
          <w:lang w:val="en-IE"/>
        </w:rPr>
      </w:pPr>
      <w:r>
        <w:rPr>
          <w:rStyle w:val="FootnoteReference"/>
        </w:rPr>
        <w:footnoteRef/>
      </w:r>
      <w:r>
        <w:rPr>
          <w:lang w:val="en-IE"/>
        </w:rPr>
        <w:tab/>
      </w:r>
      <w:r>
        <w:t>Candidate countries and, where applicable, potential candidates from the Western Balkans.</w:t>
      </w:r>
    </w:p>
  </w:footnote>
  <w:footnote w:id="12">
    <w:p>
      <w:pPr>
        <w:pStyle w:val="FootnoteText"/>
        <w:rPr>
          <w:lang w:val="en-IE"/>
        </w:rPr>
      </w:pPr>
      <w:r>
        <w:rPr>
          <w:rStyle w:val="FootnoteReference"/>
        </w:rPr>
        <w:footnoteRef/>
      </w:r>
      <w:r>
        <w:rPr>
          <w:lang w:val="en-IE"/>
        </w:rPr>
        <w:tab/>
      </w:r>
      <w:r>
        <w:t>Sub-ceiling for external staff covered by operational appropriations (former ‘BA’ lines).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48415A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47AC1638"/>
    <w:lvl w:ilvl="0">
      <w:start w:val="1"/>
      <w:numFmt w:val="decimal"/>
      <w:pStyle w:val="ListNumber3"/>
      <w:lvlText w:val="%1."/>
      <w:lvlJc w:val="left"/>
      <w:pPr>
        <w:tabs>
          <w:tab w:val="num" w:pos="926"/>
        </w:tabs>
        <w:ind w:left="926" w:hanging="360"/>
      </w:pPr>
    </w:lvl>
  </w:abstractNum>
  <w:abstractNum w:abstractNumId="2">
    <w:nsid w:val="FFFFFF7F"/>
    <w:multiLevelType w:val="singleLevel"/>
    <w:tmpl w:val="534AD0DA"/>
    <w:lvl w:ilvl="0">
      <w:start w:val="1"/>
      <w:numFmt w:val="decimal"/>
      <w:pStyle w:val="ListNumber2"/>
      <w:lvlText w:val="%1."/>
      <w:lvlJc w:val="left"/>
      <w:pPr>
        <w:tabs>
          <w:tab w:val="num" w:pos="643"/>
        </w:tabs>
        <w:ind w:left="643" w:hanging="360"/>
      </w:pPr>
    </w:lvl>
  </w:abstractNum>
  <w:abstractNum w:abstractNumId="3">
    <w:nsid w:val="FFFFFF81"/>
    <w:multiLevelType w:val="singleLevel"/>
    <w:tmpl w:val="84146C2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5064784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9D850B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7F902698"/>
    <w:lvl w:ilvl="0">
      <w:start w:val="1"/>
      <w:numFmt w:val="decimal"/>
      <w:pStyle w:val="ListNumber"/>
      <w:lvlText w:val="%1."/>
      <w:lvlJc w:val="left"/>
      <w:pPr>
        <w:tabs>
          <w:tab w:val="num" w:pos="360"/>
        </w:tabs>
        <w:ind w:left="360" w:hanging="360"/>
      </w:pPr>
    </w:lvl>
  </w:abstractNum>
  <w:abstractNum w:abstractNumId="7">
    <w:nsid w:val="FFFFFF89"/>
    <w:multiLevelType w:val="singleLevel"/>
    <w:tmpl w:val="70AE557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0"/>
  </w:num>
  <w:num w:numId="6">
    <w:abstractNumId w:val="21"/>
    <w:lvlOverride w:ilvl="0">
      <w:startOverride w:val="1"/>
    </w:lvlOverride>
  </w:num>
  <w:num w:numId="7">
    <w:abstractNumId w:val="6"/>
  </w:num>
  <w:num w:numId="8">
    <w:abstractNumId w:val="2"/>
  </w:num>
  <w:num w:numId="9">
    <w:abstractNumId w:val="1"/>
  </w:num>
  <w:num w:numId="10">
    <w:abstractNumId w:val="14"/>
    <w:lvlOverride w:ilvl="0">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2"/>
  </w:num>
  <w:num w:numId="14">
    <w:abstractNumId w:val="21"/>
  </w:num>
  <w:num w:numId="15">
    <w:abstractNumId w:val="11"/>
  </w:num>
  <w:num w:numId="16">
    <w:abstractNumId w:val="13"/>
  </w:num>
  <w:num w:numId="17">
    <w:abstractNumId w:val="9"/>
  </w:num>
  <w:num w:numId="18">
    <w:abstractNumId w:val="20"/>
  </w:num>
  <w:num w:numId="19">
    <w:abstractNumId w:val="8"/>
  </w:num>
  <w:num w:numId="20">
    <w:abstractNumId w:val="14"/>
  </w:num>
  <w:num w:numId="21">
    <w:abstractNumId w:val="17"/>
  </w:num>
  <w:num w:numId="22">
    <w:abstractNumId w:val="18"/>
  </w:num>
  <w:num w:numId="23">
    <w:abstractNumId w:val="10"/>
  </w:num>
  <w:num w:numId="24">
    <w:abstractNumId w:val="16"/>
  </w:num>
  <w:num w:numId="25">
    <w:abstractNumId w:val="22"/>
  </w:num>
  <w:num w:numId="26">
    <w:abstractNumId w:val="19"/>
  </w:num>
  <w:num w:numId="27">
    <w:abstractNumId w:val="12"/>
  </w:num>
  <w:num w:numId="28">
    <w:abstractNumId w:val="21"/>
  </w:num>
  <w:num w:numId="29">
    <w:abstractNumId w:val="11"/>
  </w:num>
  <w:num w:numId="30">
    <w:abstractNumId w:val="13"/>
  </w:num>
  <w:num w:numId="31">
    <w:abstractNumId w:val="9"/>
  </w:num>
  <w:num w:numId="32">
    <w:abstractNumId w:val="20"/>
  </w:num>
  <w:num w:numId="33">
    <w:abstractNumId w:val="8"/>
  </w:num>
  <w:num w:numId="34">
    <w:abstractNumId w:val="14"/>
  </w:num>
  <w:num w:numId="35">
    <w:abstractNumId w:val="17"/>
  </w:num>
  <w:num w:numId="36">
    <w:abstractNumId w:val="18"/>
  </w:num>
  <w:num w:numId="37">
    <w:abstractNumId w:val="10"/>
  </w:num>
  <w:num w:numId="38">
    <w:abstractNumId w:val="16"/>
  </w:num>
  <w:num w:numId="39">
    <w:abstractNumId w:val="22"/>
  </w:num>
  <w:num w:numId="40">
    <w:abstractNumId w:val="15"/>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IJER Martine (REGIO)">
    <w15:presenceInfo w15:providerId="None" w15:userId="MEIJER Martine (REGIO)"/>
  </w15:person>
  <w15:person w15:author="WAGNER Anna (REGIO)">
    <w15:presenceInfo w15:providerId="None" w15:userId="WAGNER Anna (REGIO)"/>
  </w15:person>
  <w15:person w15:author="GILLAND Moray (REGIO)">
    <w15:presenceInfo w15:providerId="AD" w15:userId="S-1-5-21-1606980848-2025429265-839522115-492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60"/>
  <w:hideSpellingErrors/>
  <w:hideGrammaticalErrors/>
  <w:attachedTemplate r:id="rId1"/>
  <w:revisionView w:markup="0"/>
  <w:defaultTabStop w:val="720"/>
  <w:hyphenationZone w:val="425"/>
  <w:characterSpacingControl w:val="doNotCompress"/>
  <w:hdrShapeDefaults>
    <o:shapedefaults v:ext="edit" spidmax="1474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5-24 13:13:47"/>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4"/>
    <w:docVar w:name="DQCResult_UnknownFonts" w:val="0;0"/>
    <w:docVar w:name="DQCResult_UnknownStyles" w:val="0;0"/>
    <w:docVar w:name="DQCStatus" w:val="Yellow"/>
    <w:docVar w:name="DQCVersion" w:val="3"/>
    <w:docVar w:name="DQCWithWarnings" w:val="0"/>
    <w:docVar w:name="LW_CORRIGENDUM" w:val="&lt;UNUSED&gt;"/>
    <w:docVar w:name="LW_COVERPAGE_EXISTS" w:val="True"/>
    <w:docVar w:name="LW_COVERPAGE_GUID" w:val="2F6D4568-21A2-4176-A6D8-8AA73CBE272C"/>
    <w:docVar w:name="LW_COVERPAGE_TYPE" w:val="1"/>
    <w:docVar w:name="LW_CROSSREFERENCE" w:val="&lt;UNUSED&gt;"/>
    <w:docVar w:name="LW_DocType" w:val="COM"/>
    <w:docVar w:name="LW_EMISSION" w:val="28.5.2020"/>
    <w:docVar w:name="LW_EMISSION_ISODATE" w:val="2020-05-28"/>
    <w:docVar w:name="LW_EMISSION_LOCATION" w:val="BRX"/>
    <w:docVar w:name="LW_EMISSION_PREFIX" w:val="Brussels, "/>
    <w:docVar w:name="LW_EMISSION_SUFFIX" w:val=" "/>
    <w:docVar w:name="LW_ID_DOCMODEL" w:val="SJ-023"/>
    <w:docVar w:name="LW_ID_DOCSIGNATURE" w:val="SJ-023"/>
    <w:docVar w:name="LW_ID_DOCSTRUCTURE" w:val="COM/PL/MOD"/>
    <w:docVar w:name="LW_ID_DOCTYPE" w:val="SG-005"/>
    <w:docVar w:name="LW_ID_EXP.MOTIFS.NEW" w:val="EM_PL_"/>
    <w:docVar w:name="LW_ID_STATUT" w:val="SG-005"/>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006"/>
    <w:docVar w:name="LW_REF.II.NEW.CP_YEAR" w:val="2020"/>
    <w:docVar w:name="LW_REF.INST.NEW" w:val="COM"/>
    <w:docVar w:name="LW_REF.INST.NEW_ADOPTED" w:val="final"/>
    <w:docVar w:name="LW_REF.INST.NEW_TEXT" w:val="(2020) 46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Amended proposal for a"/>
    <w:docVar w:name="LW_SUPERTITRE" w:val="&lt;UNUSED&gt;"/>
    <w:docVar w:name="LW_TITRE.OBJ.CP" w:val="establishing the Just Transition Fund"/>
    <w:docVar w:name="LW_TYPE.DOC.CP" w:val="REGULATION OF THE EUROPEAN PARLIAMENT AND OF THE COUNC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s-titreobjet">
    <w:name w:val="Sous-titre objet"/>
    <w:basedOn w:val="Normal"/>
    <w:pPr>
      <w:spacing w:before="0" w:after="0"/>
      <w:jc w:val="center"/>
    </w:pPr>
    <w:rPr>
      <w:rFonts w:eastAsia="Times New Roman"/>
      <w:b/>
      <w:szCs w:val="24"/>
    </w:rPr>
  </w:style>
  <w:style w:type="character" w:styleId="CommentReference">
    <w:name w:val="annotation reference"/>
    <w:rPr>
      <w:sz w:val="16"/>
      <w:szCs w:val="16"/>
    </w:rPr>
  </w:style>
  <w:style w:type="paragraph" w:styleId="CommentText">
    <w:name w:val="annotation text"/>
    <w:basedOn w:val="Normal"/>
    <w:link w:val="CommentTextChar"/>
    <w:rPr>
      <w:rFonts w:eastAsia="Times New Roman"/>
      <w:sz w:val="20"/>
      <w:szCs w:val="20"/>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rPr>
  </w:style>
  <w:style w:type="character" w:styleId="Emphasis">
    <w:name w:val="Emphasis"/>
    <w:uiPriority w:val="20"/>
    <w:qFormat/>
    <w:rPr>
      <w:b/>
      <w:bCs/>
      <w:i w:val="0"/>
      <w:iCs w:val="0"/>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customStyle="1" w:styleId="Point2letter0">
    <w:name w:val="Point 2 letter"/>
    <w:basedOn w:val="Point2"/>
    <w:rPr>
      <w:noProof/>
    </w:rPr>
  </w:style>
  <w:style w:type="paragraph" w:styleId="CommentSubject">
    <w:name w:val="annotation subject"/>
    <w:basedOn w:val="CommentText"/>
    <w:next w:val="CommentText"/>
    <w:link w:val="CommentSubjectChar"/>
    <w:uiPriority w:val="99"/>
    <w:semiHidden/>
    <w:unhideWhenUsed/>
    <w:rPr>
      <w:rFonts w:eastAsiaTheme="minorHAnsi"/>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ListParagraph">
    <w:name w:val="List Paragraph"/>
    <w:basedOn w:val="Normal"/>
    <w:uiPriority w:val="34"/>
    <w:qFormat/>
    <w:pPr>
      <w:spacing w:before="0" w:after="0"/>
      <w:ind w:left="720"/>
      <w:jc w:val="left"/>
    </w:pPr>
    <w:rPr>
      <w:szCs w:val="24"/>
      <w:lang w:val="nl-BE" w:eastAsia="nl-BE"/>
    </w:rPr>
  </w:style>
  <w:style w:type="paragraph" w:customStyle="1" w:styleId="Point1letter0">
    <w:name w:val="Point1 (letter)"/>
    <w:basedOn w:val="Point0letter"/>
  </w:style>
  <w:style w:type="paragraph" w:styleId="ListNumber4">
    <w:name w:val="List Number 4"/>
    <w:basedOn w:val="Normal"/>
    <w:uiPriority w:val="99"/>
    <w:semiHidden/>
    <w:unhideWhenUsed/>
    <w:pPr>
      <w:numPr>
        <w:numId w:val="5"/>
      </w:numPr>
      <w:contextualSpacing/>
    </w:pPr>
  </w:style>
  <w:style w:type="paragraph" w:customStyle="1" w:styleId="Point1letter1">
    <w:name w:val="Point 1  (letter)"/>
    <w:basedOn w:val="Point0letter"/>
  </w:style>
  <w:style w:type="character" w:customStyle="1" w:styleId="conf-macro">
    <w:name w:val="conf-macro"/>
    <w:basedOn w:val="DefaultParagraphFont"/>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link w:val="AnnexetitreChar"/>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character" w:customStyle="1" w:styleId="AnnexetitreChar">
    <w:name w:val="Annexe titre Char"/>
    <w:basedOn w:val="DefaultParagraphFont"/>
    <w:link w:val="Annexetitre"/>
    <w:rPr>
      <w:rFonts w:ascii="Times New Roman" w:hAnsi="Times New Roman" w:cs="Times New Roman"/>
      <w:b/>
      <w:sz w:val="24"/>
      <w:u w:val="single"/>
      <w:lang w:val="en-GB"/>
    </w:rPr>
  </w:style>
  <w:style w:type="paragraph" w:customStyle="1" w:styleId="ListDash2">
    <w:name w:val="List Dash 2"/>
    <w:basedOn w:val="Normal"/>
    <w:pPr>
      <w:numPr>
        <w:numId w:val="40"/>
      </w:numPr>
    </w:pPr>
    <w:rPr>
      <w:rFonts w:eastAsia="Times New Roman"/>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s-titreobjet">
    <w:name w:val="Sous-titre objet"/>
    <w:basedOn w:val="Normal"/>
    <w:pPr>
      <w:spacing w:before="0" w:after="0"/>
      <w:jc w:val="center"/>
    </w:pPr>
    <w:rPr>
      <w:rFonts w:eastAsia="Times New Roman"/>
      <w:b/>
      <w:szCs w:val="24"/>
    </w:rPr>
  </w:style>
  <w:style w:type="character" w:styleId="CommentReference">
    <w:name w:val="annotation reference"/>
    <w:rPr>
      <w:sz w:val="16"/>
      <w:szCs w:val="16"/>
    </w:rPr>
  </w:style>
  <w:style w:type="paragraph" w:styleId="CommentText">
    <w:name w:val="annotation text"/>
    <w:basedOn w:val="Normal"/>
    <w:link w:val="CommentTextChar"/>
    <w:rPr>
      <w:rFonts w:eastAsia="Times New Roman"/>
      <w:sz w:val="20"/>
      <w:szCs w:val="20"/>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rPr>
  </w:style>
  <w:style w:type="character" w:styleId="Emphasis">
    <w:name w:val="Emphasis"/>
    <w:uiPriority w:val="20"/>
    <w:qFormat/>
    <w:rPr>
      <w:b/>
      <w:bCs/>
      <w:i w:val="0"/>
      <w:iCs w:val="0"/>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customStyle="1" w:styleId="Point2letter0">
    <w:name w:val="Point 2 letter"/>
    <w:basedOn w:val="Point2"/>
    <w:rPr>
      <w:noProof/>
    </w:rPr>
  </w:style>
  <w:style w:type="paragraph" w:styleId="CommentSubject">
    <w:name w:val="annotation subject"/>
    <w:basedOn w:val="CommentText"/>
    <w:next w:val="CommentText"/>
    <w:link w:val="CommentSubjectChar"/>
    <w:uiPriority w:val="99"/>
    <w:semiHidden/>
    <w:unhideWhenUsed/>
    <w:rPr>
      <w:rFonts w:eastAsiaTheme="minorHAnsi"/>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ListParagraph">
    <w:name w:val="List Paragraph"/>
    <w:basedOn w:val="Normal"/>
    <w:uiPriority w:val="34"/>
    <w:qFormat/>
    <w:pPr>
      <w:spacing w:before="0" w:after="0"/>
      <w:ind w:left="720"/>
      <w:jc w:val="left"/>
    </w:pPr>
    <w:rPr>
      <w:szCs w:val="24"/>
      <w:lang w:val="nl-BE" w:eastAsia="nl-BE"/>
    </w:rPr>
  </w:style>
  <w:style w:type="paragraph" w:customStyle="1" w:styleId="Point1letter0">
    <w:name w:val="Point1 (letter)"/>
    <w:basedOn w:val="Point0letter"/>
  </w:style>
  <w:style w:type="paragraph" w:styleId="ListNumber4">
    <w:name w:val="List Number 4"/>
    <w:basedOn w:val="Normal"/>
    <w:uiPriority w:val="99"/>
    <w:semiHidden/>
    <w:unhideWhenUsed/>
    <w:pPr>
      <w:numPr>
        <w:numId w:val="5"/>
      </w:numPr>
      <w:contextualSpacing/>
    </w:pPr>
  </w:style>
  <w:style w:type="paragraph" w:customStyle="1" w:styleId="Point1letter1">
    <w:name w:val="Point 1  (letter)"/>
    <w:basedOn w:val="Point0letter"/>
  </w:style>
  <w:style w:type="character" w:customStyle="1" w:styleId="conf-macro">
    <w:name w:val="conf-macro"/>
    <w:basedOn w:val="DefaultParagraphFont"/>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link w:val="AnnexetitreChar"/>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character" w:customStyle="1" w:styleId="AnnexetitreChar">
    <w:name w:val="Annexe titre Char"/>
    <w:basedOn w:val="DefaultParagraphFont"/>
    <w:link w:val="Annexetitre"/>
    <w:rPr>
      <w:rFonts w:ascii="Times New Roman" w:hAnsi="Times New Roman" w:cs="Times New Roman"/>
      <w:b/>
      <w:sz w:val="24"/>
      <w:u w:val="single"/>
      <w:lang w:val="en-GB"/>
    </w:rPr>
  </w:style>
  <w:style w:type="paragraph" w:customStyle="1" w:styleId="ListDash2">
    <w:name w:val="List Dash 2"/>
    <w:basedOn w:val="Normal"/>
    <w:pPr>
      <w:numPr>
        <w:numId w:val="40"/>
      </w:numPr>
    </w:pPr>
    <w:rPr>
      <w:rFonts w:eastAsia="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10632">
      <w:bodyDiv w:val="1"/>
      <w:marLeft w:val="0"/>
      <w:marRight w:val="0"/>
      <w:marTop w:val="0"/>
      <w:marBottom w:val="0"/>
      <w:divBdr>
        <w:top w:val="none" w:sz="0" w:space="0" w:color="auto"/>
        <w:left w:val="none" w:sz="0" w:space="0" w:color="auto"/>
        <w:bottom w:val="none" w:sz="0" w:space="0" w:color="auto"/>
        <w:right w:val="none" w:sz="0" w:space="0" w:color="auto"/>
      </w:divBdr>
    </w:div>
    <w:div w:id="470100803">
      <w:bodyDiv w:val="1"/>
      <w:marLeft w:val="0"/>
      <w:marRight w:val="0"/>
      <w:marTop w:val="0"/>
      <w:marBottom w:val="0"/>
      <w:divBdr>
        <w:top w:val="none" w:sz="0" w:space="0" w:color="auto"/>
        <w:left w:val="none" w:sz="0" w:space="0" w:color="auto"/>
        <w:bottom w:val="none" w:sz="0" w:space="0" w:color="auto"/>
        <w:right w:val="none" w:sz="0" w:space="0" w:color="auto"/>
      </w:divBdr>
    </w:div>
    <w:div w:id="711465380">
      <w:bodyDiv w:val="1"/>
      <w:marLeft w:val="0"/>
      <w:marRight w:val="0"/>
      <w:marTop w:val="0"/>
      <w:marBottom w:val="0"/>
      <w:divBdr>
        <w:top w:val="none" w:sz="0" w:space="0" w:color="auto"/>
        <w:left w:val="none" w:sz="0" w:space="0" w:color="auto"/>
        <w:bottom w:val="none" w:sz="0" w:space="0" w:color="auto"/>
        <w:right w:val="none" w:sz="0" w:space="0" w:color="auto"/>
      </w:divBdr>
    </w:div>
    <w:div w:id="999120895">
      <w:bodyDiv w:val="1"/>
      <w:marLeft w:val="0"/>
      <w:marRight w:val="0"/>
      <w:marTop w:val="0"/>
      <w:marBottom w:val="0"/>
      <w:divBdr>
        <w:top w:val="none" w:sz="0" w:space="0" w:color="auto"/>
        <w:left w:val="none" w:sz="0" w:space="0" w:color="auto"/>
        <w:bottom w:val="none" w:sz="0" w:space="0" w:color="auto"/>
        <w:right w:val="none" w:sz="0" w:space="0" w:color="auto"/>
      </w:divBdr>
    </w:div>
    <w:div w:id="1335910665">
      <w:bodyDiv w:val="1"/>
      <w:marLeft w:val="0"/>
      <w:marRight w:val="0"/>
      <w:marTop w:val="0"/>
      <w:marBottom w:val="0"/>
      <w:divBdr>
        <w:top w:val="none" w:sz="0" w:space="0" w:color="auto"/>
        <w:left w:val="none" w:sz="0" w:space="0" w:color="auto"/>
        <w:bottom w:val="none" w:sz="0" w:space="0" w:color="auto"/>
        <w:right w:val="none" w:sz="0" w:space="0" w:color="auto"/>
      </w:divBdr>
    </w:div>
    <w:div w:id="1646007962">
      <w:bodyDiv w:val="1"/>
      <w:marLeft w:val="0"/>
      <w:marRight w:val="0"/>
      <w:marTop w:val="0"/>
      <w:marBottom w:val="0"/>
      <w:divBdr>
        <w:top w:val="none" w:sz="0" w:space="0" w:color="auto"/>
        <w:left w:val="none" w:sz="0" w:space="0" w:color="auto"/>
        <w:bottom w:val="none" w:sz="0" w:space="0" w:color="auto"/>
        <w:right w:val="none" w:sz="0" w:space="0" w:color="auto"/>
      </w:divBdr>
    </w:div>
    <w:div w:id="200431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4.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myintracomm.ec.europa.eu/budgweb/EN/man/budgmanag/Pages/budgmana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39144-70C4-4753-87E9-32D451A4A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17</Pages>
  <Words>4940</Words>
  <Characters>27024</Characters>
  <Application>Microsoft Office Word</Application>
  <DocSecurity>0</DocSecurity>
  <Lines>931</Lines>
  <Paragraphs>541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DIGIT/C6</cp:lastModifiedBy>
  <cp:revision>20</cp:revision>
  <cp:lastPrinted>2019-11-15T15:58:00Z</cp:lastPrinted>
  <dcterms:created xsi:type="dcterms:W3CDTF">2020-05-27T19:54:00Z</dcterms:created>
  <dcterms:modified xsi:type="dcterms:W3CDTF">2020-05-27T20:30:00Z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COM/PL/MOD</vt:lpwstr>
  </property>
  <property fmtid="{D5CDD505-2E9C-101B-9397-08002B2CF9AE}" pid="3" name="Version">
    <vt:lpwstr>7.0.8.0</vt:lpwstr>
  </property>
  <property fmtid="{D5CDD505-2E9C-101B-9397-08002B2CF9AE}" pid="4" name="Last edited using">
    <vt:lpwstr>LW 7.0.1, Build 20190916</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SG-005</vt:lpwstr>
  </property>
  <property fmtid="{D5CDD505-2E9C-101B-9397-08002B2CF9AE}" pid="10" name="DQCStatus">
    <vt:lpwstr>Yellow (DQC version 03)</vt:lpwstr>
  </property>
</Properties>
</file>