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alt="B1DF81F2-7CA9-40BB-A080-D96BAAC388FD" style="width:450.75pt;height:338.2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rPr>
          <w:noProof/>
        </w:rPr>
      </w:pP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rPr>
          <w:noProof/>
        </w:rPr>
      </w:pPr>
      <w:r>
        <w:rPr>
          <w:noProof/>
        </w:rPr>
        <w:t>На 14 януари 2020 г. Европейската комисия прие законодателното си предложение</w:t>
      </w:r>
      <w:r>
        <w:rPr>
          <w:rStyle w:val="FootnoteReference"/>
          <w:rFonts w:eastAsia="Arial Unicode MS"/>
          <w:noProof/>
        </w:rPr>
        <w:footnoteReference w:id="2"/>
      </w:r>
      <w:r>
        <w:rPr>
          <w:noProof/>
        </w:rPr>
        <w:t xml:space="preserve"> за създаване на Фонда за справедлив преход, заедно с предложение</w:t>
      </w:r>
      <w:r>
        <w:rPr>
          <w:rStyle w:val="FootnoteReference"/>
          <w:rFonts w:eastAsia="Arial Unicode MS"/>
          <w:noProof/>
        </w:rPr>
        <w:footnoteReference w:id="3"/>
      </w:r>
      <w:r>
        <w:rPr>
          <w:noProof/>
        </w:rPr>
        <w:t xml:space="preserve"> за изменение на законодателното предложение относно Регламента за общоприложимите разпоредби.</w:t>
      </w:r>
    </w:p>
    <w:p>
      <w:pPr>
        <w:rPr>
          <w:noProof/>
        </w:rPr>
      </w:pPr>
      <w:r>
        <w:rPr>
          <w:noProof/>
        </w:rPr>
        <w:t>В съответствие с целта за постигане до 2050 г. по ефективен и справедлив начин на неутралност на ЕС по отношение на климата, Фондът за справедлив преход има за цел смекчаване на икономическото, екологичното и социалното въздействие на прехода към неутралност по отношение на климата в полза на териториите, които са най-силно засегнати от прехода. Подкрепата на фонда е насочена към мерки за икономическо преструктуриране, преквалификация на засегнатите работници и съдействие при търсене на работа.</w:t>
      </w:r>
    </w:p>
    <w:p>
      <w:pPr>
        <w:rPr>
          <w:noProof/>
        </w:rPr>
      </w:pPr>
      <w:r>
        <w:rPr>
          <w:noProof/>
        </w:rPr>
        <w:t>Вследствие на разпространението на коронавируса („COVID-19“) много правителства въведоха безпрецедентни мерки за ограничаване на пандемията. Това от своя страна доведе до рязък спад на равнището на производството в много икономики със сериозни социални последици. Това ще създаде значителни предизвикателства за публичните финанси и управлението на дълга през следващите години, което на свой ред може да ограничи публичните инвестиции, необходими за икономическото възстановяване.</w:t>
      </w:r>
    </w:p>
    <w:p>
      <w:pPr>
        <w:rPr>
          <w:noProof/>
        </w:rPr>
      </w:pPr>
      <w:r>
        <w:rPr>
          <w:noProof/>
        </w:rPr>
        <w:t>Освен това националният и регионалният капацитет за преодоляване на последиците от кризата е различен в отделните държави членки и региони поради различните икономически структури и фискални позиции. Ако не бъдат взети мерки, тези разлики може да доведат до асиметрично възстановяване и увеличаване на регионалните различия, което от своя страна може да подкопае вътрешния пазар, финансовата стабилност на еврозоната и нашия Съюз като цяло.</w:t>
      </w:r>
    </w:p>
    <w:p>
      <w:pPr>
        <w:rPr>
          <w:noProof/>
        </w:rPr>
      </w:pPr>
      <w:r>
        <w:rPr>
          <w:noProof/>
        </w:rPr>
        <w:t>Поради това, за да се предотврати увеличаването на различията и да се избегне неравномерният процес на възстановяване, е необходимо да се предостави допълнителна подкрепа в краткосрочен и средносрочен план на държавите членки и регионите, за да се помогне на техните икономики и общества да се справят със ситуацията и да се гарантира бързото и устойчиво възстановяване на техните икономики.</w:t>
      </w:r>
    </w:p>
    <w:p>
      <w:pPr>
        <w:rPr>
          <w:noProof/>
        </w:rPr>
      </w:pPr>
      <w:r>
        <w:rPr>
          <w:noProof/>
        </w:rPr>
        <w:t xml:space="preserve">В този контекст инвестициите в екологичния преход трябва да бъдат ускорени, за да се създадат условия за дългосрочен растеж в Европа и за устойчивост на европейската икономика към бъдещи сътресения. Това следва да бъде отразено в пълна степен в бъдещите програми и инвестиционни приоритети. По-бързото преустановяване на добива на изкопаеми горива и на дейностите с висок въглероден интензитет чрез целенасочена подкрепа за икономическа диверсификация и създаване на нови икономически възможности и работни места притежава огромен потенциал за осигуряване на растеж на икономиката на Европа. Осигуряването на възможност за регионите и гражданите успешно да се справят с прехода към неутрална по отношение на климата икономика трябва да бъде в центъра на нашите усилия. </w:t>
      </w:r>
    </w:p>
    <w:p>
      <w:pPr>
        <w:rPr>
          <w:noProof/>
        </w:rPr>
      </w:pPr>
      <w:r>
        <w:rPr>
          <w:noProof/>
        </w:rPr>
        <w:lastRenderedPageBreak/>
        <w:t>По тази причина се предлага да се предоставят допълнителни средства в размер на 35 613 048 000 EUR (по текущи цени) за Фонда за справедлив преход. От тези допълнителни средства 2 810 048 000 EUR следва да дойдат от бюджетни кредити, при което равнището на програмата в рамките на следващата МФР ще достигне 11 270 459 000 EUR; тези средства следва да бъдат разпределени в хода на текущите преговори на равнището на Европейския съвет. Останалите допълнителни средства от 32 803 000 000 EUR ще обхващат периода 2021—2024 г. и ще представляват външни целеви приходи по линия на Европейския инструмент за възстановяване.</w:t>
      </w:r>
    </w:p>
    <w:p>
      <w:pPr>
        <w:rPr>
          <w:noProof/>
        </w:rPr>
      </w:pPr>
      <w:r>
        <w:rPr>
          <w:noProof/>
        </w:rPr>
        <w:t xml:space="preserve">Тези суми ще бъдат разпределени между държавите членки в съответствие с техния капацитет за финансиране на необходимите инвестиции за справяне с прехода към неутралност по отношение на климата съобразно методиката, посочена в приложение I към предложения регламент за Фонд за справедлив преход. </w:t>
      </w:r>
    </w:p>
    <w:p>
      <w:pPr>
        <w:rPr>
          <w:noProof/>
        </w:rPr>
      </w:pPr>
      <w:r>
        <w:rPr>
          <w:noProof/>
        </w:rPr>
        <w:t>Чрез дерогация от правилата на Финансовия регламент, приложими за външните целеви приходи, след като бъдат разпределени по програми, тези допълнителни средства следват приложимите правила, определени в РОР, включително правилата на РОР относно поетите задължения и отменените бюджетни задължения.</w:t>
      </w:r>
    </w:p>
    <w:p>
      <w:pPr>
        <w:rPr>
          <w:noProof/>
        </w:rPr>
      </w:pPr>
      <w:r>
        <w:rPr>
          <w:noProof/>
        </w:rPr>
        <w:t>За да се запази капацитетът на държавите членки и регионите да използват отпуснатите им средства по линия на политиката на сближаване за подпомагане на икономическото, социалното и териториалното сближаване, за допълнителните средства от Европейския инструмент за възстановяване няма да се изискват трансфери от отпуснатите за отделните държави средства по линия на Европейския фонд за регионално развитие и Европейския социален фонд плюс.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  <w:t>Съгласуваност с други актове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rPr>
          <w:noProof/>
        </w:rPr>
      </w:pPr>
      <w:r>
        <w:rPr>
          <w:noProof/>
        </w:rPr>
        <w:t xml:space="preserve">Подкрепата, предоставяна чрез Фонда за справедлив преход, се допълва от специална схема за справедлив преход в рамките на InvestEU. Тази схема ще подкрепя по-широк набор от инвестиции, по-специално като допринася за прехода чрез подкрепа за дейности с ниски нива на въглеродни емисии и устойчиви на изменението на климата дейности, като например инвестиции в енергия от възобновяеми източници и схеми за енергийна ефективност. Схемата ще може също така да мобилизира финансиране за енергийна и транспортна инфраструктура, включително газова инфраструктура и районни отоплителни системи, но също така проекти за декарбонизация, икономическа диверсификация на регионите и социална инфраструктура.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rPr>
          <w:noProof/>
        </w:rPr>
      </w:pPr>
      <w:r>
        <w:rPr>
          <w:noProof/>
        </w:rPr>
        <w:t>Освен това, нов механизъм за отпускане на заеми в публичния сектор, изпълняван с ЕИБ, ще осигури подкрепа за съчетаване на безвъзмездни средства от ЕС със заеми, предоставени от ЕИБ, за публични субекти с цел да се възползват най-силно засегнатите територии, посочени в териториалните планове за справедлив преход.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rPr>
          <w:noProof/>
        </w:rPr>
      </w:pPr>
      <w:r>
        <w:rPr>
          <w:noProof/>
        </w:rPr>
        <w:t xml:space="preserve">Ще бъдат осигурени полезни взаимодействия и взаимно допълване между трите стълба посредством териториалните планове за справедлив преход, при които ще бъдат определени нуждите за развитие на най-засегнатите територии, произтичащи от климатичния преход. 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Правно основание</w:t>
      </w:r>
    </w:p>
    <w:p>
      <w:pPr>
        <w:rPr>
          <w:noProof/>
        </w:rPr>
      </w:pPr>
      <w:r>
        <w:rPr>
          <w:noProof/>
        </w:rPr>
        <w:t xml:space="preserve">Основание за действията на ЕС е член 174, параграф 1 от ДФЕС: „Съюзът разработва и осъществява свои инициативи, които водят до укрепването на неговото икономическо, социално и териториално сближаване. По-специално Съюзът има за цел намаляването </w:t>
      </w:r>
      <w:r>
        <w:rPr>
          <w:noProof/>
        </w:rPr>
        <w:lastRenderedPageBreak/>
        <w:t xml:space="preserve">на разликата между нивата на развитие на различните региони и изостаналостта на най-необлагодетелстваните региони“. </w:t>
      </w:r>
    </w:p>
    <w:p>
      <w:pPr>
        <w:rPr>
          <w:noProof/>
        </w:rPr>
      </w:pPr>
      <w:r>
        <w:rPr>
          <w:noProof/>
        </w:rPr>
        <w:t>За да се даде възможност за създаването на Фонда за справедлив преход, е необходимо предложението да се основава на член 175 от ДФЕС, в който изрично се призовава Съюзът да подкрепя постигането на определените в член 174 цели чрез действията, които предприема посредством структурните фондове, ЕИБ и другите съществуващи финансови инструменти.</w:t>
      </w:r>
    </w:p>
    <w:p>
      <w:pPr>
        <w:rPr>
          <w:noProof/>
        </w:rPr>
      </w:pPr>
      <w:r>
        <w:rPr>
          <w:noProof/>
        </w:rPr>
        <w:t>В член 175, трета алинея от ДФЕС се предвижда, че „[а]ко се окажат необходими специфични действия извън рамките на тези фондове, и без да се накърняват мерките, за които е взето решение в рамките на друга политика на Съюза, тези действия могат да бъдат одобрени от Европейския парламент и Съвета в съответствие с обикновената законодателна процедура и след консултация с Икономическия и социален комитет и с Комитета на регионите“.</w:t>
      </w:r>
    </w:p>
    <w:p>
      <w:pPr>
        <w:rPr>
          <w:noProof/>
        </w:rPr>
      </w:pPr>
      <w:r>
        <w:rPr>
          <w:noProof/>
        </w:rPr>
        <w:t>Необходимо е също така предложението да се основава на член 322, параграф 1, буква а) от ДФЕС, за да се даде възможност за целеви дерогации от Финансовия регламент.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Субсидиарност и пропорционалност</w:t>
      </w:r>
    </w:p>
    <w:p>
      <w:pPr>
        <w:rPr>
          <w:noProof/>
        </w:rPr>
      </w:pPr>
      <w:r>
        <w:rPr>
          <w:noProof/>
        </w:rPr>
        <w:t xml:space="preserve">В съответствие с член 4, параграф 2 от ДФЕС Съюзът има споделена с държавите членки компетентност в областта на икономическото, социалното и териториалното сближаване, както и за някои аспекти на социалната политика. Той също така разполага с компетентност да предприема действия за подкрепа, координиране или допълване на действията на държавите членки в областта на образованието и професионалното обучение, както и на промишлеността (член 6 от ДФЕС). </w:t>
      </w:r>
    </w:p>
    <w:p>
      <w:pPr>
        <w:rPr>
          <w:noProof/>
        </w:rPr>
      </w:pPr>
      <w:r>
        <w:rPr>
          <w:noProof/>
        </w:rPr>
        <w:t xml:space="preserve">Изпълнението на Фонда за справедлив преход при споделено управление се основава на принципа на субсидиарност. При споделеното управление Комисията делегира на държавите членки и регионите стратегически задачи по програмиране и изпълнение. Поради това действията на Съюза се ограничават до необходимото за постигане на заложените в Договорите цели на Съюза. </w:t>
      </w:r>
    </w:p>
    <w:p>
      <w:pPr>
        <w:rPr>
          <w:noProof/>
        </w:rPr>
      </w:pPr>
      <w:r>
        <w:rPr>
          <w:noProof/>
        </w:rPr>
        <w:t>Споделеното управление има за цел да гарантира, че решенията се вземат възможно най-близо до гражданите и че има основание за действия на равнището на ЕС с оглед на възможностите и особеностите на национално, регионално или местно равнище. Споделеното управление доближава Европа до нейните граждани и свързва местните потребности с европейските цели. Освен това то увеличава ангажираността с целите на ЕС, тъй като държавите членки и Комисията споделят правомощията и отговорността за вземане на решения и съвместно финансират програмите.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Избор на инструмент</w:t>
      </w:r>
    </w:p>
    <w:p>
      <w:pPr>
        <w:rPr>
          <w:noProof/>
        </w:rPr>
      </w:pPr>
      <w:r>
        <w:rPr>
          <w:noProof/>
        </w:rPr>
        <w:t>Политиката на сближаване е подходяща рамка за Фонда за справедлив преход, тъй като тя е основната политика на ЕС за справяне със структурните промени в регионите на Европа. По нейна линия се предоставя финансова подкрепа за инвестиции в широк кръг от области, които допринасят за създаването на работни места и растежа, като се работи в партньорство с действащите лица на място.</w:t>
      </w:r>
    </w:p>
    <w:p>
      <w:pPr>
        <w:rPr>
          <w:noProof/>
        </w:rPr>
      </w:pPr>
      <w:r>
        <w:rPr>
          <w:noProof/>
        </w:rPr>
        <w:t xml:space="preserve">Тя също така осигурява интегриран и ориентиран към местните условия подход, който гарантира полезни взаимодействия и съгласуваност между инвестициите, подпомагани от Фонда за справедлив преход, и тези, подпомагани по основните програми по линия на политиката на сближаване. Това ще ускори икономическото развитие и преструктуриране на съответните региони. </w:t>
      </w:r>
    </w:p>
    <w:p>
      <w:pPr>
        <w:rPr>
          <w:noProof/>
        </w:rPr>
      </w:pPr>
      <w:r>
        <w:rPr>
          <w:noProof/>
        </w:rPr>
        <w:lastRenderedPageBreak/>
        <w:t xml:space="preserve">Освен това тази политика осигурява ангажираност от страна на държавите членки и регионите. Това е от решаващо значение в контекста на Фонда за справедлив преход, който трябва да дава основата на съобразени с конкретните условия териториални стратегии за преход, изцяло обхващащи породените от прехода многобройни социални, екологични и икономически предизвикателства. </w:t>
      </w:r>
    </w:p>
    <w:p>
      <w:pPr>
        <w:rPr>
          <w:noProof/>
        </w:rPr>
      </w:pPr>
      <w:r>
        <w:rPr>
          <w:noProof/>
        </w:rPr>
        <w:t xml:space="preserve">Съгласно политиката на сближаване изборът на инструмент е регламент на Европейския парламент и на Съвета в съответствие с обикновената законодателна процедура, както е посочено в член 175, параграф 3 от Договора. 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ОТ КОНСУЛТАЦИИТЕ СЪС ЗАИНТЕРЕСОВАНИТЕ СТРАНИ И ОТ ОЦЕНКИТЕ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Последващи оценки/проверки за пригодност на действащото законодателство</w:t>
      </w:r>
    </w:p>
    <w:p>
      <w:pPr>
        <w:rPr>
          <w:noProof/>
        </w:rPr>
      </w:pPr>
      <w:r>
        <w:rPr>
          <w:noProof/>
        </w:rPr>
        <w:t>Не е приложимо.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Консултации със заинтересованите страни</w:t>
      </w:r>
    </w:p>
    <w:p>
      <w:pPr>
        <w:rPr>
          <w:noProof/>
        </w:rPr>
      </w:pPr>
      <w:r>
        <w:rPr>
          <w:noProof/>
        </w:rPr>
        <w:t>Не бяха проведени консултации с външни заинтересовани страни. Предложението обаче е съобразено с проведените през последните седмици консултации с държавите членки и Европейския парламент във връзка с преговорите по предложението за създаване на Фонда за справедлив преход.</w:t>
      </w:r>
    </w:p>
    <w:p>
      <w:pPr>
        <w:rPr>
          <w:noProof/>
        </w:rPr>
      </w:pPr>
      <w:r>
        <w:rPr>
          <w:noProof/>
        </w:rPr>
        <w:t>Както в проектодоклада на докладчика на комисията по регионално развитие, така и в становището на комисията по бюджета беше предложено по-специално значително увеличение на бюджета на ФСП.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Събиране и използване на експертни становища</w:t>
      </w:r>
    </w:p>
    <w:p>
      <w:pPr>
        <w:rPr>
          <w:noProof/>
        </w:rPr>
      </w:pPr>
      <w:r>
        <w:rPr>
          <w:noProof/>
        </w:rPr>
        <w:t>Не е приложимо.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Оценка на въздействието</w:t>
      </w:r>
    </w:p>
    <w:p>
      <w:pPr>
        <w:rPr>
          <w:noProof/>
        </w:rPr>
      </w:pPr>
      <w:r>
        <w:rPr>
          <w:noProof/>
        </w:rPr>
        <w:t>Оценката на въздействието</w:t>
      </w:r>
      <w:r>
        <w:rPr>
          <w:rStyle w:val="FootnoteReference"/>
          <w:rFonts w:eastAsia="Arial Unicode MS"/>
          <w:noProof/>
        </w:rPr>
        <w:footnoteReference w:id="4"/>
      </w:r>
      <w:r>
        <w:rPr>
          <w:noProof/>
        </w:rPr>
        <w:t>, извършена с цел изготвяне на предложението за регламент на Европейския парламент и на Съвета относно Европейския фонд за регионално развитие и относно Кохезионния фонд</w:t>
      </w:r>
      <w:r>
        <w:rPr>
          <w:rStyle w:val="FootnoteReference"/>
          <w:rFonts w:eastAsia="Arial Unicode MS"/>
          <w:noProof/>
        </w:rPr>
        <w:footnoteReference w:id="5"/>
      </w:r>
      <w:r>
        <w:rPr>
          <w:noProof/>
        </w:rPr>
        <w:t xml:space="preserve">, подкрепи целите и основните характеристики на Фонда за справедлив преход. </w:t>
      </w:r>
    </w:p>
    <w:p>
      <w:pPr>
        <w:rPr>
          <w:noProof/>
        </w:rPr>
      </w:pPr>
      <w:r>
        <w:rPr>
          <w:noProof/>
        </w:rPr>
        <w:t xml:space="preserve">Предложените изменения по предложението за ФСП отчитат нарасналите предизвикателства, пред които са изправени териториите в контекста на неотдавнашната пандемия от COVID-19. Като се изключат увеличените средства, измененията са ограничени и не променят архитектурата и основните елементи на първоначалното предложение. Поради това не беше извършена самостоятелна оценка на въздействието.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Пригодност и опростяване на законодателството</w:t>
      </w:r>
    </w:p>
    <w:p>
      <w:pPr>
        <w:rPr>
          <w:noProof/>
        </w:rPr>
      </w:pPr>
      <w:r>
        <w:rPr>
          <w:noProof/>
        </w:rPr>
        <w:t>Не е приложимо.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Основни права</w:t>
      </w:r>
    </w:p>
    <w:p>
      <w:pPr>
        <w:rPr>
          <w:noProof/>
        </w:rPr>
      </w:pPr>
      <w:r>
        <w:rPr>
          <w:noProof/>
        </w:rPr>
        <w:t>Не е приложимо.</w:t>
      </w:r>
    </w:p>
    <w:p>
      <w:pPr>
        <w:pStyle w:val="ManualHeading1"/>
        <w:rPr>
          <w:noProof/>
        </w:rPr>
      </w:pPr>
      <w:r>
        <w:rPr>
          <w:noProof/>
        </w:rPr>
        <w:lastRenderedPageBreak/>
        <w:t>4.</w:t>
      </w:r>
      <w:r>
        <w:rPr>
          <w:noProof/>
        </w:rPr>
        <w:tab/>
        <w:t>ОТРАЖЕНИЕ ВЪРХУ БЮДЖЕТА</w:t>
      </w:r>
    </w:p>
    <w:p>
      <w:pPr>
        <w:rPr>
          <w:noProof/>
        </w:rPr>
      </w:pPr>
      <w:r>
        <w:rPr>
          <w:noProof/>
        </w:rPr>
        <w:t>Допълнителните средства от бюджетни кредити по МФР за периода 2021—2027 г. ще доведат до поемането на допълнителни бюджетни задължения за периода 2021—2027 г. и плащания за периода 2022—2027 г. и след 2027 г.</w:t>
      </w:r>
    </w:p>
    <w:p>
      <w:pPr>
        <w:rPr>
          <w:noProof/>
        </w:rPr>
      </w:pPr>
      <w:r>
        <w:rPr>
          <w:noProof/>
        </w:rPr>
        <w:t>Допълнителните средства, финансирани по линия на Европейския инструмент за възстановяване, ще доведат до поемането на допълнителни задължения през 2021, 2022, 2023 и 2024 г., както и до плащания за годините 2021—2027, въз основа на външни целеви приходи.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Подробно разяснение на конкретните разпоредби на предложението</w:t>
      </w:r>
    </w:p>
    <w:p>
      <w:pPr>
        <w:spacing w:before="0" w:after="240"/>
        <w:rPr>
          <w:rFonts w:eastAsia="Arial Unicode MS"/>
          <w:noProof/>
        </w:rPr>
      </w:pPr>
      <w:r>
        <w:rPr>
          <w:noProof/>
        </w:rPr>
        <w:t>Предложените изменения на предложението за ФСП са насочени към следните елементи:</w:t>
      </w:r>
    </w:p>
    <w:p>
      <w:pPr>
        <w:pStyle w:val="Bullet0"/>
        <w:numPr>
          <w:ilvl w:val="0"/>
          <w:numId w:val="10"/>
        </w:numPr>
        <w:rPr>
          <w:noProof/>
        </w:rPr>
      </w:pPr>
      <w:r>
        <w:rPr>
          <w:noProof/>
        </w:rPr>
        <w:t>увеличаване на средствата чрез допълнителни бюджетни кредити и външни целеви приходи;</w:t>
      </w:r>
    </w:p>
    <w:p>
      <w:pPr>
        <w:pStyle w:val="Bullet0"/>
        <w:rPr>
          <w:noProof/>
        </w:rPr>
      </w:pPr>
      <w:r>
        <w:rPr>
          <w:noProof/>
        </w:rPr>
        <w:t>няма задължение за допълване на тези допълнителни средства, финансирани по линия на Европейския инструмент за възстановяване, с трансфери от ЕФРР и ЕСФ+;</w:t>
      </w:r>
    </w:p>
    <w:p>
      <w:pPr>
        <w:pStyle w:val="Bullet0"/>
        <w:rPr>
          <w:noProof/>
        </w:rPr>
      </w:pPr>
      <w:r>
        <w:rPr>
          <w:noProof/>
        </w:rPr>
        <w:t>изменение на приложение I с оглед на адаптирането му към по-високото равнище на предложените средства.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2020/0006 (COD)</w:t>
      </w:r>
    </w:p>
    <w:p>
      <w:pPr>
        <w:pStyle w:val="Statut"/>
        <w:rPr>
          <w:noProof/>
        </w:rPr>
      </w:pPr>
      <w:r>
        <w:rPr>
          <w:noProof/>
        </w:rPr>
        <w:t>Изменено 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РЕГЛАМЕНТ НА ЕВРОПЕЙСКИЯ ПАРЛАМЕНТ И НА СЪВЕТА</w:t>
      </w:r>
    </w:p>
    <w:p>
      <w:pPr>
        <w:pStyle w:val="Titreobjet"/>
        <w:rPr>
          <w:noProof/>
        </w:rPr>
      </w:pPr>
      <w:r>
        <w:rPr>
          <w:noProof/>
        </w:rPr>
        <w:t>за създаване на Фонда за справедлив преход</w:t>
      </w:r>
    </w:p>
    <w:p>
      <w:pPr>
        <w:rPr>
          <w:noProof/>
        </w:rPr>
      </w:pPr>
      <w:r>
        <w:rPr>
          <w:noProof/>
        </w:rPr>
        <w:t>Предложение COM(2020) 22 на Комисията се изменя, както следва: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преамбюлът се изменя, както следва: 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Първа алинея се заменя със следното: </w:t>
      </w:r>
    </w:p>
    <w:p>
      <w:pPr>
        <w:pStyle w:val="Text2"/>
        <w:rPr>
          <w:noProof/>
        </w:rPr>
      </w:pPr>
      <w:r>
        <w:rPr>
          <w:noProof/>
        </w:rPr>
        <w:t>„като взеха предвид Договора за функционирането на Европейския съюз, и по-специално член 175, трета алинея и член 322, параграф 1, буква а) от него,“;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Вмъква се нова шеста алинея: </w:t>
      </w:r>
    </w:p>
    <w:p>
      <w:pPr>
        <w:pStyle w:val="Text2"/>
        <w:rPr>
          <w:noProof/>
        </w:rPr>
      </w:pPr>
      <w:r>
        <w:rPr>
          <w:noProof/>
        </w:rPr>
        <w:t>„като взеха предвид становището на Сметната палата</w:t>
      </w:r>
      <w:r>
        <w:rPr>
          <w:rStyle w:val="FootnoteReference"/>
          <w:noProof/>
        </w:rPr>
        <w:footnoteReference w:id="6"/>
      </w:r>
      <w:r>
        <w:rPr>
          <w:noProof/>
        </w:rPr>
        <w:t>,“;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вмъква се следното съображение 8а:</w:t>
      </w:r>
    </w:p>
    <w:p>
      <w:pPr>
        <w:pStyle w:val="Text1"/>
        <w:rPr>
          <w:noProof/>
        </w:rPr>
      </w:pPr>
      <w:r>
        <w:rPr>
          <w:noProof/>
        </w:rPr>
        <w:t>„(8a) Към настоящия регламент се прилагат хоризонталните финансови правила, приети от Европейския парламент и Съвета на основание член 322 от Договора за функционирането на Европейския съюз. Тези правила са установени във Финансовия регламент и определят по-специално процедурата за създаване и изпълнение на бюджета чрез безвъзмездни средства, обществени поръчки, награди, непряко изпълнение, и предвиждат проверки на отговорността на финансовите участници. Правилата, приети на основание член 322 от ДФЕС, се отнасят също за защитата на бюджета на Съюза в случаите на широко разпространено незачитане на принципите на правовата държава в държавите членки, тъй като спазването на принципите на правовата държава е основна предпоставка за добро финансово управление и ефективно финансиране от ЕС.“;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вмъква се следното съображение 9а:</w:t>
      </w:r>
    </w:p>
    <w:p>
      <w:pPr>
        <w:pStyle w:val="Text1"/>
        <w:rPr>
          <w:noProof/>
        </w:rPr>
      </w:pPr>
      <w:r>
        <w:rPr>
          <w:noProof/>
        </w:rPr>
        <w:t>„(9а) В съответствие с Регламент [Европейския инструмент за възстановяване] и в рамките на средствата, предвидени в него, следва да бъдат предприети действия за възстановяване и устойчивост по линия на Фонда за справедлив преход с цел преодоляване на безпрецедентното въздействие на кризата, предизвикана от COVID-19.  Тези допълнителни средства следва да се използват по начин, който гарантира спазването на сроковете, предвидени в Регламент [ЕИВ].“;</w:t>
      </w:r>
    </w:p>
    <w:p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>в член 3 параграф 2 се заменя със следното:</w:t>
      </w:r>
    </w:p>
    <w:p>
      <w:pPr>
        <w:pStyle w:val="Text1"/>
        <w:rPr>
          <w:noProof/>
        </w:rPr>
      </w:pPr>
      <w:r>
        <w:rPr>
          <w:noProof/>
        </w:rPr>
        <w:t>„2.</w:t>
      </w:r>
      <w:r>
        <w:rPr>
          <w:noProof/>
        </w:rPr>
        <w:tab/>
        <w:t xml:space="preserve">Средствата за ФСП в рамките на цел „Инвестиции за растеж и работни места“, налични за поемане на бюджетни задължения за периода 2021—2027 г., възлизат на 11 270 459 000 EUR по текущи цени, като те могат евентуално да </w:t>
      </w:r>
      <w:r>
        <w:rPr>
          <w:noProof/>
        </w:rPr>
        <w:lastRenderedPageBreak/>
        <w:t>бъдат увеличени с допълнителни средства, предоставени в бюджета на Съюза, както и с други средства в съответствие с приложимия основен акт.</w:t>
      </w:r>
    </w:p>
    <w:p>
      <w:pPr>
        <w:pStyle w:val="Text1"/>
        <w:rPr>
          <w:noProof/>
        </w:rPr>
      </w:pPr>
      <w:r>
        <w:rPr>
          <w:noProof/>
        </w:rPr>
        <w:t>По инициатива на Комисията 0,35 % от сумата, посочена в първа алинея, се разпределя за техническа помощ.“;</w:t>
      </w:r>
    </w:p>
    <w:p>
      <w:pPr>
        <w:pStyle w:val="ManualNumPar1"/>
        <w:rPr>
          <w:noProof/>
        </w:rPr>
      </w:pPr>
      <w:r>
        <w:rPr>
          <w:noProof/>
        </w:rPr>
        <w:t>5.</w:t>
      </w:r>
      <w:r>
        <w:rPr>
          <w:noProof/>
        </w:rPr>
        <w:tab/>
        <w:t>вмъква се следният член 3a:</w:t>
      </w:r>
    </w:p>
    <w:p>
      <w:pPr>
        <w:pStyle w:val="Text1"/>
        <w:jc w:val="center"/>
        <w:rPr>
          <w:i/>
          <w:noProof/>
        </w:rPr>
      </w:pPr>
      <w:r>
        <w:rPr>
          <w:i/>
          <w:noProof/>
        </w:rPr>
        <w:t>„Член 3а</w:t>
      </w:r>
    </w:p>
    <w:p>
      <w:pPr>
        <w:pStyle w:val="Text1"/>
        <w:jc w:val="center"/>
        <w:rPr>
          <w:b/>
          <w:noProof/>
        </w:rPr>
      </w:pPr>
      <w:r>
        <w:rPr>
          <w:b/>
          <w:noProof/>
        </w:rPr>
        <w:t>Средства от Инструмента на Европейския съюз за възстановяване</w:t>
      </w:r>
    </w:p>
    <w:p>
      <w:pPr>
        <w:pStyle w:val="Point1"/>
        <w:rPr>
          <w:noProof/>
        </w:rPr>
      </w:pPr>
      <w:r>
        <w:rPr>
          <w:noProof/>
        </w:rPr>
        <w:t>1.</w:t>
      </w:r>
      <w:r>
        <w:rPr>
          <w:noProof/>
        </w:rPr>
        <w:tab/>
        <w:t>Мерките, посочени в член 2 от Регламент [ЕИВ], се изпълняват в рамките на Фонда за справедлив преход със сума в размер на 32 803 000 000 EUR по текущи цени от сумата, посочена в член 3, параграф 2, буква а), подточка vi) от същия регламент, при спазване на член 4, параграфи 3, 4 и 8.</w:t>
      </w:r>
    </w:p>
    <w:p>
      <w:pPr>
        <w:pStyle w:val="Text2"/>
        <w:rPr>
          <w:noProof/>
        </w:rPr>
      </w:pPr>
      <w:r>
        <w:rPr>
          <w:noProof/>
        </w:rPr>
        <w:t xml:space="preserve">Тази сума представлява други средства по смисъла на член 3, параграф 2 и външни целеви приходи в съответствие с член 21, параграф 5 от Регламент (ЕС, Евратом) 2018/1046. </w:t>
      </w:r>
    </w:p>
    <w:p>
      <w:pPr>
        <w:pStyle w:val="Text2"/>
        <w:rPr>
          <w:noProof/>
        </w:rPr>
      </w:pPr>
      <w:r>
        <w:rPr>
          <w:noProof/>
        </w:rPr>
        <w:t>Те се предоставят за поемане на бюджетни задължения по цел „Инвестиции за растеж и работни места“ за годините 2021—2024 в допълнение към глобалните средства, посочени в член 3, както следва:</w:t>
      </w:r>
    </w:p>
    <w:p>
      <w:pPr>
        <w:pStyle w:val="Tiret2"/>
        <w:numPr>
          <w:ilvl w:val="0"/>
          <w:numId w:val="6"/>
        </w:numPr>
        <w:rPr>
          <w:rStyle w:val="conf-macro"/>
          <w:noProof/>
        </w:rPr>
      </w:pPr>
      <w:r>
        <w:rPr>
          <w:rStyle w:val="conf-macro"/>
          <w:noProof/>
        </w:rPr>
        <w:t>2021 г.: 7 954 600 000 EUR;</w:t>
      </w:r>
    </w:p>
    <w:p>
      <w:pPr>
        <w:pStyle w:val="Tiret2"/>
        <w:rPr>
          <w:rStyle w:val="conf-macro"/>
          <w:noProof/>
        </w:rPr>
      </w:pPr>
      <w:r>
        <w:rPr>
          <w:rStyle w:val="conf-macro"/>
          <w:noProof/>
        </w:rPr>
        <w:t>2022 г.: 8 114 600 000 EUR;</w:t>
      </w:r>
    </w:p>
    <w:p>
      <w:pPr>
        <w:pStyle w:val="Tiret2"/>
        <w:rPr>
          <w:rStyle w:val="conf-macro"/>
          <w:noProof/>
        </w:rPr>
      </w:pPr>
      <w:r>
        <w:rPr>
          <w:rStyle w:val="conf-macro"/>
          <w:noProof/>
        </w:rPr>
        <w:t>2023 г.: 8 276 600 000 EUR;</w:t>
      </w:r>
    </w:p>
    <w:p>
      <w:pPr>
        <w:pStyle w:val="Tiret2"/>
        <w:rPr>
          <w:rStyle w:val="conf-macro"/>
          <w:noProof/>
        </w:rPr>
      </w:pPr>
      <w:r>
        <w:rPr>
          <w:rStyle w:val="conf-macro"/>
          <w:noProof/>
        </w:rPr>
        <w:t>2024 г.: 8 441 600 000 EUR.</w:t>
      </w:r>
    </w:p>
    <w:p>
      <w:pPr>
        <w:pStyle w:val="Text2"/>
        <w:rPr>
          <w:noProof/>
        </w:rPr>
      </w:pPr>
      <w:r>
        <w:rPr>
          <w:noProof/>
        </w:rPr>
        <w:t xml:space="preserve">В допълнение, 15 600 000 EUR по текущи цени се предоставят за административни разходи от средствата, посочени в първа алинея. </w:t>
      </w:r>
    </w:p>
    <w:p>
      <w:pPr>
        <w:pStyle w:val="Point1"/>
        <w:rPr>
          <w:noProof/>
        </w:rPr>
      </w:pPr>
      <w:r>
        <w:rPr>
          <w:noProof/>
        </w:rPr>
        <w:t>2.</w:t>
      </w:r>
      <w:r>
        <w:rPr>
          <w:noProof/>
        </w:rPr>
        <w:tab/>
        <w:t>По инициатива на Комисията 0,35 % от сумата, посочена в параграф 1, първа алинея, се разпределя за техническа помощ.</w:t>
      </w:r>
    </w:p>
    <w:p>
      <w:pPr>
        <w:pStyle w:val="Point1"/>
        <w:rPr>
          <w:noProof/>
        </w:rPr>
      </w:pPr>
      <w:r>
        <w:rPr>
          <w:noProof/>
        </w:rPr>
        <w:t>3.</w:t>
      </w:r>
      <w:r>
        <w:rPr>
          <w:noProof/>
        </w:rPr>
        <w:tab/>
        <w:t>Годишното разпределение по държави членки на сумата, посочена в параграф 1, се включва в решението на Комисията по член 3, параграф 3, в съответствие с методиката, посочена в приложение I.</w:t>
      </w:r>
    </w:p>
    <w:p>
      <w:pPr>
        <w:pStyle w:val="Point1"/>
        <w:rPr>
          <w:noProof/>
        </w:rPr>
      </w:pPr>
      <w:r>
        <w:rPr>
          <w:noProof/>
        </w:rPr>
        <w:t>4.</w:t>
      </w:r>
      <w:r>
        <w:rPr>
          <w:noProof/>
        </w:rPr>
        <w:tab/>
        <w:t xml:space="preserve">Чрез дерогация от член [21а] от Регламент (ЕС) [новия РОР] сумата, посочена в параграф 1, не изисква допълнителна подкрепа от ЕФРР или ЕСФ+. </w:t>
      </w:r>
    </w:p>
    <w:p>
      <w:pPr>
        <w:pStyle w:val="Point1"/>
        <w:rPr>
          <w:noProof/>
        </w:rPr>
      </w:pPr>
      <w:r>
        <w:rPr>
          <w:noProof/>
        </w:rPr>
        <w:t>5.</w:t>
      </w:r>
      <w:r>
        <w:rPr>
          <w:noProof/>
        </w:rPr>
        <w:tab/>
        <w:t>Чрез дерогация от член 14, параграф 3 от Финансовия регламент правилата относно отмяната на бюджетни задължения, предвидени в дял VII, глава IV от Регламент (ЕС) [новия РОР], се прилагат по отношение на бюджетните задължения въз основа на средствата, посочени в параграф 1. Чрез дерогация от член 12, параграф 4, буква в) от Финансовия регламент тези средства не може да бъдат използвани за следваща програма или действие.“;</w:t>
      </w:r>
    </w:p>
    <w:p>
      <w:pPr>
        <w:pStyle w:val="ManualNumPar1"/>
        <w:rPr>
          <w:noProof/>
        </w:rPr>
      </w:pPr>
      <w:r>
        <w:rPr>
          <w:noProof/>
        </w:rPr>
        <w:t>6.</w:t>
      </w:r>
      <w:r>
        <w:rPr>
          <w:noProof/>
        </w:rPr>
        <w:tab/>
        <w:t>Член 6, параграф 2 се заменя със следното:</w:t>
      </w:r>
    </w:p>
    <w:p>
      <w:pPr>
        <w:pStyle w:val="Text1"/>
        <w:rPr>
          <w:noProof/>
        </w:rPr>
      </w:pPr>
      <w:r>
        <w:rPr>
          <w:noProof/>
        </w:rPr>
        <w:t xml:space="preserve">„2. Приоритетът или приоритетите на ФСП включва(т) средствата по ФСП, съставени от всички или част от средствата по ФСП за държавите членки, и средствата, прехвърлени в съответствие с член [21а] от Регламент (ЕО) [новия </w:t>
      </w:r>
      <w:r>
        <w:rPr>
          <w:noProof/>
        </w:rPr>
        <w:lastRenderedPageBreak/>
        <w:t>РОР]. Общият размер на средствата от ЕФРР и ЕСФ+, прехвърлени към ФСП, е поне един път и половина по-голям от размера на подкрепата от ФСП за съответния приоритет, с изключение на средствата, посочени в член 3а, параграф 1, но не надхвърля три пъти този размер.“;</w:t>
      </w:r>
    </w:p>
    <w:p>
      <w:pPr>
        <w:pStyle w:val="ManualNumPar1"/>
        <w:rPr>
          <w:noProof/>
        </w:rPr>
      </w:pPr>
      <w:r>
        <w:rPr>
          <w:noProof/>
        </w:rPr>
        <w:t>7.</w:t>
      </w:r>
      <w:r>
        <w:rPr>
          <w:noProof/>
        </w:rPr>
        <w:tab/>
        <w:t>Приложение I се изменя съгласно приложението към настоящото предложение.</w:t>
      </w:r>
      <w:r>
        <w:rPr>
          <w:noProof/>
        </w:rPr>
        <w:tab/>
        <w:t xml:space="preserve"> </w:t>
      </w:r>
      <w:r>
        <w:rPr>
          <w:noProof/>
        </w:rPr>
        <w:br/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>За Европейския парламент</w:t>
      </w: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>Председател</w:t>
      </w:r>
      <w:r>
        <w:rPr>
          <w:noProof/>
        </w:rPr>
        <w:tab/>
        <w:t>Председател</w:t>
      </w:r>
    </w:p>
    <w:p>
      <w:pPr>
        <w:rPr>
          <w:noProof/>
        </w:rPr>
        <w:sectPr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Fichefinanciretitre"/>
        <w:rPr>
          <w:noProof/>
        </w:rPr>
      </w:pPr>
      <w:bookmarkStart w:id="1" w:name="_Toc514941970"/>
      <w:r>
        <w:rPr>
          <w:noProof/>
        </w:rPr>
        <w:lastRenderedPageBreak/>
        <w:t>ЗАКОНОДАТЕЛНА ФИНАНСОВА ОБОСНОВКА</w:t>
      </w:r>
      <w:bookmarkEnd w:id="1"/>
    </w:p>
    <w:p>
      <w:pPr>
        <w:pStyle w:val="ManualHeading1"/>
        <w:rPr>
          <w:noProof/>
        </w:rPr>
      </w:pPr>
      <w:bookmarkStart w:id="2" w:name="_Toc514941971"/>
      <w:bookmarkStart w:id="3" w:name="_Toc39839391"/>
      <w:r>
        <w:t>1.</w:t>
      </w:r>
      <w:r>
        <w:tab/>
      </w:r>
      <w:r>
        <w:rPr>
          <w:noProof/>
        </w:rPr>
        <w:t>РАМКА НА ПРЕДЛОЖЕНИЕТО/ИНИЦИАТИВАТА</w:t>
      </w:r>
      <w:bookmarkEnd w:id="2"/>
      <w:bookmarkEnd w:id="3"/>
      <w:r>
        <w:rPr>
          <w:noProof/>
        </w:rPr>
        <w:t xml:space="preserve"> </w:t>
      </w:r>
    </w:p>
    <w:p>
      <w:pPr>
        <w:pStyle w:val="ManualHeading2"/>
        <w:rPr>
          <w:noProof/>
        </w:rPr>
      </w:pPr>
      <w:bookmarkStart w:id="4" w:name="_Toc514941972"/>
      <w:bookmarkStart w:id="5" w:name="_Toc39839392"/>
      <w:r>
        <w:t>1.1.</w:t>
      </w:r>
      <w:r>
        <w:tab/>
      </w:r>
      <w:r>
        <w:rPr>
          <w:noProof/>
        </w:rPr>
        <w:t>Наименование на предложението/инициативата</w:t>
      </w:r>
      <w:bookmarkEnd w:id="4"/>
      <w:bookmarkEnd w:id="5"/>
      <w:r>
        <w:rPr>
          <w:noProof/>
        </w:rPr>
        <w:t xml:space="preserve">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bookmarkStart w:id="6" w:name="_Toc514941973"/>
      <w:bookmarkStart w:id="7" w:name="_Toc39839393"/>
      <w:r>
        <w:rPr>
          <w:noProof/>
        </w:rPr>
        <w:t>Изменено предложение за регламент на Европейския парламент и на Съвета за създаване на Фонд за справедлив преход</w:t>
      </w:r>
    </w:p>
    <w:p>
      <w:pPr>
        <w:pStyle w:val="ManualHeading2"/>
        <w:rPr>
          <w:noProof/>
        </w:rPr>
      </w:pPr>
      <w:r>
        <w:t>1.2.</w:t>
      </w:r>
      <w:r>
        <w:tab/>
      </w:r>
      <w:r>
        <w:rPr>
          <w:noProof/>
        </w:rPr>
        <w:t>Съответни области на политиката</w:t>
      </w:r>
      <w:r>
        <w:rPr>
          <w:i/>
          <w:noProof/>
        </w:rPr>
        <w:t xml:space="preserve"> (програмен клъстер)</w:t>
      </w:r>
      <w:bookmarkEnd w:id="6"/>
      <w:bookmarkEnd w:id="7"/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bookmarkStart w:id="8" w:name="_Toc514941974"/>
      <w:r>
        <w:rPr>
          <w:noProof/>
        </w:rPr>
        <w:t>9 Околна среда и действия в областта на климата (2021—2027 г.)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</w:p>
    <w:p>
      <w:pPr>
        <w:pStyle w:val="ManualHeading2"/>
        <w:rPr>
          <w:noProof/>
          <w:szCs w:val="24"/>
        </w:rPr>
      </w:pPr>
      <w:bookmarkStart w:id="9" w:name="_Toc39839394"/>
      <w:r>
        <w:t>1.3.</w:t>
      </w:r>
      <w:r>
        <w:tab/>
      </w:r>
      <w:r>
        <w:rPr>
          <w:noProof/>
        </w:rPr>
        <w:t>Предложението/инициативата е във връзка с:</w:t>
      </w:r>
      <w:bookmarkEnd w:id="8"/>
      <w:bookmarkEnd w:id="9"/>
      <w:r>
        <w:rPr>
          <w:noProof/>
        </w:rPr>
        <w:t xml:space="preserve"> </w:t>
      </w:r>
    </w:p>
    <w:p>
      <w:pPr>
        <w:ind w:left="850"/>
        <w:rPr>
          <w:b/>
          <w:noProof/>
          <w:sz w:val="22"/>
        </w:rPr>
      </w:pPr>
      <w:r>
        <w:rPr>
          <w:noProof/>
          <w:sz w:val="22"/>
        </w:rPr>
        <w:sym w:font="Wingdings" w:char="F0A8"/>
      </w:r>
      <w:r>
        <w:rPr>
          <w:i/>
          <w:noProof/>
          <w:sz w:val="22"/>
        </w:rPr>
        <w:t xml:space="preserve"> </w:t>
      </w:r>
      <w:r>
        <w:rPr>
          <w:b/>
          <w:noProof/>
        </w:rPr>
        <w:t>ново действие</w:t>
      </w:r>
      <w:r>
        <w:rPr>
          <w:b/>
          <w:noProof/>
          <w:sz w:val="22"/>
        </w:rPr>
        <w:t xml:space="preserve"> </w:t>
      </w:r>
    </w:p>
    <w:p>
      <w:pPr>
        <w:ind w:left="850"/>
        <w:rPr>
          <w:noProof/>
          <w:sz w:val="22"/>
        </w:rPr>
      </w:pPr>
      <w:r>
        <w:rPr>
          <w:noProof/>
          <w:sz w:val="22"/>
        </w:rPr>
        <w:sym w:font="Wingdings" w:char="F0A8"/>
      </w:r>
      <w:r>
        <w:rPr>
          <w:i/>
          <w:noProof/>
          <w:sz w:val="22"/>
        </w:rPr>
        <w:t xml:space="preserve"> </w:t>
      </w:r>
      <w:r>
        <w:rPr>
          <w:b/>
          <w:noProof/>
        </w:rPr>
        <w:t>ново действие след пилотен проект/подготвително действие</w:t>
      </w:r>
      <w:r>
        <w:rPr>
          <w:rStyle w:val="FootnoteReference"/>
          <w:b/>
          <w:noProof/>
        </w:rPr>
        <w:footnoteReference w:id="7"/>
      </w:r>
      <w:r>
        <w:rPr>
          <w:noProof/>
          <w:sz w:val="22"/>
        </w:rPr>
        <w:t xml:space="preserve"> </w:t>
      </w:r>
    </w:p>
    <w:p>
      <w:pPr>
        <w:ind w:left="850"/>
        <w:rPr>
          <w:noProof/>
          <w:sz w:val="22"/>
        </w:rPr>
      </w:pPr>
      <w:r>
        <w:rPr>
          <w:noProof/>
          <w:sz w:val="22"/>
        </w:rPr>
        <w:t>X</w:t>
      </w:r>
      <w:r>
        <w:rPr>
          <w:i/>
          <w:noProof/>
          <w:sz w:val="22"/>
        </w:rPr>
        <w:t xml:space="preserve"> </w:t>
      </w:r>
      <w:r>
        <w:rPr>
          <w:b/>
          <w:noProof/>
        </w:rPr>
        <w:t>продължаване на съществуващо действие</w:t>
      </w:r>
      <w:r>
        <w:rPr>
          <w:noProof/>
          <w:sz w:val="22"/>
        </w:rPr>
        <w:t xml:space="preserve"> </w:t>
      </w:r>
    </w:p>
    <w:p>
      <w:pPr>
        <w:ind w:left="850"/>
        <w:rPr>
          <w:noProof/>
        </w:rPr>
      </w:pPr>
      <w:r>
        <w:rPr>
          <w:noProof/>
          <w:sz w:val="22"/>
        </w:rPr>
        <w:sym w:font="Wingdings" w:char="F0A8"/>
      </w:r>
      <w:r>
        <w:rPr>
          <w:i/>
          <w:noProof/>
          <w:sz w:val="22"/>
        </w:rPr>
        <w:t xml:space="preserve"> </w:t>
      </w:r>
      <w:r>
        <w:rPr>
          <w:b/>
          <w:noProof/>
        </w:rPr>
        <w:t>сливане или пренасочване на едно или няколко действия към друго/ново действие</w:t>
      </w:r>
      <w:r>
        <w:rPr>
          <w:noProof/>
        </w:rPr>
        <w:t xml:space="preserve"> </w:t>
      </w:r>
    </w:p>
    <w:p>
      <w:pPr>
        <w:pStyle w:val="ManualHeading2"/>
        <w:rPr>
          <w:noProof/>
          <w:szCs w:val="24"/>
        </w:rPr>
      </w:pPr>
      <w:bookmarkStart w:id="10" w:name="_Toc514941975"/>
      <w:bookmarkStart w:id="11" w:name="_Toc39839395"/>
      <w:r>
        <w:t>1.4.</w:t>
      </w:r>
      <w:r>
        <w:tab/>
      </w:r>
      <w:r>
        <w:rPr>
          <w:noProof/>
        </w:rPr>
        <w:t>Мотиви за предложението/инициативата</w:t>
      </w:r>
      <w:bookmarkEnd w:id="10"/>
      <w:r>
        <w:rPr>
          <w:noProof/>
        </w:rPr>
        <w:t xml:space="preserve"> </w:t>
      </w:r>
      <w:bookmarkEnd w:id="11"/>
    </w:p>
    <w:p>
      <w:pPr>
        <w:pStyle w:val="ManualHeading3"/>
        <w:rPr>
          <w:rStyle w:val="Heading3Char"/>
          <w:i/>
          <w:noProof/>
          <w:lang w:val="bg-BG"/>
        </w:rPr>
      </w:pPr>
      <w:bookmarkStart w:id="12" w:name="_Toc514941976"/>
      <w:bookmarkStart w:id="13" w:name="_Toc39839396"/>
      <w:r>
        <w:rPr>
          <w:rStyle w:val="Heading3Char"/>
        </w:rPr>
        <w:t>1.4.1.</w:t>
      </w:r>
      <w:r>
        <w:rPr>
          <w:rStyle w:val="Heading3Char"/>
        </w:rPr>
        <w:tab/>
      </w:r>
      <w:r>
        <w:rPr>
          <w:noProof/>
        </w:rPr>
        <w:t xml:space="preserve">Изисквания, които трябва да бъдат изпълнени в краткосрочна или дългосрочна перспектива, включително </w:t>
      </w:r>
      <w:r>
        <w:rPr>
          <w:rStyle w:val="Heading3Char"/>
          <w:noProof/>
          <w:lang w:val="bg-BG"/>
        </w:rPr>
        <w:t>подробен график за изпълнението на инициативата</w:t>
      </w:r>
      <w:bookmarkEnd w:id="12"/>
      <w:bookmarkEnd w:id="13"/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Предлага се да се измени предложението за регламент за създаване на Фонд за справедлив преход, за да се гарантира ускоряването на необходимите инвестиции в екологичния преход с цел създаване на условия за дългосрочен растеж в Европа и постигане на устойчивост на европейската икономика към бъдещи сътресения. По тази причина се предлага да се предоставят допълнителни средства в размер на 35 613 048 000 EUR (по текущи цени) за Фонда за справедлив преход. От тези допълнителни средства 2 810 048 000 EUR следва да дойдат от бюджетни кредити, при което равнището на програмата в рамките на следващата МФР ще достигне 11 270 459 000 EUR; тези средства следва да бъдат разпределени в хода на текущите преговори на равнището на Европейския съвет. Останалите допълнителни средства от 32 803 000 000 EUR ще обхващат периода 2021—2024 г. и ще представляват външни целеви приходи по линия на Европейския инструмент за възстановяване.</w:t>
      </w:r>
    </w:p>
    <w:p>
      <w:pPr>
        <w:pStyle w:val="ManualHeading3"/>
        <w:rPr>
          <w:noProof/>
        </w:rPr>
      </w:pPr>
      <w:bookmarkStart w:id="14" w:name="_Toc514941977"/>
      <w:bookmarkStart w:id="15" w:name="_Toc39839397"/>
      <w:r>
        <w:t>1.4.2.</w:t>
      </w:r>
      <w:r>
        <w:tab/>
      </w:r>
      <w:r>
        <w:rPr>
          <w:noProof/>
        </w:rPr>
        <w:t>Добавена стойност от участието на Съюза (може да е в резултат от различни фактори, например ползи по отношение на координацията, правна сигурност, по-добра ефективност или взаимно допълване). За целите на тази точка „добавена стойност от участието на Съюза“ е стойността, която е резултат от намесата на ЕС и е допълнителна спрямо стойността, която би била създадена само от отделните държави членки.</w:t>
      </w:r>
      <w:bookmarkEnd w:id="14"/>
      <w:bookmarkEnd w:id="15"/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 xml:space="preserve">В съответствие с целта за постигане до 2050 г. по ефективен и справедлив начин на неутралност на ЕС по отношение на климата, Фондът за справедлив преход има за цел смекчаване на икономическото, екологичното и социалното въздействие на прехода към неутралност по отношение на климата в полза на териториите, които са най-силно засегнати от прехода. Подкрепата на фонда е насочена към мерки за икономическо преориентиране, преквалификация на засегнатите работници и съдействие при търсене на работа.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Вследствие на разпространението на коронавируса („COVID-19“) много правителства въведоха безпрецедентни мерки за ограничаване на пандемията. Това от своя страна доведе до рязък спад на равнището на производството в много икономики със сериозни социални последици. Това ще създаде значителни предизвикателства за публичните финанси и управлението на дълга през следващите години, което на свой ред може да ограничи публичните инвестиции, необходими за икономическото възстановяване.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Освен това националният и регионалният капацитет за преодоляване на последиците от кризата е различен в отделните държави членки и региони поради различните икономически структури и фискални позиции. Ако не бъдат взети мерки, тези разлики може да доведат до асиметрично възстановяване и увеличаване на регионалните различия, което от своя страна може да подкопае вътрешния пазар, финансовата стабилност на еврозоната и нашия Съюз като цяло.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Поради това, за да се предотврати увеличаването на различията и да се избегне неравномерният процес на възстановяване, е необходимо да се предостави допълнителна подкрепа в краткосрочен и средносрочен план на държавите членки и регионите, за да се помогне на техните икономики и общества да се справят със ситуацията и да се гарантира бързото и устойчиво възстановяване на техните икономики.</w:t>
      </w:r>
    </w:p>
    <w:p>
      <w:pPr>
        <w:pStyle w:val="ManualHeading3"/>
        <w:rPr>
          <w:noProof/>
        </w:rPr>
      </w:pPr>
      <w:bookmarkStart w:id="16" w:name="_Toc514941978"/>
      <w:bookmarkStart w:id="17" w:name="_Toc39839398"/>
      <w:r>
        <w:t>1.4.3.</w:t>
      </w:r>
      <w:r>
        <w:tab/>
      </w:r>
      <w:r>
        <w:rPr>
          <w:noProof/>
        </w:rPr>
        <w:t>Изводи от подобен опит в миналото</w:t>
      </w:r>
      <w:bookmarkEnd w:id="16"/>
      <w:bookmarkEnd w:id="17"/>
    </w:p>
    <w:p>
      <w:pPr>
        <w:pStyle w:val="ManualHeading3"/>
        <w:rPr>
          <w:noProof/>
        </w:rPr>
      </w:pPr>
      <w:bookmarkStart w:id="18" w:name="_Toc514941979"/>
      <w:bookmarkStart w:id="19" w:name="_Toc39839399"/>
      <w:r>
        <w:t>1.4.4.</w:t>
      </w:r>
      <w:r>
        <w:tab/>
      </w:r>
      <w:r>
        <w:rPr>
          <w:noProof/>
        </w:rPr>
        <w:t>Съгласуваност и възможни полезни взаимодействия с други актове</w:t>
      </w:r>
      <w:bookmarkEnd w:id="18"/>
      <w:bookmarkEnd w:id="19"/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 xml:space="preserve">Подкрепата, предоставяна чрез Фонда за справедлив преход, се допълва от специална схема за справедлив преход в рамките на InvestEU. Фондът ще подкрепя по-широк набор от инвестиции, по-специално като допринася за прехода чрез подкрепа за дейности с ниски нива на въглеродни емисии и устойчиви на изменението на климата дейности, като например инвестиции в енергия от възобновяеми източници и схеми за енергийна ефективност. Схемата ще може също така да мобилизира финансиране за енергийна и транспортна инфраструктура, включително газова инфраструктура и районни отоплителни системи, но също така проекти за декарбонизация, икономическа диверсификация на регионите и социална инфраструктура.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Освен това, нов механизъм за отпускане на заеми в публичния сектор, изпълняван с ЕИБ, ще осигури подкрепа за съчетаване на безвъзмездни средства от ЕС със заеми, предоставени от ЕИБ, за публични субекти с цел да се възползват най-силно засегнатите територии, посочени в териториалните планове за справедлив преход.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Ще бъдат осигурени полезни взаимодействия и взаимно допълване между трите стълба посредством териториалните планове за справедлив преход, при които ще бъдат определени нуждите за развитие на най-засегнатите територии, произтичащи от климатичния преход.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 xml:space="preserve">Предложението е ограничено до целенасочени изменения, необходими за целите на създаването на правила за предоставяне на допълнителните средства и управление на тяхното прилагане. Предложението е в съответствие с Регламента за общоприложимите разпоредби. Мерките са в съответствие с предложението на Комисията за Фонд за възстановяване.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Допълнителните суми ще бъдат разпределени между държавите членки в съответствие с техния капацитет за финансиране на необходимите инвестиции за справяне с прехода към неутралност по отношение на климата съобразно методиката, посочена в приложение I към предложения регламент за Фонд за справедлив преход. За да се запази капацитетът на държавите членки и регионите да използват отпуснатите им средства по линия на политиката на сближаване за подпомагане на икономическото, социалното и териториалното сближаване, допълнителните средства от Европейския инструмент за възстановяване няма да изискват трансфери от отпуснатите за отделните държави средства по линия на Европейския фонд за регионално развитие и Европейския социален фонд плюс.</w:t>
      </w:r>
    </w:p>
    <w:p>
      <w:pPr>
        <w:pStyle w:val="ManualHeading2"/>
        <w:rPr>
          <w:noProof/>
          <w:szCs w:val="24"/>
        </w:rPr>
      </w:pPr>
      <w:r>
        <w:rPr>
          <w:noProof/>
        </w:rPr>
        <w:br w:type="page"/>
      </w:r>
      <w:bookmarkStart w:id="20" w:name="_Toc514941980"/>
      <w:bookmarkStart w:id="21" w:name="_Toc39839400"/>
      <w:r>
        <w:t>1.5.</w:t>
      </w:r>
      <w:r>
        <w:tab/>
      </w:r>
      <w:r>
        <w:rPr>
          <w:noProof/>
        </w:rPr>
        <w:t>Срок на действие и финансово отражение</w:t>
      </w:r>
      <w:bookmarkEnd w:id="20"/>
      <w:bookmarkEnd w:id="21"/>
      <w:r>
        <w:rPr>
          <w:noProof/>
        </w:rPr>
        <w:t xml:space="preserve"> </w:t>
      </w:r>
    </w:p>
    <w:p>
      <w:pPr>
        <w:ind w:left="850"/>
        <w:rPr>
          <w:noProof/>
        </w:rPr>
      </w:pPr>
      <w:r>
        <w:rPr>
          <w:noProof/>
        </w:rPr>
        <w:t>X</w:t>
      </w:r>
      <w:r>
        <w:rPr>
          <w:b/>
          <w:i/>
          <w:noProof/>
        </w:rPr>
        <w:t xml:space="preserve"> </w:t>
      </w:r>
      <w:r>
        <w:rPr>
          <w:b/>
          <w:noProof/>
        </w:rPr>
        <w:t xml:space="preserve">ограничен срок на действие </w:t>
      </w:r>
    </w:p>
    <w:p>
      <w:pPr>
        <w:tabs>
          <w:tab w:val="num" w:pos="1134"/>
        </w:tabs>
        <w:ind w:left="1134" w:hanging="283"/>
        <w:rPr>
          <w:rFonts w:eastAsia="Times New Roman"/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в сила от [ДД/ММ]ГГГГ до [ДД/ММ]ГГГГ </w:t>
      </w:r>
    </w:p>
    <w:p>
      <w:pPr>
        <w:tabs>
          <w:tab w:val="num" w:pos="1134"/>
        </w:tabs>
        <w:ind w:left="1134" w:hanging="283"/>
        <w:rPr>
          <w:rFonts w:eastAsia="Times New Roman"/>
          <w:noProof/>
        </w:rPr>
      </w:pPr>
      <w:r>
        <w:rPr>
          <w:noProof/>
        </w:rPr>
        <w:t>X</w:t>
      </w:r>
      <w:r>
        <w:rPr>
          <w:noProof/>
        </w:rPr>
        <w:tab/>
        <w:t xml:space="preserve">Финансово отражение от 2021 г. до 2027 г. за бюджетните кредити за поети задължения и от 2021 г. до 2027 г. за бюджетните кредити за плащания. </w:t>
      </w:r>
    </w:p>
    <w:p>
      <w:pPr>
        <w:ind w:left="850"/>
        <w:rPr>
          <w:noProof/>
        </w:rPr>
      </w:pPr>
      <w:r>
        <w:rPr>
          <w:noProof/>
        </w:rPr>
        <w:sym w:font="Wingdings" w:char="F0A8"/>
      </w:r>
      <w:r>
        <w:rPr>
          <w:b/>
          <w:i/>
          <w:noProof/>
        </w:rPr>
        <w:t>.</w:t>
      </w:r>
      <w:r>
        <w:rPr>
          <w:b/>
          <w:noProof/>
        </w:rPr>
        <w:t>неограничен срок на действие</w:t>
      </w:r>
    </w:p>
    <w:p>
      <w:pPr>
        <w:tabs>
          <w:tab w:val="num" w:pos="1134"/>
        </w:tabs>
        <w:ind w:left="1134" w:hanging="283"/>
        <w:rPr>
          <w:rFonts w:eastAsia="Times New Roman"/>
          <w:noProof/>
        </w:rPr>
      </w:pPr>
      <w:r>
        <w:rPr>
          <w:noProof/>
        </w:rPr>
        <w:t>Изпълнение с период на започване на дейност от 2021 г. нататък,</w:t>
      </w:r>
    </w:p>
    <w:p>
      <w:pPr>
        <w:tabs>
          <w:tab w:val="num" w:pos="1134"/>
        </w:tabs>
        <w:ind w:left="1134" w:hanging="283"/>
        <w:rPr>
          <w:rFonts w:eastAsia="Times New Roman"/>
          <w:noProof/>
        </w:rPr>
      </w:pPr>
      <w:r>
        <w:rPr>
          <w:noProof/>
        </w:rPr>
        <w:t>последван от функциониране с пълен капацитет.</w:t>
      </w:r>
    </w:p>
    <w:p>
      <w:pPr>
        <w:pStyle w:val="ManualHeading2"/>
        <w:rPr>
          <w:noProof/>
          <w:szCs w:val="24"/>
        </w:rPr>
      </w:pPr>
      <w:bookmarkStart w:id="22" w:name="_Toc514941981"/>
      <w:bookmarkStart w:id="23" w:name="_Toc39839401"/>
      <w:r>
        <w:t>1.6.</w:t>
      </w:r>
      <w:r>
        <w:tab/>
      </w:r>
      <w:r>
        <w:rPr>
          <w:noProof/>
        </w:rPr>
        <w:t>Планирани методи на управление</w:t>
      </w:r>
      <w:bookmarkEnd w:id="22"/>
      <w:bookmarkEnd w:id="23"/>
      <w:r>
        <w:rPr>
          <w:rStyle w:val="FootnoteReference"/>
          <w:noProof/>
        </w:rPr>
        <w:footnoteReference w:id="8"/>
      </w:r>
      <w:r>
        <w:rPr>
          <w:noProof/>
          <w:vertAlign w:val="superscript"/>
        </w:rPr>
        <w:t xml:space="preserve"> </w:t>
      </w:r>
    </w:p>
    <w:p>
      <w:pPr>
        <w:ind w:left="850"/>
        <w:rPr>
          <w:noProof/>
        </w:rPr>
      </w:pPr>
      <w:r>
        <w:rPr>
          <w:noProof/>
        </w:rPr>
        <w:t>X</w:t>
      </w:r>
      <w:r>
        <w:rPr>
          <w:i/>
          <w:noProof/>
        </w:rPr>
        <w:t xml:space="preserve"> </w:t>
      </w:r>
      <w:r>
        <w:rPr>
          <w:b/>
          <w:noProof/>
        </w:rPr>
        <w:t>Пряко управление</w:t>
      </w:r>
      <w:r>
        <w:rPr>
          <w:noProof/>
        </w:rPr>
        <w:t xml:space="preserve"> от Комисията (за 0,35 % от разпределените средства за техническа помощ)</w:t>
      </w:r>
    </w:p>
    <w:p>
      <w:pPr>
        <w:tabs>
          <w:tab w:val="num" w:pos="1134"/>
        </w:tabs>
        <w:ind w:left="1134" w:hanging="283"/>
        <w:rPr>
          <w:rFonts w:eastAsia="Times New Roman" w:cs="EUAlbertina"/>
          <w:noProof/>
        </w:rPr>
      </w:pPr>
      <w:r>
        <w:rPr>
          <w:noProof/>
        </w:rPr>
        <w:t xml:space="preserve">X от нейните служби, включително от нейния персонал в делегациите на Съюза; </w:t>
      </w:r>
    </w:p>
    <w:p>
      <w:pPr>
        <w:tabs>
          <w:tab w:val="num" w:pos="1134"/>
        </w:tabs>
        <w:ind w:left="1134" w:hanging="283"/>
        <w:rPr>
          <w:rFonts w:eastAsia="Times New Roman"/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от изпълнителните агенции </w:t>
      </w:r>
    </w:p>
    <w:p>
      <w:pPr>
        <w:ind w:left="850"/>
        <w:rPr>
          <w:noProof/>
        </w:rPr>
      </w:pPr>
      <w:r>
        <w:rPr>
          <w:noProof/>
        </w:rPr>
        <w:t>X</w:t>
      </w:r>
      <w:r>
        <w:rPr>
          <w:b/>
          <w:i/>
          <w:noProof/>
        </w:rPr>
        <w:t xml:space="preserve"> </w:t>
      </w:r>
      <w:r>
        <w:rPr>
          <w:b/>
          <w:noProof/>
        </w:rPr>
        <w:t>Споделено управление</w:t>
      </w:r>
      <w:r>
        <w:rPr>
          <w:noProof/>
        </w:rPr>
        <w:t xml:space="preserve"> с държавите членки </w:t>
      </w:r>
    </w:p>
    <w:p>
      <w:pPr>
        <w:ind w:left="850"/>
        <w:rPr>
          <w:noProof/>
        </w:rPr>
      </w:pPr>
      <w:r>
        <w:rPr>
          <w:noProof/>
        </w:rPr>
        <w:sym w:font="Wingdings" w:char="F0A8"/>
      </w:r>
      <w:r>
        <w:rPr>
          <w:i/>
          <w:noProof/>
        </w:rPr>
        <w:t xml:space="preserve"> </w:t>
      </w:r>
      <w:r>
        <w:rPr>
          <w:b/>
          <w:noProof/>
        </w:rPr>
        <w:t>Непряко управление</w:t>
      </w:r>
      <w:r>
        <w:rPr>
          <w:noProof/>
        </w:rPr>
        <w:t xml:space="preserve"> чрез възлагане на задачи по изпълнението на бюджета на:</w:t>
      </w:r>
    </w:p>
    <w:p>
      <w:pPr>
        <w:tabs>
          <w:tab w:val="num" w:pos="1134"/>
        </w:tabs>
        <w:ind w:left="1134" w:hanging="283"/>
        <w:rPr>
          <w:rFonts w:eastAsia="Times New Roman"/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трети държави или определените от тях органи;</w:t>
      </w:r>
    </w:p>
    <w:p>
      <w:pPr>
        <w:tabs>
          <w:tab w:val="num" w:pos="1134"/>
        </w:tabs>
        <w:ind w:left="1134" w:hanging="283"/>
        <w:rPr>
          <w:rFonts w:eastAsia="Times New Roman"/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международни организации и техните агенции (да се уточни);</w:t>
      </w:r>
    </w:p>
    <w:p>
      <w:pPr>
        <w:tabs>
          <w:tab w:val="num" w:pos="1134"/>
        </w:tabs>
        <w:ind w:left="1134" w:hanging="283"/>
        <w:rPr>
          <w:rFonts w:eastAsia="Times New Roman"/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ЕИБ и Европейския инвестиционен фонд;</w:t>
      </w:r>
    </w:p>
    <w:p>
      <w:pPr>
        <w:tabs>
          <w:tab w:val="num" w:pos="1134"/>
        </w:tabs>
        <w:ind w:left="1134" w:hanging="283"/>
        <w:rPr>
          <w:rFonts w:eastAsia="Times New Roman"/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органите, посочени в членове 70 и 71 от Финансовия регламент;</w:t>
      </w:r>
    </w:p>
    <w:p>
      <w:pPr>
        <w:tabs>
          <w:tab w:val="num" w:pos="1134"/>
        </w:tabs>
        <w:ind w:left="1134" w:hanging="283"/>
        <w:rPr>
          <w:rFonts w:eastAsia="Times New Roman"/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публичноправни органи;</w:t>
      </w:r>
    </w:p>
    <w:p>
      <w:pPr>
        <w:tabs>
          <w:tab w:val="num" w:pos="1134"/>
        </w:tabs>
        <w:ind w:left="1134" w:hanging="283"/>
        <w:rPr>
          <w:rFonts w:eastAsia="Times New Roman"/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частноправни органи със задължение за обществена услуга, доколкото предоставят подходящи финансови гаранции;</w:t>
      </w:r>
    </w:p>
    <w:p>
      <w:pPr>
        <w:tabs>
          <w:tab w:val="num" w:pos="1134"/>
        </w:tabs>
        <w:ind w:left="1134" w:hanging="283"/>
        <w:rPr>
          <w:rFonts w:eastAsia="Times New Roman"/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органи, уредени в частното право на държава членка, на които е възложено осъществяването на публично-частно партньорство и които предоставят подходящи финансови гаранции;</w:t>
      </w:r>
    </w:p>
    <w:p>
      <w:pPr>
        <w:tabs>
          <w:tab w:val="num" w:pos="1134"/>
        </w:tabs>
        <w:ind w:left="1134" w:hanging="283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лица, на които е възложено изпълнението на специфични дейности в областта на ОВППС съгласно дял V от ДЕС и които са посочени в съответния основен акт.</w:t>
      </w:r>
    </w:p>
    <w:p>
      <w:pPr>
        <w:rPr>
          <w:noProof/>
        </w:rPr>
        <w:sectPr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ManualHeading1"/>
        <w:rPr>
          <w:noProof/>
          <w:szCs w:val="24"/>
        </w:rPr>
      </w:pPr>
      <w:bookmarkStart w:id="24" w:name="_Toc514941982"/>
      <w:bookmarkStart w:id="25" w:name="_Toc39837055"/>
      <w:bookmarkStart w:id="26" w:name="_Toc39839402"/>
      <w:r>
        <w:t>2.</w:t>
      </w:r>
      <w:r>
        <w:tab/>
      </w:r>
      <w:r>
        <w:rPr>
          <w:noProof/>
        </w:rPr>
        <w:t>МЕРКИ ЗА УПРАВЛЕНИЕ</w:t>
      </w:r>
      <w:bookmarkEnd w:id="24"/>
      <w:bookmarkEnd w:id="25"/>
      <w:bookmarkEnd w:id="26"/>
      <w:r>
        <w:rPr>
          <w:noProof/>
        </w:rPr>
        <w:t xml:space="preserve"> </w:t>
      </w:r>
    </w:p>
    <w:p>
      <w:pPr>
        <w:pStyle w:val="ManualHeading2"/>
        <w:rPr>
          <w:noProof/>
        </w:rPr>
      </w:pPr>
      <w:bookmarkStart w:id="27" w:name="_Toc514941983"/>
      <w:bookmarkStart w:id="28" w:name="_Toc39837056"/>
      <w:bookmarkStart w:id="29" w:name="_Toc39839403"/>
      <w:r>
        <w:t>2.1.</w:t>
      </w:r>
      <w:r>
        <w:tab/>
      </w:r>
      <w:r>
        <w:rPr>
          <w:noProof/>
        </w:rPr>
        <w:t>Правила за мониторинг и докладване</w:t>
      </w:r>
      <w:bookmarkEnd w:id="27"/>
      <w:bookmarkEnd w:id="28"/>
      <w:bookmarkEnd w:id="29"/>
      <w:r>
        <w:rPr>
          <w:noProof/>
        </w:rPr>
        <w:t xml:space="preserve"> </w:t>
      </w:r>
    </w:p>
    <w:p>
      <w:pPr>
        <w:ind w:left="850"/>
        <w:rPr>
          <w:i/>
          <w:noProof/>
          <w:sz w:val="20"/>
        </w:rPr>
      </w:pPr>
      <w:r>
        <w:rPr>
          <w:i/>
          <w:noProof/>
          <w:sz w:val="20"/>
        </w:rPr>
        <w:t>Да се посочат честотата и условията.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Предложението е ограничено до и има за цел да определи необходимите правила, които трябва да се спазват, за да се предоставят допълнителните средства. Тези правила не надхвърлят необходимото за предоставянето на допълнителни средства и определят правилата, приложими за използването на тези средства.</w:t>
      </w:r>
    </w:p>
    <w:p>
      <w:pPr>
        <w:pStyle w:val="ManualHeading2"/>
        <w:rPr>
          <w:noProof/>
          <w:szCs w:val="24"/>
        </w:rPr>
      </w:pPr>
      <w:bookmarkStart w:id="30" w:name="_Toc514941984"/>
      <w:bookmarkStart w:id="31" w:name="_Toc39837057"/>
      <w:bookmarkStart w:id="32" w:name="_Toc39839404"/>
      <w:r>
        <w:t>2.2.</w:t>
      </w:r>
      <w:r>
        <w:tab/>
      </w:r>
      <w:r>
        <w:rPr>
          <w:noProof/>
        </w:rPr>
        <w:t>Системи за управление и контрол</w:t>
      </w:r>
      <w:bookmarkEnd w:id="30"/>
      <w:bookmarkEnd w:id="31"/>
      <w:bookmarkEnd w:id="32"/>
      <w:r>
        <w:rPr>
          <w:noProof/>
        </w:rPr>
        <w:t xml:space="preserve">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 xml:space="preserve">Предложението е ограничено до и има за цел определянето на необходимите правила, които трябва да се спазват, за да се предоставят допълнителните средства. Тези правила не надхвърлят необходимото за предоставянето на допълнителни средства и определят правилата, приложими за използването на тези средства. </w:t>
      </w:r>
    </w:p>
    <w:p>
      <w:pPr>
        <w:pStyle w:val="ManualHeading2"/>
        <w:rPr>
          <w:noProof/>
          <w:szCs w:val="24"/>
        </w:rPr>
      </w:pPr>
      <w:bookmarkStart w:id="33" w:name="_Toc514941988"/>
      <w:bookmarkStart w:id="34" w:name="_Toc39837061"/>
      <w:bookmarkStart w:id="35" w:name="_Toc39839408"/>
      <w:r>
        <w:t>2.3.</w:t>
      </w:r>
      <w:r>
        <w:tab/>
      </w:r>
      <w:r>
        <w:rPr>
          <w:noProof/>
        </w:rPr>
        <w:t>Мерки за предотвратяване на измами и нередности</w:t>
      </w:r>
      <w:bookmarkEnd w:id="33"/>
      <w:bookmarkEnd w:id="34"/>
      <w:bookmarkEnd w:id="35"/>
      <w:r>
        <w:rPr>
          <w:noProof/>
        </w:rPr>
        <w:t xml:space="preserve"> </w:t>
      </w:r>
    </w:p>
    <w:p>
      <w:pPr>
        <w:ind w:left="850"/>
        <w:rPr>
          <w:i/>
          <w:noProof/>
          <w:sz w:val="20"/>
        </w:rPr>
      </w:pPr>
      <w:r>
        <w:rPr>
          <w:i/>
          <w:noProof/>
          <w:sz w:val="20"/>
        </w:rPr>
        <w:t>Да се посочат съществуващите или планираните мерки за превенция и защита, например от стратегията за борба с измамите.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Предложението е ограничено до и има за цел определянето на необходимите правила, които трябва да се спазват, за да се предоставят допълнителните средства. Тези правила не надхвърлят необходимото за предоставянето на допълнителни средства и определят правилата, приложими за използването на тези средства.</w:t>
      </w:r>
    </w:p>
    <w:p>
      <w:pPr>
        <w:pStyle w:val="ManualHeading1"/>
        <w:rPr>
          <w:noProof/>
          <w:szCs w:val="24"/>
        </w:rPr>
      </w:pPr>
      <w:bookmarkStart w:id="36" w:name="_Toc514941989"/>
      <w:bookmarkStart w:id="37" w:name="_Toc39839409"/>
      <w:r>
        <w:t>3.</w:t>
      </w:r>
      <w:r>
        <w:tab/>
      </w:r>
      <w:r>
        <w:rPr>
          <w:noProof/>
        </w:rPr>
        <w:t>ОЧАКВАНО ФИНАНСОВО ОТРАЖЕНИЕ НА ПРЕДЛОЖЕНИЕТО/ИНИЦИАТИВАТА</w:t>
      </w:r>
      <w:bookmarkEnd w:id="36"/>
      <w:bookmarkEnd w:id="37"/>
      <w:r>
        <w:rPr>
          <w:noProof/>
        </w:rPr>
        <w:t xml:space="preserve"> </w:t>
      </w:r>
    </w:p>
    <w:p>
      <w:pPr>
        <w:pStyle w:val="ManualHeading2"/>
        <w:rPr>
          <w:noProof/>
        </w:rPr>
      </w:pPr>
      <w:bookmarkStart w:id="38" w:name="_Toc514941990"/>
      <w:bookmarkStart w:id="39" w:name="_Toc39839410"/>
      <w:r>
        <w:t>3.1.</w:t>
      </w:r>
      <w:r>
        <w:tab/>
      </w:r>
      <w:r>
        <w:rPr>
          <w:noProof/>
        </w:rPr>
        <w:t>Функция от многогодишната финансова рамка и предложени нови разходни бюджетни редове</w:t>
      </w:r>
      <w:bookmarkEnd w:id="38"/>
      <w:bookmarkEnd w:id="39"/>
      <w:r>
        <w:rPr>
          <w:noProof/>
        </w:rPr>
        <w:t xml:space="preserve"> </w:t>
      </w:r>
    </w:p>
    <w:tbl>
      <w:tblPr>
        <w:tblW w:w="10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960"/>
        <w:gridCol w:w="1080"/>
        <w:gridCol w:w="1044"/>
        <w:gridCol w:w="1134"/>
        <w:gridCol w:w="814"/>
        <w:gridCol w:w="1448"/>
      </w:tblGrid>
      <w:tr>
        <w:tc>
          <w:tcPr>
            <w:tcW w:w="1080" w:type="dxa"/>
            <w:vMerge w:val="restart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18"/>
              </w:rPr>
              <w:t>Функция от многогодишната финансова рамка</w:t>
            </w:r>
          </w:p>
        </w:tc>
        <w:tc>
          <w:tcPr>
            <w:tcW w:w="3960" w:type="dxa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20"/>
              </w:rPr>
              <w:t>Бюджетен ред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18"/>
              </w:rPr>
              <w:t xml:space="preserve">Вид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  <w:sz w:val="18"/>
              </w:rPr>
              <w:t>разход</w:t>
            </w:r>
          </w:p>
        </w:tc>
        <w:tc>
          <w:tcPr>
            <w:tcW w:w="4440" w:type="dxa"/>
            <w:gridSpan w:val="4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20"/>
              </w:rPr>
              <w:t xml:space="preserve">Финансов принос </w:t>
            </w:r>
          </w:p>
        </w:tc>
      </w:tr>
      <w:tr>
        <w:tc>
          <w:tcPr>
            <w:tcW w:w="1080" w:type="dxa"/>
            <w:vMerge/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960" w:type="dxa"/>
            <w:vAlign w:val="center"/>
          </w:tcPr>
          <w:p>
            <w:pPr>
              <w:rPr>
                <w:noProof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18"/>
              </w:rPr>
              <w:t>Многогод./едногод.</w:t>
            </w:r>
            <w:r>
              <w:rPr>
                <w:rStyle w:val="FootnoteReference"/>
                <w:noProof/>
                <w:sz w:val="18"/>
              </w:rPr>
              <w:footnoteReference w:id="9"/>
            </w:r>
            <w:r>
              <w:rPr>
                <w:noProof/>
              </w:rPr>
              <w:t xml:space="preserve"> 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18"/>
              </w:rPr>
              <w:t>от държави от ЕАСТ</w:t>
            </w:r>
            <w:r>
              <w:rPr>
                <w:rStyle w:val="FootnoteReference"/>
                <w:noProof/>
                <w:sz w:val="18"/>
              </w:rPr>
              <w:footnoteReference w:id="10"/>
            </w:r>
          </w:p>
          <w:p>
            <w:pPr>
              <w:spacing w:before="0" w:after="0"/>
              <w:jc w:val="center"/>
              <w:rPr>
                <w:b/>
                <w:noProof/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18"/>
              </w:rPr>
              <w:t>от държави кандидатки</w:t>
            </w:r>
            <w:r>
              <w:rPr>
                <w:rStyle w:val="FootnoteReference"/>
                <w:noProof/>
                <w:sz w:val="18"/>
              </w:rPr>
              <w:footnoteReference w:id="11"/>
            </w:r>
          </w:p>
          <w:p>
            <w:pPr>
              <w:spacing w:before="0" w:after="0"/>
              <w:jc w:val="center"/>
              <w:rPr>
                <w:noProof/>
                <w:sz w:val="18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 трети държави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16"/>
              </w:rPr>
              <w:t xml:space="preserve">по смисъла на член [21, параграф 2, буква б)] от Финансовия регламент </w:t>
            </w:r>
          </w:p>
        </w:tc>
      </w:tr>
      <w:tr>
        <w:tc>
          <w:tcPr>
            <w:tcW w:w="1080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960" w:type="dxa"/>
            <w:vAlign w:val="center"/>
          </w:tcPr>
          <w:p>
            <w:pPr>
              <w:spacing w:after="60"/>
              <w:rPr>
                <w:noProof/>
              </w:rPr>
            </w:pPr>
            <w:r>
              <w:rPr>
                <w:noProof/>
                <w:sz w:val="22"/>
              </w:rPr>
              <w:t>09 01 02 Разходи за подкрепа за Фонда за справедлив преход (ФСП)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color w:val="0000FF"/>
              </w:rPr>
            </w:pPr>
            <w:r>
              <w:rPr>
                <w:noProof/>
                <w:sz w:val="22"/>
              </w:rPr>
              <w:t>Едногод.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НЕ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НЕ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НЕ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НЕ</w:t>
            </w:r>
          </w:p>
        </w:tc>
      </w:tr>
      <w:tr>
        <w:tc>
          <w:tcPr>
            <w:tcW w:w="1080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960" w:type="dxa"/>
            <w:vAlign w:val="center"/>
          </w:tcPr>
          <w:p>
            <w:pPr>
              <w:spacing w:before="6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09 03 02 Фонд за справедлив преход (ФСП) — Оперативна техническа помощ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Многогод.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НЕ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НЕ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НЕ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НЕ</w:t>
            </w:r>
          </w:p>
        </w:tc>
      </w:tr>
      <w:tr>
        <w:tc>
          <w:tcPr>
            <w:tcW w:w="1080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960" w:type="dxa"/>
            <w:vAlign w:val="center"/>
          </w:tcPr>
          <w:p>
            <w:pPr>
              <w:spacing w:before="60"/>
              <w:rPr>
                <w:noProof/>
              </w:rPr>
            </w:pPr>
            <w:r>
              <w:rPr>
                <w:noProof/>
              </w:rPr>
              <w:t>09 03 03 – ФСП, финансиран от ЕИВ</w:t>
            </w:r>
          </w:p>
          <w:p>
            <w:pPr>
              <w:spacing w:before="60"/>
              <w:rPr>
                <w:noProof/>
                <w:sz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Многогод.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НЕ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НЕ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НЕ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НЕ</w:t>
            </w:r>
          </w:p>
        </w:tc>
      </w:tr>
    </w:tbl>
    <w:p>
      <w:pPr>
        <w:rPr>
          <w:noProof/>
        </w:rPr>
        <w:sectPr>
          <w:pgSz w:w="11907" w:h="16840" w:code="1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ManualHeading2"/>
        <w:rPr>
          <w:noProof/>
          <w:szCs w:val="24"/>
        </w:rPr>
      </w:pPr>
      <w:bookmarkStart w:id="40" w:name="_Toc514941991"/>
      <w:bookmarkStart w:id="41" w:name="_Toc39839411"/>
      <w:r>
        <w:t>3.2.</w:t>
      </w:r>
      <w:r>
        <w:tab/>
      </w:r>
      <w:r>
        <w:rPr>
          <w:noProof/>
        </w:rPr>
        <w:t>Очаквано отражение върху разходите</w:t>
      </w:r>
      <w:bookmarkEnd w:id="40"/>
      <w:bookmarkEnd w:id="41"/>
      <w:r>
        <w:rPr>
          <w:noProof/>
        </w:rPr>
        <w:t xml:space="preserve"> </w:t>
      </w:r>
    </w:p>
    <w:p>
      <w:pPr>
        <w:pStyle w:val="ManualHeading3"/>
        <w:rPr>
          <w:noProof/>
          <w:u w:val="single"/>
        </w:rPr>
      </w:pPr>
      <w:bookmarkStart w:id="42" w:name="_Toc514941992"/>
      <w:bookmarkStart w:id="43" w:name="_Toc39839412"/>
      <w:r>
        <w:t>3.2.1.</w:t>
      </w:r>
      <w:r>
        <w:tab/>
      </w:r>
      <w:r>
        <w:rPr>
          <w:noProof/>
        </w:rPr>
        <w:t>Обобщение на очакваното отражение върху разходите</w:t>
      </w:r>
      <w:bookmarkEnd w:id="42"/>
      <w:bookmarkEnd w:id="43"/>
      <w:r>
        <w:rPr>
          <w:noProof/>
        </w:rPr>
        <w:t xml:space="preserve"> </w:t>
      </w:r>
    </w:p>
    <w:p>
      <w:pPr>
        <w:jc w:val="right"/>
        <w:rPr>
          <w:noProof/>
          <w:sz w:val="20"/>
        </w:rPr>
      </w:pPr>
      <w:r>
        <w:rPr>
          <w:noProof/>
          <w:sz w:val="20"/>
        </w:rPr>
        <w:t>млн. евро (до третия знак след десетичната запетая)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1080"/>
        <w:gridCol w:w="7817"/>
      </w:tblGrid>
      <w:tr>
        <w:trPr>
          <w:jc w:val="center"/>
        </w:trPr>
        <w:tc>
          <w:tcPr>
            <w:tcW w:w="4744" w:type="dxa"/>
            <w:shd w:val="thinDiagStripe" w:color="C0C0C0" w:fill="auto"/>
            <w:vAlign w:val="center"/>
          </w:tcPr>
          <w:p>
            <w:pPr>
              <w:spacing w:before="60" w:after="6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2"/>
              </w:rPr>
              <w:t xml:space="preserve">Функция от многогодишната финансова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22"/>
              </w:rPr>
              <w:t xml:space="preserve">рамка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b/>
                <w:noProof/>
                <w:sz w:val="22"/>
              </w:rPr>
              <w:t>3</w:t>
            </w:r>
          </w:p>
        </w:tc>
        <w:tc>
          <w:tcPr>
            <w:tcW w:w="7817" w:type="dxa"/>
            <w:vAlign w:val="center"/>
          </w:tcPr>
          <w:p>
            <w:pPr>
              <w:spacing w:before="60" w:after="60"/>
              <w:jc w:val="left"/>
              <w:rPr>
                <w:noProof/>
              </w:rPr>
            </w:pPr>
          </w:p>
        </w:tc>
      </w:tr>
    </w:tbl>
    <w:p>
      <w:pPr>
        <w:rPr>
          <w:i/>
          <w:iCs/>
          <w:noProof/>
        </w:rPr>
      </w:pPr>
      <w:r>
        <w:rPr>
          <w:i/>
          <w:iCs/>
          <w:noProof/>
        </w:rPr>
        <w:t>Предложението ще доведе до допълнителни бюджетни задължения за годините 2021—2027, както и до плащания за годините 2021—2027 и за периода след 2027 г.</w:t>
      </w:r>
    </w:p>
    <w:p>
      <w:pPr>
        <w:rPr>
          <w:i/>
          <w:iCs/>
          <w:noProof/>
        </w:rPr>
      </w:pPr>
      <w:r>
        <w:rPr>
          <w:i/>
          <w:iCs/>
          <w:noProof/>
        </w:rPr>
        <w:t xml:space="preserve">От тези допълнителни средства 2 810 048 000 EUR следва да дойдат от бюджетни кредити, при което равнището на програмата в рамките на следващата МФР ще достигне 11 270 459 000 EUR по текущи цени; тези средства следва да бъдат разпределени в хода на текущите преговори на равнището на Европейския съвет. </w:t>
      </w:r>
    </w:p>
    <w:p>
      <w:pPr>
        <w:rPr>
          <w:i/>
          <w:iCs/>
          <w:noProof/>
        </w:rPr>
      </w:pPr>
      <w:r>
        <w:rPr>
          <w:i/>
          <w:iCs/>
          <w:noProof/>
        </w:rPr>
        <w:t>Останалите допълнителни средства ще обхващат периода 2021—2024 г. и ще представляват външни целеви приходи по линия на Европейския инструмент за възстановяване.</w:t>
      </w:r>
      <w:r>
        <w:rPr>
          <w:noProof/>
        </w:rPr>
        <w:t xml:space="preserve"> </w:t>
      </w:r>
      <w:r>
        <w:rPr>
          <w:i/>
          <w:iCs/>
          <w:noProof/>
        </w:rPr>
        <w:t>Наличните суми като външни целеви приходи по смисъла на член 21, параграф 5 от Финансовия регламент произтичат от операциите на Съюза по получаване на заем, както е посочено в Регламент (ЕС) XXX/XX (Регламента за ЕИВ). От външните целеви приходи до 15 600 000 EUR може да бъдат предназначени за административни разходи, включително разходи за външен персонал.</w:t>
      </w:r>
    </w:p>
    <w:p>
      <w:pPr>
        <w:rPr>
          <w:i/>
          <w:iCs/>
          <w:noProof/>
        </w:rPr>
      </w:pPr>
      <w:r>
        <w:rPr>
          <w:i/>
          <w:iCs/>
          <w:noProof/>
        </w:rPr>
        <w:t>Ориентировъчното разпределение на бюджетните кредити, финансирани по МФР за периода 2021—2027 г., е следното:</w:t>
      </w:r>
    </w:p>
    <w:tbl>
      <w:tblPr>
        <w:tblW w:w="1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3"/>
        <w:gridCol w:w="1440"/>
        <w:gridCol w:w="654"/>
        <w:gridCol w:w="868"/>
        <w:gridCol w:w="868"/>
        <w:gridCol w:w="868"/>
        <w:gridCol w:w="868"/>
        <w:gridCol w:w="868"/>
        <w:gridCol w:w="868"/>
        <w:gridCol w:w="868"/>
        <w:gridCol w:w="1289"/>
        <w:gridCol w:w="1289"/>
      </w:tblGrid>
      <w:tr>
        <w:trPr>
          <w:jc w:val="center"/>
        </w:trPr>
        <w:tc>
          <w:tcPr>
            <w:tcW w:w="61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2021 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2022 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2023 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2024 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2025 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2026 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2027 г.</w:t>
            </w:r>
          </w:p>
        </w:tc>
        <w:tc>
          <w:tcPr>
            <w:tcW w:w="1289" w:type="dxa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След 2027 г.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ОБЩО</w:t>
            </w:r>
          </w:p>
        </w:tc>
      </w:tr>
      <w:tr>
        <w:trPr>
          <w:trHeight w:val="433"/>
          <w:jc w:val="center"/>
        </w:trPr>
        <w:tc>
          <w:tcPr>
            <w:tcW w:w="4103" w:type="dxa"/>
            <w:vMerge w:val="restart"/>
            <w:vAlign w:val="center"/>
          </w:tcPr>
          <w:p>
            <w:pPr>
              <w:rPr>
                <w:noProof/>
              </w:rPr>
            </w:pPr>
            <w:r>
              <w:rPr>
                <w:noProof/>
                <w:sz w:val="20"/>
              </w:rPr>
              <w:t xml:space="preserve">Бюджетни кредити за оперативни разходи </w:t>
            </w:r>
          </w:p>
        </w:tc>
        <w:tc>
          <w:tcPr>
            <w:tcW w:w="1440" w:type="dxa"/>
            <w:vAlign w:val="center"/>
          </w:tcPr>
          <w:p>
            <w:pPr>
              <w:spacing w:before="20" w:after="20"/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vAlign w:val="center"/>
          </w:tcPr>
          <w:p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(1)</w:t>
            </w:r>
          </w:p>
        </w:tc>
        <w:tc>
          <w:tcPr>
            <w:tcW w:w="868" w:type="dxa"/>
          </w:tcPr>
          <w:p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416,600</w:t>
            </w:r>
          </w:p>
        </w:tc>
        <w:tc>
          <w:tcPr>
            <w:tcW w:w="868" w:type="dxa"/>
          </w:tcPr>
          <w:p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413,025</w:t>
            </w:r>
          </w:p>
        </w:tc>
        <w:tc>
          <w:tcPr>
            <w:tcW w:w="868" w:type="dxa"/>
          </w:tcPr>
          <w:p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408,037</w:t>
            </w:r>
          </w:p>
        </w:tc>
        <w:tc>
          <w:tcPr>
            <w:tcW w:w="868" w:type="dxa"/>
          </w:tcPr>
          <w:p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402,684</w:t>
            </w:r>
          </w:p>
        </w:tc>
        <w:tc>
          <w:tcPr>
            <w:tcW w:w="868" w:type="dxa"/>
          </w:tcPr>
          <w:p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396,953</w:t>
            </w:r>
          </w:p>
        </w:tc>
        <w:tc>
          <w:tcPr>
            <w:tcW w:w="868" w:type="dxa"/>
          </w:tcPr>
          <w:p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390,832</w:t>
            </w:r>
          </w:p>
        </w:tc>
        <w:tc>
          <w:tcPr>
            <w:tcW w:w="868" w:type="dxa"/>
          </w:tcPr>
          <w:p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381,917</w:t>
            </w:r>
          </w:p>
        </w:tc>
        <w:tc>
          <w:tcPr>
            <w:tcW w:w="128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2 810,048</w:t>
            </w:r>
          </w:p>
        </w:tc>
      </w:tr>
      <w:tr>
        <w:trPr>
          <w:trHeight w:val="411"/>
          <w:jc w:val="center"/>
        </w:trPr>
        <w:tc>
          <w:tcPr>
            <w:tcW w:w="4103" w:type="dxa"/>
            <w:vMerge/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20" w:after="20"/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vAlign w:val="center"/>
          </w:tcPr>
          <w:p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(2)</w:t>
            </w:r>
          </w:p>
        </w:tc>
        <w:tc>
          <w:tcPr>
            <w:tcW w:w="868" w:type="dxa"/>
          </w:tcPr>
          <w:p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60,055</w:t>
            </w:r>
          </w:p>
        </w:tc>
        <w:tc>
          <w:tcPr>
            <w:tcW w:w="868" w:type="dxa"/>
          </w:tcPr>
          <w:p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343,229</w:t>
            </w:r>
          </w:p>
        </w:tc>
        <w:tc>
          <w:tcPr>
            <w:tcW w:w="868" w:type="dxa"/>
          </w:tcPr>
          <w:p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444,024</w:t>
            </w:r>
          </w:p>
        </w:tc>
        <w:tc>
          <w:tcPr>
            <w:tcW w:w="868" w:type="dxa"/>
          </w:tcPr>
          <w:p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343,665</w:t>
            </w:r>
          </w:p>
        </w:tc>
        <w:tc>
          <w:tcPr>
            <w:tcW w:w="868" w:type="dxa"/>
          </w:tcPr>
          <w:p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409,011</w:t>
            </w:r>
          </w:p>
        </w:tc>
        <w:tc>
          <w:tcPr>
            <w:tcW w:w="868" w:type="dxa"/>
          </w:tcPr>
          <w:p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461,055</w:t>
            </w:r>
          </w:p>
        </w:tc>
        <w:tc>
          <w:tcPr>
            <w:tcW w:w="1289" w:type="dxa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749,008</w:t>
            </w:r>
          </w:p>
        </w:tc>
        <w:tc>
          <w:tcPr>
            <w:tcW w:w="1289" w:type="dxa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2 810,048</w:t>
            </w:r>
          </w:p>
        </w:tc>
      </w:tr>
      <w:tr>
        <w:trPr>
          <w:jc w:val="center"/>
        </w:trPr>
        <w:tc>
          <w:tcPr>
            <w:tcW w:w="4103" w:type="dxa"/>
            <w:vMerge w:val="restart"/>
            <w:vAlign w:val="center"/>
          </w:tcPr>
          <w:p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  <w:sz w:val="22"/>
              </w:rPr>
              <w:t xml:space="preserve">ОБЩО бюджетни кредити 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=1+3</w:t>
            </w:r>
          </w:p>
        </w:tc>
        <w:tc>
          <w:tcPr>
            <w:tcW w:w="868" w:type="dxa"/>
          </w:tcPr>
          <w:p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416,600</w:t>
            </w:r>
          </w:p>
        </w:tc>
        <w:tc>
          <w:tcPr>
            <w:tcW w:w="868" w:type="dxa"/>
          </w:tcPr>
          <w:p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413,025</w:t>
            </w:r>
          </w:p>
        </w:tc>
        <w:tc>
          <w:tcPr>
            <w:tcW w:w="868" w:type="dxa"/>
          </w:tcPr>
          <w:p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408,037</w:t>
            </w:r>
          </w:p>
        </w:tc>
        <w:tc>
          <w:tcPr>
            <w:tcW w:w="868" w:type="dxa"/>
          </w:tcPr>
          <w:p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402,684</w:t>
            </w:r>
          </w:p>
        </w:tc>
        <w:tc>
          <w:tcPr>
            <w:tcW w:w="868" w:type="dxa"/>
          </w:tcPr>
          <w:p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396,953</w:t>
            </w:r>
          </w:p>
        </w:tc>
        <w:tc>
          <w:tcPr>
            <w:tcW w:w="868" w:type="dxa"/>
          </w:tcPr>
          <w:p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390,832</w:t>
            </w:r>
          </w:p>
        </w:tc>
        <w:tc>
          <w:tcPr>
            <w:tcW w:w="868" w:type="dxa"/>
          </w:tcPr>
          <w:p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381,917</w:t>
            </w:r>
          </w:p>
        </w:tc>
        <w:tc>
          <w:tcPr>
            <w:tcW w:w="1289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noProof/>
              </w:rPr>
            </w:pPr>
            <w:r>
              <w:rPr>
                <w:b/>
                <w:noProof/>
              </w:rPr>
              <w:t>2 810,048</w:t>
            </w:r>
          </w:p>
        </w:tc>
      </w:tr>
      <w:tr>
        <w:trPr>
          <w:jc w:val="center"/>
        </w:trPr>
        <w:tc>
          <w:tcPr>
            <w:tcW w:w="4103" w:type="dxa"/>
            <w:vMerge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=2+3</w:t>
            </w:r>
          </w:p>
        </w:tc>
        <w:tc>
          <w:tcPr>
            <w:tcW w:w="868" w:type="dxa"/>
          </w:tcPr>
          <w:p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60,055</w:t>
            </w:r>
          </w:p>
        </w:tc>
        <w:tc>
          <w:tcPr>
            <w:tcW w:w="868" w:type="dxa"/>
          </w:tcPr>
          <w:p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343,229</w:t>
            </w:r>
          </w:p>
        </w:tc>
        <w:tc>
          <w:tcPr>
            <w:tcW w:w="868" w:type="dxa"/>
          </w:tcPr>
          <w:p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444,024</w:t>
            </w:r>
          </w:p>
        </w:tc>
        <w:tc>
          <w:tcPr>
            <w:tcW w:w="868" w:type="dxa"/>
          </w:tcPr>
          <w:p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343,665</w:t>
            </w:r>
          </w:p>
        </w:tc>
        <w:tc>
          <w:tcPr>
            <w:tcW w:w="868" w:type="dxa"/>
          </w:tcPr>
          <w:p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409,011</w:t>
            </w:r>
          </w:p>
        </w:tc>
        <w:tc>
          <w:tcPr>
            <w:tcW w:w="868" w:type="dxa"/>
          </w:tcPr>
          <w:p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461,055</w:t>
            </w:r>
          </w:p>
        </w:tc>
        <w:tc>
          <w:tcPr>
            <w:tcW w:w="1289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0"/>
              </w:rPr>
              <w:t>749,008</w:t>
            </w:r>
          </w:p>
        </w:tc>
        <w:tc>
          <w:tcPr>
            <w:tcW w:w="1289" w:type="dxa"/>
          </w:tcPr>
          <w:p>
            <w:pPr>
              <w:jc w:val="center"/>
              <w:rPr>
                <w:noProof/>
              </w:rPr>
            </w:pPr>
            <w:r>
              <w:rPr>
                <w:b/>
                <w:noProof/>
                <w:sz w:val="20"/>
              </w:rPr>
              <w:t>2 810,048</w:t>
            </w:r>
          </w:p>
        </w:tc>
      </w:tr>
    </w:tbl>
    <w:p>
      <w:pPr>
        <w:rPr>
          <w:i/>
          <w:noProof/>
        </w:rPr>
      </w:pPr>
    </w:p>
    <w:p>
      <w:pPr>
        <w:rPr>
          <w:i/>
          <w:noProof/>
        </w:rPr>
      </w:pPr>
      <w:r>
        <w:rPr>
          <w:i/>
          <w:noProof/>
        </w:rPr>
        <w:t>Ориентировъчното разпределение на разходите от външни целеви приходи е както следва:</w:t>
      </w:r>
    </w:p>
    <w:tbl>
      <w:tblPr>
        <w:tblW w:w="13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2440"/>
        <w:gridCol w:w="742"/>
        <w:gridCol w:w="716"/>
        <w:gridCol w:w="716"/>
        <w:gridCol w:w="716"/>
        <w:gridCol w:w="716"/>
        <w:gridCol w:w="716"/>
        <w:gridCol w:w="716"/>
        <w:gridCol w:w="716"/>
        <w:gridCol w:w="1017"/>
      </w:tblGrid>
      <w:tr>
        <w:tc>
          <w:tcPr>
            <w:tcW w:w="4252" w:type="dxa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440" w:type="dxa"/>
          </w:tcPr>
          <w:p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2021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2022 г.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2023 г.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2024 г.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2025 г.</w:t>
            </w:r>
          </w:p>
        </w:tc>
        <w:tc>
          <w:tcPr>
            <w:tcW w:w="716" w:type="dxa"/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2026 г.</w:t>
            </w:r>
          </w:p>
        </w:tc>
        <w:tc>
          <w:tcPr>
            <w:tcW w:w="716" w:type="dxa"/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2027 г.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ОБЩО</w:t>
            </w:r>
          </w:p>
        </w:tc>
      </w:tr>
      <w:t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Оперативни разходи, финансирани от външни целеви приходи по линия на ЕИВ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Поети задължения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(1)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7 954, 600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8 114, 600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8 276, 600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8 441, 600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32 787, 400</w:t>
            </w:r>
          </w:p>
        </w:tc>
      </w:tr>
      <w:t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Плащания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(2)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7 310, 645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7 726, 658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7 212, 000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6 294, 109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4 243, 988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32 787, 400</w:t>
            </w:r>
          </w:p>
        </w:tc>
      </w:tr>
      <w:t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Разходи за административна подкрепа, финансирани от външни целеви приходи по линия на ЕИВ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Поети задължения = Плащания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(3)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2, 400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2, 400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2, 400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2, 400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2, 000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2, 000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2, 000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15, 600</w:t>
            </w:r>
          </w:p>
        </w:tc>
      </w:tr>
      <w:t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Общо разходи, финансирани от външни целеви приходи по линия на ЕИВ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Поети задължения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=1+3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7 957, 000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8 117, 000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8 279, 000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8 444,000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2, 000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2, 000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2, 000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32 803, 000</w:t>
            </w:r>
          </w:p>
        </w:tc>
      </w:tr>
      <w:t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Плащания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=2+3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7 313, 045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7 729, 058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7 214, 400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6 296, 509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4 245, 988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2, 000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2, 000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32 803, 000</w:t>
            </w:r>
          </w:p>
        </w:tc>
      </w:tr>
    </w:tbl>
    <w:p>
      <w:pPr>
        <w:rPr>
          <w:i/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1080"/>
        <w:gridCol w:w="7817"/>
      </w:tblGrid>
      <w:tr>
        <w:trPr>
          <w:jc w:val="center"/>
        </w:trPr>
        <w:tc>
          <w:tcPr>
            <w:tcW w:w="4744" w:type="dxa"/>
            <w:shd w:val="thinDiagStripe" w:color="C0C0C0" w:fill="auto"/>
            <w:vAlign w:val="center"/>
          </w:tcPr>
          <w:p>
            <w:pPr>
              <w:spacing w:before="60" w:after="60"/>
              <w:jc w:val="center"/>
              <w:rPr>
                <w:b/>
                <w:noProof/>
              </w:rPr>
            </w:pPr>
            <w:r>
              <w:rPr>
                <w:noProof/>
              </w:rPr>
              <w:br w:type="page"/>
            </w:r>
            <w:r>
              <w:rPr>
                <w:b/>
                <w:noProof/>
                <w:sz w:val="22"/>
              </w:rPr>
              <w:t xml:space="preserve">Функция от многогодишната финансова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22"/>
              </w:rPr>
              <w:t xml:space="preserve">рамка </w:t>
            </w:r>
          </w:p>
        </w:tc>
        <w:tc>
          <w:tcPr>
            <w:tcW w:w="1080" w:type="dxa"/>
            <w:shd w:val="thinDiagStripe" w:color="C0C0C0" w:fill="auto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7817" w:type="dxa"/>
            <w:vAlign w:val="center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  <w:sz w:val="22"/>
              </w:rPr>
              <w:t>„Административни разходи“</w:t>
            </w:r>
          </w:p>
        </w:tc>
      </w:tr>
    </w:tbl>
    <w:p>
      <w:pPr>
        <w:jc w:val="left"/>
        <w:rPr>
          <w:noProof/>
        </w:rPr>
      </w:pPr>
    </w:p>
    <w:p>
      <w:pPr>
        <w:jc w:val="right"/>
        <w:rPr>
          <w:noProof/>
          <w:sz w:val="20"/>
        </w:rPr>
      </w:pPr>
      <w:r>
        <w:rPr>
          <w:noProof/>
          <w:sz w:val="20"/>
        </w:rPr>
        <w:t>млн. евро (до третия знак след десетичната запетая)</w:t>
      </w:r>
    </w:p>
    <w:tbl>
      <w:tblPr>
        <w:tblW w:w="14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9"/>
        <w:gridCol w:w="2046"/>
        <w:gridCol w:w="868"/>
        <w:gridCol w:w="868"/>
        <w:gridCol w:w="868"/>
        <w:gridCol w:w="868"/>
        <w:gridCol w:w="868"/>
        <w:gridCol w:w="868"/>
        <w:gridCol w:w="868"/>
        <w:gridCol w:w="887"/>
        <w:gridCol w:w="1291"/>
      </w:tblGrid>
      <w:tr>
        <w:trPr>
          <w:jc w:val="center"/>
        </w:trPr>
        <w:tc>
          <w:tcPr>
            <w:tcW w:w="6245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2021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2022 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2023 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2024 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2025 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2026 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2027 г.</w:t>
            </w:r>
          </w:p>
        </w:tc>
        <w:tc>
          <w:tcPr>
            <w:tcW w:w="887" w:type="dxa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i/>
                <w:noProof/>
                <w:sz w:val="20"/>
              </w:rPr>
              <w:t>След 2027 г.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ОБЩО</w:t>
            </w:r>
          </w:p>
        </w:tc>
      </w:tr>
      <w:tr>
        <w:trPr>
          <w:trHeight w:val="313"/>
          <w:jc w:val="center"/>
        </w:trPr>
        <w:tc>
          <w:tcPr>
            <w:tcW w:w="6245" w:type="dxa"/>
            <w:gridSpan w:val="2"/>
            <w:vAlign w:val="center"/>
          </w:tcPr>
          <w:p>
            <w:pPr>
              <w:spacing w:before="20" w:after="20"/>
              <w:rPr>
                <w:noProof/>
              </w:rPr>
            </w:pPr>
            <w:r>
              <w:rPr>
                <w:noProof/>
                <w:sz w:val="22"/>
              </w:rPr>
              <w:t xml:space="preserve">Човешки ресурси 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1, 500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1, 500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1, 500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1,500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1,500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1,500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1,500</w:t>
            </w:r>
          </w:p>
        </w:tc>
        <w:tc>
          <w:tcPr>
            <w:tcW w:w="887" w:type="dxa"/>
            <w:shd w:val="clear" w:color="auto" w:fill="A6A6A6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10,500</w:t>
            </w:r>
          </w:p>
        </w:tc>
      </w:tr>
      <w:tr>
        <w:trPr>
          <w:trHeight w:val="351"/>
          <w:jc w:val="center"/>
        </w:trPr>
        <w:tc>
          <w:tcPr>
            <w:tcW w:w="6245" w:type="dxa"/>
            <w:gridSpan w:val="2"/>
            <w:vAlign w:val="center"/>
          </w:tcPr>
          <w:p>
            <w:pPr>
              <w:spacing w:before="20" w:after="20"/>
              <w:rPr>
                <w:noProof/>
              </w:rPr>
            </w:pPr>
            <w:r>
              <w:rPr>
                <w:noProof/>
                <w:sz w:val="22"/>
              </w:rPr>
              <w:t xml:space="preserve">Други административни разходи 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87" w:type="dxa"/>
            <w:shd w:val="clear" w:color="auto" w:fill="A6A6A6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>
        <w:trPr>
          <w:trHeight w:val="351"/>
          <w:jc w:val="center"/>
        </w:trPr>
        <w:tc>
          <w:tcPr>
            <w:tcW w:w="4199" w:type="dxa"/>
            <w:vAlign w:val="center"/>
          </w:tcPr>
          <w:p>
            <w:pPr>
              <w:spacing w:before="20" w:after="20"/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ОБЩО бюджетни кредити за ФУНКЦИЯ 7 от многогодишната финансова рамка</w:t>
            </w:r>
          </w:p>
        </w:tc>
        <w:tc>
          <w:tcPr>
            <w:tcW w:w="2046" w:type="dxa"/>
            <w:vAlign w:val="center"/>
          </w:tcPr>
          <w:p>
            <w:pPr>
              <w:spacing w:before="20" w:after="20"/>
              <w:rPr>
                <w:noProof/>
                <w:sz w:val="22"/>
              </w:rPr>
            </w:pPr>
            <w:r>
              <w:rPr>
                <w:noProof/>
                <w:sz w:val="18"/>
              </w:rPr>
              <w:t>(Общо поети задължения = Общо плащания)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1,500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1,500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1,500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1,500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1,500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1,500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1,500</w:t>
            </w:r>
          </w:p>
        </w:tc>
        <w:tc>
          <w:tcPr>
            <w:tcW w:w="887" w:type="dxa"/>
            <w:shd w:val="clear" w:color="auto" w:fill="A6A6A6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10,500</w:t>
            </w:r>
          </w:p>
        </w:tc>
      </w:tr>
    </w:tbl>
    <w:p>
      <w:pPr>
        <w:rPr>
          <w:noProof/>
        </w:rPr>
        <w:sectPr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07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ManualHeading3"/>
        <w:rPr>
          <w:noProof/>
          <w:szCs w:val="24"/>
        </w:rPr>
      </w:pPr>
      <w:bookmarkStart w:id="44" w:name="_Toc514941993"/>
      <w:bookmarkStart w:id="45" w:name="_Toc39839413"/>
      <w:r>
        <w:t>3.2.2.</w:t>
      </w:r>
      <w:r>
        <w:tab/>
      </w:r>
      <w:r>
        <w:rPr>
          <w:noProof/>
        </w:rPr>
        <w:t>Резюме на очакваното отражение върху бюджетните кредити за административни разходи</w:t>
      </w:r>
      <w:bookmarkEnd w:id="44"/>
      <w:bookmarkEnd w:id="45"/>
    </w:p>
    <w:p>
      <w:pPr>
        <w:tabs>
          <w:tab w:val="num" w:pos="1134"/>
        </w:tabs>
        <w:ind w:left="1134" w:hanging="283"/>
        <w:rPr>
          <w:rFonts w:eastAsia="Times New Roman"/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Предложението/инициативата не налага използване на бюджетни кредити за административни разходи </w:t>
      </w:r>
    </w:p>
    <w:p>
      <w:pPr>
        <w:tabs>
          <w:tab w:val="num" w:pos="1134"/>
        </w:tabs>
        <w:ind w:left="1134" w:hanging="283"/>
        <w:rPr>
          <w:rFonts w:eastAsia="Times New Roman"/>
          <w:noProof/>
        </w:rPr>
      </w:pPr>
      <w:r>
        <w:rPr>
          <w:noProof/>
        </w:rPr>
        <w:t>X</w:t>
      </w:r>
      <w:r>
        <w:rPr>
          <w:noProof/>
        </w:rPr>
        <w:tab/>
        <w:t>Предложението/инициативата налага използване на бюджетни кредити за административни разходи съгласно обяснението по-долу:</w:t>
      </w:r>
    </w:p>
    <w:p>
      <w:pPr>
        <w:rPr>
          <w:noProof/>
          <w:sz w:val="20"/>
        </w:rPr>
      </w:pPr>
      <w:r>
        <w:rPr>
          <w:noProof/>
          <w:sz w:val="20"/>
        </w:rPr>
        <w:t>млн. евро (до третия знак след десетичната запетая)</w:t>
      </w:r>
    </w:p>
    <w:tbl>
      <w:tblPr>
        <w:tblW w:w="1062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Години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20"/>
              </w:rPr>
              <w:t>2021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20"/>
              </w:rPr>
              <w:t>2022 г.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20"/>
              </w:rPr>
              <w:t>2023 г.</w:t>
            </w:r>
          </w:p>
        </w:tc>
        <w:tc>
          <w:tcPr>
            <w:tcW w:w="1080" w:type="dxa"/>
            <w:vAlign w:val="center"/>
          </w:tcPr>
          <w:p>
            <w:pPr>
              <w:spacing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8"/>
              </w:rPr>
              <w:t>2024 г.</w:t>
            </w:r>
          </w:p>
        </w:tc>
        <w:tc>
          <w:tcPr>
            <w:tcW w:w="1080" w:type="dxa"/>
            <w:vAlign w:val="center"/>
          </w:tcPr>
          <w:p>
            <w:pPr>
              <w:spacing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8"/>
              </w:rPr>
              <w:t>2025 г.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2026 г.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2027 г.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</w:t>
            </w:r>
          </w:p>
        </w:tc>
      </w:tr>
    </w:tbl>
    <w:p>
      <w:pPr>
        <w:spacing w:line="200" w:lineRule="exact"/>
        <w:rPr>
          <w:noProof/>
          <w:sz w:val="16"/>
          <w:szCs w:val="16"/>
        </w:rPr>
      </w:pPr>
    </w:p>
    <w:tbl>
      <w:tblPr>
        <w:tblW w:w="1062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ФУНКЦИЯ 7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от многогодишната финансова рамка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Човешки ресурси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1,500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1,500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1,500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1,500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1,500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1,500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1,500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10,500</w:t>
            </w: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Други административни разходи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Междинен сбор за ФУНКЦИЯ 7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 xml:space="preserve">от многогодишната финансова рамка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</w:tbl>
    <w:p>
      <w:pPr>
        <w:spacing w:line="200" w:lineRule="exact"/>
        <w:rPr>
          <w:noProof/>
          <w:sz w:val="16"/>
          <w:szCs w:val="16"/>
        </w:rPr>
      </w:pPr>
    </w:p>
    <w:tbl>
      <w:tblPr>
        <w:tblW w:w="1062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Извън ФУНКЦИЯ 7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 xml:space="preserve">от многогодишната финансова рамка </w:t>
            </w:r>
          </w:p>
          <w:p>
            <w:pPr>
              <w:spacing w:before="0" w:after="0" w:line="200" w:lineRule="exact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Човешки ресурси 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w:t>2,400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w:t>2,400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2,400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2,400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2,000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2,000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2,000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15,600</w:t>
            </w: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Други разходи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  <w:sz w:val="16"/>
              </w:rPr>
              <w:t>от административно естество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 xml:space="preserve">Междинен сбор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>извън ФУНКЦИЯ 7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 xml:space="preserve">от многогодишната финансова рамка 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w:t>2,400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2,400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2,400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2,400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2,000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2,000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2,000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15,600</w:t>
            </w:r>
          </w:p>
        </w:tc>
      </w:tr>
    </w:tbl>
    <w:p>
      <w:pPr>
        <w:spacing w:line="200" w:lineRule="exact"/>
        <w:rPr>
          <w:noProof/>
          <w:sz w:val="16"/>
          <w:szCs w:val="16"/>
        </w:rPr>
      </w:pPr>
    </w:p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>
          <w:trHeight w:val="58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3,900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w:t>3,900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w:t>3,900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3,900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3,500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3,500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3,500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26,100</w:t>
            </w:r>
          </w:p>
        </w:tc>
      </w:tr>
    </w:tbl>
    <w:p>
      <w:pPr>
        <w:rPr>
          <w:noProof/>
          <w:sz w:val="18"/>
        </w:rPr>
      </w:pPr>
      <w:r>
        <w:rPr>
          <w:noProof/>
          <w:sz w:val="18"/>
        </w:rPr>
        <w:t>Бюджетните кредити, необходими за човешки ресурси и други разходи с административен характер, ще бъдат покрити от бюджетни кредити на ГД, които вече са определени за управлението на действието и/или които са преразпределени в рамките на ГД, при необходимост заедно с допълнително отпуснати ресурси,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ограничения.</w:t>
      </w:r>
    </w:p>
    <w:p>
      <w:pPr>
        <w:spacing w:before="0" w:after="200" w:line="276" w:lineRule="auto"/>
        <w:jc w:val="left"/>
        <w:rPr>
          <w:noProof/>
          <w:sz w:val="18"/>
        </w:rPr>
      </w:pPr>
      <w:r>
        <w:rPr>
          <w:noProof/>
        </w:rPr>
        <w:br w:type="page"/>
      </w:r>
    </w:p>
    <w:p>
      <w:pPr>
        <w:pStyle w:val="ManualHeading4"/>
        <w:rPr>
          <w:noProof/>
          <w:szCs w:val="24"/>
        </w:rPr>
      </w:pPr>
      <w:r>
        <w:t>3.2.2.1.</w:t>
      </w:r>
      <w:r>
        <w:tab/>
      </w:r>
      <w:r>
        <w:rPr>
          <w:noProof/>
        </w:rPr>
        <w:t>Очаквани нужди от човешки ресурси</w:t>
      </w:r>
    </w:p>
    <w:p>
      <w:pPr>
        <w:tabs>
          <w:tab w:val="num" w:pos="1134"/>
        </w:tabs>
        <w:ind w:left="1134" w:hanging="283"/>
        <w:rPr>
          <w:rFonts w:eastAsia="Times New Roman"/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Предложението/инициативата не налага използване на човешки ресурси </w:t>
      </w:r>
    </w:p>
    <w:p>
      <w:pPr>
        <w:tabs>
          <w:tab w:val="num" w:pos="1134"/>
        </w:tabs>
        <w:ind w:left="1134" w:hanging="283"/>
        <w:rPr>
          <w:rFonts w:eastAsia="Times New Roman"/>
          <w:noProof/>
        </w:rPr>
      </w:pPr>
      <w:r>
        <w:rPr>
          <w:noProof/>
        </w:rPr>
        <w:t>X</w:t>
      </w:r>
      <w:r>
        <w:rPr>
          <w:noProof/>
        </w:rPr>
        <w:tab/>
        <w:t>Предложението/инициативата налага използване на човешки ресурси съгласно обяснението по-долу:</w:t>
      </w:r>
    </w:p>
    <w:p>
      <w:pPr>
        <w:spacing w:after="60"/>
        <w:jc w:val="right"/>
        <w:rPr>
          <w:i/>
          <w:noProof/>
          <w:sz w:val="20"/>
        </w:rPr>
      </w:pPr>
      <w:r>
        <w:rPr>
          <w:i/>
          <w:noProof/>
          <w:sz w:val="20"/>
        </w:rPr>
        <w:t>Оценката се посочва в еквиваленти на пълно работно време</w:t>
      </w:r>
    </w:p>
    <w:tbl>
      <w:tblPr>
        <w:tblW w:w="5324" w:type="pct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442"/>
        <w:gridCol w:w="1044"/>
        <w:gridCol w:w="912"/>
        <w:gridCol w:w="1044"/>
        <w:gridCol w:w="1042"/>
        <w:gridCol w:w="914"/>
        <w:gridCol w:w="1028"/>
        <w:gridCol w:w="1025"/>
      </w:tblGrid>
      <w:tr>
        <w:trPr>
          <w:trHeight w:val="289"/>
        </w:trPr>
        <w:tc>
          <w:tcPr>
            <w:tcW w:w="1456" w:type="pct"/>
            <w:gridSpan w:val="2"/>
            <w:vAlign w:val="center"/>
          </w:tcPr>
          <w:p>
            <w:pPr>
              <w:spacing w:before="40" w:after="40"/>
              <w:jc w:val="center"/>
              <w:rPr>
                <w:i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Години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2021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2022 г.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2023 г.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2024 г.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2025 г.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2026 г.</w:t>
            </w:r>
          </w:p>
        </w:tc>
        <w:tc>
          <w:tcPr>
            <w:tcW w:w="518" w:type="pct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2027 г.</w:t>
            </w:r>
          </w:p>
        </w:tc>
      </w:tr>
      <w:tr>
        <w:trPr>
          <w:trHeight w:val="289"/>
        </w:trPr>
        <w:tc>
          <w:tcPr>
            <w:tcW w:w="1456" w:type="pct"/>
            <w:gridSpan w:val="2"/>
          </w:tcPr>
          <w:p>
            <w:pPr>
              <w:spacing w:beforeLines="20" w:before="48" w:afterLines="20" w:after="48"/>
              <w:ind w:left="134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Централа и представителства на Комисията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518" w:type="pct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</w:t>
            </w:r>
          </w:p>
        </w:tc>
      </w:tr>
      <w:tr>
        <w:trPr>
          <w:trHeight w:val="289"/>
        </w:trPr>
        <w:tc>
          <w:tcPr>
            <w:tcW w:w="1456" w:type="pct"/>
            <w:gridSpan w:val="2"/>
          </w:tcPr>
          <w:p>
            <w:pPr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Делегации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18" w:type="pct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trHeight w:val="289"/>
        </w:trPr>
        <w:tc>
          <w:tcPr>
            <w:tcW w:w="1456" w:type="pct"/>
            <w:gridSpan w:val="2"/>
          </w:tcPr>
          <w:p>
            <w:pPr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Научни изследвания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18" w:type="pct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trHeight w:val="485"/>
        </w:trPr>
        <w:tc>
          <w:tcPr>
            <w:tcW w:w="727" w:type="pct"/>
            <w:vMerge w:val="restart"/>
            <w:vAlign w:val="center"/>
          </w:tcPr>
          <w:p>
            <w:pPr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Финансирани от ФУНКЦИЯ 7 от многогодишната финансова рамка</w:t>
            </w:r>
            <w:r>
              <w:rPr>
                <w:b/>
                <w:noProof/>
                <w:sz w:val="16"/>
              </w:rPr>
              <w:t xml:space="preserve"> </w:t>
            </w:r>
          </w:p>
        </w:tc>
        <w:tc>
          <w:tcPr>
            <w:tcW w:w="729" w:type="pct"/>
            <w:vAlign w:val="center"/>
          </w:tcPr>
          <w:p>
            <w:pPr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- в централата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18" w:type="pct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trHeight w:val="289"/>
        </w:trPr>
        <w:tc>
          <w:tcPr>
            <w:tcW w:w="727" w:type="pct"/>
            <w:vMerge/>
            <w:vAlign w:val="center"/>
          </w:tcPr>
          <w:p>
            <w:pPr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- в делегациите 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18" w:type="pct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trHeight w:val="370"/>
        </w:trPr>
        <w:tc>
          <w:tcPr>
            <w:tcW w:w="727" w:type="pct"/>
            <w:vMerge w:val="restart"/>
            <w:vAlign w:val="center"/>
          </w:tcPr>
          <w:p>
            <w:pPr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Финансирани от финансовия пакет на програмата</w:t>
            </w:r>
            <w:r>
              <w:rPr>
                <w:b/>
                <w:noProof/>
                <w:sz w:val="16"/>
                <w:szCs w:val="16"/>
              </w:rPr>
              <w:t xml:space="preserve"> </w:t>
            </w:r>
            <w:r>
              <w:rPr>
                <w:rStyle w:val="FootnoteReference"/>
                <w:b/>
                <w:noProof/>
                <w:sz w:val="16"/>
                <w:szCs w:val="16"/>
              </w:rPr>
              <w:footnoteReference w:id="12"/>
            </w:r>
          </w:p>
        </w:tc>
        <w:tc>
          <w:tcPr>
            <w:tcW w:w="729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- в централата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18" w:type="pct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trHeight w:val="289"/>
        </w:trPr>
        <w:tc>
          <w:tcPr>
            <w:tcW w:w="727" w:type="pct"/>
            <w:vMerge/>
          </w:tcPr>
          <w:p>
            <w:pPr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- в делегациите 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18" w:type="pct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trHeight w:val="289"/>
        </w:trPr>
        <w:tc>
          <w:tcPr>
            <w:tcW w:w="1456" w:type="pct"/>
            <w:gridSpan w:val="2"/>
          </w:tcPr>
          <w:p>
            <w:pPr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Научни изследвания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18" w:type="pct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trHeight w:val="289"/>
        </w:trPr>
        <w:tc>
          <w:tcPr>
            <w:tcW w:w="1456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>
            <w:pPr>
              <w:spacing w:beforeLines="20" w:before="48" w:afterLines="20" w:after="48"/>
              <w:ind w:left="134"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Други (целеви приходи)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25</w:t>
            </w:r>
          </w:p>
        </w:tc>
      </w:tr>
      <w:tr>
        <w:trPr>
          <w:trHeight w:val="289"/>
        </w:trPr>
        <w:tc>
          <w:tcPr>
            <w:tcW w:w="1456" w:type="pct"/>
            <w:gridSpan w:val="2"/>
            <w:tcBorders>
              <w:top w:val="double" w:sz="4" w:space="0" w:color="auto"/>
            </w:tcBorders>
          </w:tcPr>
          <w:p>
            <w:pPr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</w:t>
            </w:r>
          </w:p>
        </w:tc>
        <w:tc>
          <w:tcPr>
            <w:tcW w:w="52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40</w:t>
            </w:r>
          </w:p>
        </w:tc>
        <w:tc>
          <w:tcPr>
            <w:tcW w:w="46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40</w:t>
            </w:r>
          </w:p>
        </w:tc>
        <w:tc>
          <w:tcPr>
            <w:tcW w:w="52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40</w:t>
            </w:r>
          </w:p>
        </w:tc>
        <w:tc>
          <w:tcPr>
            <w:tcW w:w="52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40</w:t>
            </w:r>
          </w:p>
        </w:tc>
        <w:tc>
          <w:tcPr>
            <w:tcW w:w="46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35</w:t>
            </w:r>
          </w:p>
        </w:tc>
        <w:tc>
          <w:tcPr>
            <w:tcW w:w="52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35</w:t>
            </w:r>
          </w:p>
        </w:tc>
        <w:tc>
          <w:tcPr>
            <w:tcW w:w="518" w:type="pct"/>
            <w:tcBorders>
              <w:top w:val="double" w:sz="4" w:space="0" w:color="auto"/>
            </w:tcBorders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35</w:t>
            </w:r>
          </w:p>
        </w:tc>
      </w:tr>
    </w:tbl>
    <w:p>
      <w:pPr>
        <w:ind w:left="850"/>
        <w:rPr>
          <w:noProof/>
          <w:sz w:val="18"/>
          <w:szCs w:val="18"/>
        </w:rPr>
      </w:pPr>
      <w:r>
        <w:rPr>
          <w:noProof/>
          <w:sz w:val="18"/>
        </w:rPr>
        <w:t>Нуждите от човешки ресурси ще бъдат покрити от персонала на ГД, на който вече е възложено управлението на дейността и/или който е преразпределен в рамките на ГД, при необходимост заедно с всички допълнителни отпуснати ресурси,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ограничения.</w:t>
      </w:r>
      <w:r>
        <w:rPr>
          <w:noProof/>
        </w:rPr>
        <w:t xml:space="preserve"> </w:t>
      </w:r>
      <w:r>
        <w:rPr>
          <w:noProof/>
          <w:sz w:val="18"/>
        </w:rPr>
        <w:t>Допълнителният персонал ще бъде само външен персонал и ще се финансира единствено от целеви приходи</w:t>
      </w:r>
    </w:p>
    <w:p>
      <w:pPr>
        <w:rPr>
          <w:noProof/>
          <w:sz w:val="20"/>
        </w:rPr>
      </w:pPr>
      <w:r>
        <w:rPr>
          <w:noProof/>
          <w:sz w:val="20"/>
        </w:rPr>
        <w:t>Описание на задачите, които трябва да се изпълнят:</w:t>
      </w:r>
    </w:p>
    <w:tbl>
      <w:tblPr>
        <w:tblW w:w="10632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7392"/>
      </w:tblGrid>
      <w:tr>
        <w:tc>
          <w:tcPr>
            <w:tcW w:w="3240" w:type="dxa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Длъжностни лица и срочно наети служители</w:t>
            </w:r>
          </w:p>
        </w:tc>
        <w:tc>
          <w:tcPr>
            <w:tcW w:w="7392" w:type="dxa"/>
          </w:tcPr>
          <w:p>
            <w:pPr>
              <w:rPr>
                <w:noProof/>
                <w:sz w:val="20"/>
              </w:rPr>
            </w:pPr>
          </w:p>
        </w:tc>
      </w:tr>
      <w:tr>
        <w:tc>
          <w:tcPr>
            <w:tcW w:w="3240" w:type="dxa"/>
          </w:tcPr>
          <w:p>
            <w:pPr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Външен персонал</w:t>
            </w:r>
          </w:p>
        </w:tc>
        <w:tc>
          <w:tcPr>
            <w:tcW w:w="7392" w:type="dxa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Договорно наети служители за подпомагане на преговорите за новите програми, наблюдение на изпълнението, включително одит и финансово управление, участие в процеса на приключване на програмите</w:t>
            </w:r>
          </w:p>
        </w:tc>
      </w:tr>
    </w:tbl>
    <w:p>
      <w:pPr>
        <w:rPr>
          <w:noProof/>
        </w:rPr>
        <w:sectPr>
          <w:headerReference w:type="default" r:id="rId17"/>
          <w:footerReference w:type="default" r:id="rId18"/>
          <w:headerReference w:type="first" r:id="rId19"/>
          <w:footerReference w:type="first" r:id="rId20"/>
          <w:pgSz w:w="11907" w:h="16840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ManualHeading2"/>
        <w:rPr>
          <w:noProof/>
          <w:szCs w:val="24"/>
        </w:rPr>
      </w:pPr>
      <w:bookmarkStart w:id="46" w:name="_Toc514941995"/>
      <w:bookmarkStart w:id="47" w:name="_Toc39839415"/>
      <w:r>
        <w:t>3.3.</w:t>
      </w:r>
      <w:r>
        <w:tab/>
      </w:r>
      <w:r>
        <w:rPr>
          <w:noProof/>
        </w:rPr>
        <w:t>Очаквано отражение върху приходите</w:t>
      </w:r>
      <w:bookmarkEnd w:id="46"/>
      <w:bookmarkEnd w:id="47"/>
      <w:r>
        <w:rPr>
          <w:noProof/>
        </w:rPr>
        <w:t xml:space="preserve"> </w:t>
      </w:r>
    </w:p>
    <w:p>
      <w:pPr>
        <w:tabs>
          <w:tab w:val="num" w:pos="1134"/>
        </w:tabs>
        <w:ind w:left="1134" w:hanging="283"/>
        <w:rPr>
          <w:rFonts w:eastAsia="Times New Roman"/>
          <w:noProof/>
        </w:rPr>
      </w:pPr>
      <w:r>
        <w:rPr>
          <w:noProof/>
        </w:rPr>
        <w:t>X</w:t>
      </w:r>
      <w:r>
        <w:rPr>
          <w:noProof/>
        </w:rPr>
        <w:tab/>
        <w:t>Предложението/инициативата няма финансово отражение върху приходите.</w:t>
      </w:r>
    </w:p>
    <w:p>
      <w:pPr>
        <w:tabs>
          <w:tab w:val="num" w:pos="1134"/>
        </w:tabs>
        <w:ind w:left="1134" w:hanging="283"/>
        <w:rPr>
          <w:rFonts w:eastAsia="Times New Roman"/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Предложението/инициативата има следното финансово отражение:</w:t>
      </w:r>
    </w:p>
    <w:p>
      <w:pPr>
        <w:pStyle w:val="Tiret2"/>
        <w:numPr>
          <w:ilvl w:val="0"/>
          <w:numId w:val="11"/>
        </w:numPr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върху собствените ресурси </w:t>
      </w:r>
    </w:p>
    <w:p>
      <w:pPr>
        <w:pStyle w:val="Tiret2"/>
        <w:numPr>
          <w:ilvl w:val="0"/>
          <w:numId w:val="11"/>
        </w:numPr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върху разните приходи</w:t>
      </w:r>
    </w:p>
    <w:p>
      <w:pPr>
        <w:rPr>
          <w:noProof/>
        </w:rPr>
      </w:pPr>
      <w:r>
        <w:rPr>
          <w:noProof/>
        </w:rPr>
        <w:t xml:space="preserve">Моля, посочете дали приходите са записани по разходни бюджетни редове </w:t>
      </w:r>
      <w:r>
        <w:rPr>
          <w:noProof/>
        </w:rPr>
        <w:sym w:font="Wingdings" w:char="F0A8"/>
      </w:r>
      <w:r>
        <w:rPr>
          <w:noProof/>
        </w:rPr>
        <w:tab/>
      </w:r>
    </w:p>
    <w:p>
      <w:pPr>
        <w:jc w:val="right"/>
        <w:rPr>
          <w:i/>
          <w:noProof/>
          <w:sz w:val="20"/>
        </w:rPr>
      </w:pPr>
      <w:r>
        <w:rPr>
          <w:noProof/>
        </w:rPr>
        <w:t>млн. евро (до третия знак след десетичната запетая)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1080"/>
        <w:gridCol w:w="900"/>
        <w:gridCol w:w="900"/>
        <w:gridCol w:w="1080"/>
        <w:gridCol w:w="1080"/>
        <w:gridCol w:w="1080"/>
        <w:gridCol w:w="1080"/>
      </w:tblGrid>
      <w:tr>
        <w:trPr>
          <w:trHeight w:val="388"/>
          <w:jc w:val="center"/>
        </w:trPr>
        <w:tc>
          <w:tcPr>
            <w:tcW w:w="2144" w:type="dxa"/>
            <w:vMerge w:val="restart"/>
            <w:vAlign w:val="center"/>
          </w:tcPr>
          <w:p>
            <w:pPr>
              <w:spacing w:before="40" w:after="4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Приходен бюджетен ред:</w:t>
            </w:r>
          </w:p>
        </w:tc>
        <w:tc>
          <w:tcPr>
            <w:tcW w:w="7200" w:type="dxa"/>
            <w:gridSpan w:val="7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Отражение на предложението/инициативата</w:t>
            </w:r>
          </w:p>
        </w:tc>
      </w:tr>
      <w:tr>
        <w:trPr>
          <w:trHeight w:val="388"/>
          <w:jc w:val="center"/>
        </w:trPr>
        <w:tc>
          <w:tcPr>
            <w:tcW w:w="2144" w:type="dxa"/>
            <w:vMerge/>
          </w:tcPr>
          <w:p>
            <w:pPr>
              <w:spacing w:before="40" w:after="40"/>
              <w:rPr>
                <w:noProof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b/>
                <w:noProof/>
                <w:sz w:val="20"/>
              </w:rPr>
              <w:t>2021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2022 г.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2023 г.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2024 г.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2025 г.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2026 г.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2027 г.</w:t>
            </w:r>
          </w:p>
        </w:tc>
      </w:tr>
      <w:tr>
        <w:trPr>
          <w:trHeight w:val="388"/>
          <w:jc w:val="center"/>
        </w:trPr>
        <w:tc>
          <w:tcPr>
            <w:tcW w:w="2144" w:type="dxa"/>
            <w:vAlign w:val="center"/>
          </w:tcPr>
          <w:p>
            <w:pPr>
              <w:spacing w:before="40" w:after="4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Статия ………….</w:t>
            </w: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90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90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</w:tr>
    </w:tbl>
    <w:p>
      <w:pPr>
        <w:ind w:left="850"/>
        <w:rPr>
          <w:noProof/>
          <w:sz w:val="20"/>
        </w:rPr>
      </w:pPr>
      <w:r>
        <w:rPr>
          <w:noProof/>
          <w:sz w:val="20"/>
        </w:rPr>
        <w:t>За целевите приходи да се посочат съответните разходни бюджетни редове.</w:t>
      </w:r>
    </w:p>
    <w:p>
      <w:pPr>
        <w:ind w:left="850"/>
        <w:rPr>
          <w:noProof/>
        </w:rPr>
      </w:pPr>
      <w:r>
        <w:rPr>
          <w:noProof/>
          <w:color w:val="0000FF"/>
        </w:rPr>
        <w:t>[…]</w:t>
      </w:r>
    </w:p>
    <w:p>
      <w:pPr>
        <w:ind w:left="850"/>
        <w:rPr>
          <w:noProof/>
          <w:sz w:val="16"/>
          <w:szCs w:val="16"/>
        </w:rPr>
      </w:pPr>
      <w:r>
        <w:rPr>
          <w:noProof/>
          <w:sz w:val="20"/>
        </w:rPr>
        <w:t>Други забележки (например метод/формула за изчисляване на отражението върху приходите или друга информация).</w:t>
      </w:r>
      <w:r>
        <w:rPr>
          <w:noProof/>
          <w:sz w:val="16"/>
          <w:szCs w:val="16"/>
        </w:rPr>
        <w:t xml:space="preserve"> </w:t>
      </w:r>
    </w:p>
    <w:p>
      <w:pPr>
        <w:ind w:left="850"/>
        <w:rPr>
          <w:noProof/>
        </w:rPr>
      </w:pPr>
      <w:r>
        <w:rPr>
          <w:noProof/>
          <w:color w:val="0000FF"/>
        </w:rPr>
        <w:t>[…]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8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19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СОМ(2020) 22 final.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СОМ(2020) 23 final.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SWD (2018) 282 final.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СОМ(2018) 372 final.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ОВ С [...], [...] г., стр. [...].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Съгласно член 58, параграф 2, буква а) или б) от Финансовия регламент.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Подробности във връзка с методите на управление и позоваванията на Финансовия регламент може да бъдат намерени на уебсайта BudgWeb:</w:t>
      </w:r>
      <w:r>
        <w:tab/>
        <w:t xml:space="preserve"> </w:t>
      </w:r>
      <w:hyperlink r:id="rId1" w:history="1">
        <w:r>
          <w:rPr>
            <w:rStyle w:val="Hyperlink"/>
          </w:rPr>
          <w:t>https://myintracomm.ec.europa.eu/budgweb/EN/man/budgmanag/Pages/budgmanag.aspx</w:t>
        </w:r>
      </w:hyperlink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Многогод. = многогодишни бюджетни кредити / Едногод. = едногодишни бюджетни кредити.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  <w:t>ЕАСТ: Европейска асоциация за свободна търговия.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  <w:t>Държави кандидатки и, ако е приложимо, потенциални кандидатки от Западните Балкани.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ab/>
        <w:t>Подтаван за външния персонал, покрит с бюджетните кредити за оперативни разходи (предишни редове BA).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48415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7AC16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34AD0D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4146C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06478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9D850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F9026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0AE5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489D74ED"/>
    <w:multiLevelType w:val="singleLevel"/>
    <w:tmpl w:val="C2E2F936"/>
    <w:name w:val="List Dash 2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1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14"/>
    <w:lvlOverride w:ilvl="0">
      <w:startOverride w:val="1"/>
    </w:lvlOverride>
  </w:num>
  <w:num w:numId="11">
    <w:abstractNumId w:val="21"/>
  </w:num>
  <w:num w:numId="12">
    <w:abstractNumId w:val="20"/>
  </w:num>
  <w:num w:numId="13">
    <w:abstractNumId w:val="1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21"/>
  </w:num>
  <w:num w:numId="18">
    <w:abstractNumId w:val="11"/>
  </w:num>
  <w:num w:numId="19">
    <w:abstractNumId w:val="13"/>
  </w:num>
  <w:num w:numId="20">
    <w:abstractNumId w:val="9"/>
  </w:num>
  <w:num w:numId="21">
    <w:abstractNumId w:val="20"/>
  </w:num>
  <w:num w:numId="22">
    <w:abstractNumId w:val="8"/>
  </w:num>
  <w:num w:numId="23">
    <w:abstractNumId w:val="14"/>
  </w:num>
  <w:num w:numId="24">
    <w:abstractNumId w:val="17"/>
  </w:num>
  <w:num w:numId="25">
    <w:abstractNumId w:val="18"/>
  </w:num>
  <w:num w:numId="26">
    <w:abstractNumId w:val="10"/>
  </w:num>
  <w:num w:numId="27">
    <w:abstractNumId w:val="16"/>
  </w:num>
  <w:num w:numId="28">
    <w:abstractNumId w:val="22"/>
  </w:num>
  <w:num w:numId="29">
    <w:abstractNumId w:val="19"/>
  </w:num>
  <w:num w:numId="30">
    <w:abstractNumId w:val="12"/>
  </w:num>
  <w:num w:numId="31">
    <w:abstractNumId w:val="21"/>
  </w:num>
  <w:num w:numId="32">
    <w:abstractNumId w:val="11"/>
  </w:num>
  <w:num w:numId="33">
    <w:abstractNumId w:val="13"/>
  </w:num>
  <w:num w:numId="34">
    <w:abstractNumId w:val="9"/>
  </w:num>
  <w:num w:numId="35">
    <w:abstractNumId w:val="20"/>
  </w:num>
  <w:num w:numId="36">
    <w:abstractNumId w:val="8"/>
  </w:num>
  <w:num w:numId="37">
    <w:abstractNumId w:val="14"/>
  </w:num>
  <w:num w:numId="38">
    <w:abstractNumId w:val="17"/>
  </w:num>
  <w:num w:numId="39">
    <w:abstractNumId w:val="18"/>
  </w:num>
  <w:num w:numId="40">
    <w:abstractNumId w:val="10"/>
  </w:num>
  <w:num w:numId="41">
    <w:abstractNumId w:val="16"/>
  </w:num>
  <w:num w:numId="42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6-02 17:44:08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5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B1DF81F2-7CA9-40BB-A080-D96BAAC388FD"/>
    <w:docVar w:name="LW_COVERPAGE_TYPE" w:val="1"/>
    <w:docVar w:name="LW_CROSSREFERENCE" w:val="&lt;UNUSED&gt;"/>
    <w:docVar w:name="LW_DocType" w:val="COM"/>
    <w:docVar w:name="LW_EMISSION" w:val="28.5.2020"/>
    <w:docVar w:name="LW_EMISSION_ISODATE" w:val="2020-05-28"/>
    <w:docVar w:name="LW_EMISSION_LOCATION" w:val="BRX"/>
    <w:docVar w:name="LW_EMISSION_PREFIX" w:val="Брюксел, "/>
    <w:docVar w:name="LW_EMISSION_SUFFIX" w:val=" \u1075?."/>
    <w:docVar w:name="LW_ID_DOCMODEL" w:val="SJ-023"/>
    <w:docVar w:name="LW_ID_DOCSIGNATURE" w:val="SJ-023"/>
    <w:docVar w:name="LW_ID_DOCSTRUCTURE" w:val="COM/PL/MOD"/>
    <w:docVar w:name="LW_ID_DOCTYPE" w:val="SG-005"/>
    <w:docVar w:name="LW_ID_EXP.MOTIFS.NEW" w:val="EM_PL_"/>
    <w:docVar w:name="LW_ID_STATUT" w:val="SG-005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006"/>
    <w:docVar w:name="LW_REF.II.NEW.CP_YEAR" w:val="2020"/>
    <w:docVar w:name="LW_REF.INST.NEW" w:val="COM"/>
    <w:docVar w:name="LW_REF.INST.NEW_ADOPTED" w:val="final"/>
    <w:docVar w:name="LW_REF.INST.NEW_TEXT" w:val="(2020) 46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48?\u1079?\u1084?\u1077?\u1085?\u1077?\u1085?\u1086? \u1087?\u1088?\u1077?\u1076?\u1083?\u1086?\u1078?\u1077?\u1085?\u1080?\u1077? \u1079?\u1072?"/>
    <w:docVar w:name="LW_SUPERTITRE" w:val="&lt;UNUSED&gt;"/>
    <w:docVar w:name="LW_TITRE.OBJ.CP" w:val="\u1079?\u1072? \u1089?\u1098?\u1079?\u1076?\u1072?\u1074?\u1072?\u1085?\u1077? \u1085?\u1072? \u1060?\u1086?\u1085?\u1076?\u1072? \u1079?\u1072? \u1089?\u1087?\u1088?\u1072?\u1074?\u1077?\u1076?\u1083?\u1080?\u1074? \u1087?\u1088?\u1077?\u1093?\u1086?\u1076?"/>
    <w:docVar w:name="LW_TYPE.DOC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rFonts w:eastAsia="Times New Roman"/>
      <w:b/>
      <w:szCs w:val="24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Point2letter0">
    <w:name w:val="Point 2 letter"/>
    <w:basedOn w:val="Point2"/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szCs w:val="24"/>
      <w:lang w:eastAsia="nl-BE"/>
    </w:rPr>
  </w:style>
  <w:style w:type="paragraph" w:customStyle="1" w:styleId="Point1letter0">
    <w:name w:val="Point1 (letter)"/>
    <w:basedOn w:val="Point0letter"/>
  </w:style>
  <w:style w:type="paragraph" w:styleId="ListNumber4">
    <w:name w:val="List Number 4"/>
    <w:basedOn w:val="Normal"/>
    <w:uiPriority w:val="99"/>
    <w:semiHidden/>
    <w:unhideWhenUsed/>
    <w:pPr>
      <w:numPr>
        <w:numId w:val="5"/>
      </w:numPr>
      <w:contextualSpacing/>
    </w:pPr>
  </w:style>
  <w:style w:type="paragraph" w:customStyle="1" w:styleId="Point1letter1">
    <w:name w:val="Point 1  (letter)"/>
    <w:basedOn w:val="Point0letter"/>
  </w:style>
  <w:style w:type="character" w:customStyle="1" w:styleId="conf-macro">
    <w:name w:val="conf-macro"/>
    <w:basedOn w:val="DefaultParagraphFont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AnnexetitreChar">
    <w:name w:val="Annexe titre Char"/>
    <w:basedOn w:val="DefaultParagraphFont"/>
    <w:rPr>
      <w:rFonts w:ascii="Times New Roman" w:hAnsi="Times New Roman" w:cs="Times New Roman"/>
      <w:b/>
      <w:sz w:val="24"/>
      <w:u w:val="single"/>
      <w:lang w:val="bg-BG"/>
    </w:rPr>
  </w:style>
  <w:style w:type="paragraph" w:customStyle="1" w:styleId="ListDash2">
    <w:name w:val="List Dash 2"/>
    <w:basedOn w:val="Normal"/>
    <w:pPr>
      <w:numPr>
        <w:numId w:val="13"/>
      </w:numPr>
    </w:pPr>
    <w:rPr>
      <w:rFonts w:eastAsia="Times New Roman"/>
      <w:lang w:eastAsia="de-D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rFonts w:eastAsia="Times New Roman"/>
      <w:b/>
      <w:szCs w:val="24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Point2letter0">
    <w:name w:val="Point 2 letter"/>
    <w:basedOn w:val="Point2"/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szCs w:val="24"/>
      <w:lang w:eastAsia="nl-BE"/>
    </w:rPr>
  </w:style>
  <w:style w:type="paragraph" w:customStyle="1" w:styleId="Point1letter0">
    <w:name w:val="Point1 (letter)"/>
    <w:basedOn w:val="Point0letter"/>
  </w:style>
  <w:style w:type="paragraph" w:styleId="ListNumber4">
    <w:name w:val="List Number 4"/>
    <w:basedOn w:val="Normal"/>
    <w:uiPriority w:val="99"/>
    <w:semiHidden/>
    <w:unhideWhenUsed/>
    <w:pPr>
      <w:numPr>
        <w:numId w:val="5"/>
      </w:numPr>
      <w:contextualSpacing/>
    </w:pPr>
  </w:style>
  <w:style w:type="paragraph" w:customStyle="1" w:styleId="Point1letter1">
    <w:name w:val="Point 1  (letter)"/>
    <w:basedOn w:val="Point0letter"/>
  </w:style>
  <w:style w:type="character" w:customStyle="1" w:styleId="conf-macro">
    <w:name w:val="conf-macro"/>
    <w:basedOn w:val="DefaultParagraphFont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AnnexetitreChar">
    <w:name w:val="Annexe titre Char"/>
    <w:basedOn w:val="DefaultParagraphFont"/>
    <w:rPr>
      <w:rFonts w:ascii="Times New Roman" w:hAnsi="Times New Roman" w:cs="Times New Roman"/>
      <w:b/>
      <w:sz w:val="24"/>
      <w:u w:val="single"/>
      <w:lang w:val="bg-BG"/>
    </w:rPr>
  </w:style>
  <w:style w:type="paragraph" w:customStyle="1" w:styleId="ListDash2">
    <w:name w:val="List Dash 2"/>
    <w:basedOn w:val="Normal"/>
    <w:pPr>
      <w:numPr>
        <w:numId w:val="13"/>
      </w:numPr>
    </w:pPr>
    <w:rPr>
      <w:rFonts w:eastAsia="Times New Roman"/>
      <w:lang w:eastAsia="de-D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yintracomm.ec.europa.eu/budgweb/EN/man/budgmanag/Pages/budgmanag.aspx.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74A18-F07D-4440-8930-C00406B6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5</TotalTime>
  <Pages>20</Pages>
  <Words>5011</Words>
  <Characters>28920</Characters>
  <Application>Microsoft Office Word</Application>
  <DocSecurity>0</DocSecurity>
  <Lines>1032</Lines>
  <Paragraphs>538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DIGIT/C6</cp:lastModifiedBy>
  <cp:revision>21</cp:revision>
  <cp:lastPrinted>2019-11-15T15:58:00Z</cp:lastPrinted>
  <dcterms:created xsi:type="dcterms:W3CDTF">2020-05-31T14:30:00Z</dcterms:created>
  <dcterms:modified xsi:type="dcterms:W3CDTF">2020-06-02T15:44:00Z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COM/PL/MOD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SG-005</vt:lpwstr>
  </property>
  <property fmtid="{D5CDD505-2E9C-101B-9397-08002B2CF9AE}" pid="10" name="DQCStatus">
    <vt:lpwstr>Green (DQC version 03)</vt:lpwstr>
  </property>
</Properties>
</file>