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A9E84110-044A-4BFC-8284-CE76037420C6" style="width:450.3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III</w:t>
      </w:r>
      <w:r>
        <w:rPr>
          <w:noProof/>
        </w:rPr>
        <w:br/>
        <w:t>Key performance indicators</w:t>
      </w:r>
    </w:p>
    <w:p>
      <w:pPr>
        <w:shd w:val="clear" w:color="auto" w:fill="FFFFFF"/>
        <w:spacing w:after="200"/>
        <w:contextualSpacing/>
        <w:rPr>
          <w:rFonts w:eastAsia="Calibri"/>
          <w:noProof/>
          <w:szCs w:val="24"/>
        </w:rPr>
      </w:pPr>
    </w:p>
    <w:p>
      <w:pPr>
        <w:shd w:val="clear" w:color="auto" w:fill="FFFFFF"/>
        <w:rPr>
          <w:rFonts w:eastAsia="Calibri"/>
          <w:noProof/>
        </w:rPr>
      </w:pPr>
      <w:r>
        <w:rPr>
          <w:rFonts w:eastAsia="Calibri"/>
          <w:noProof/>
        </w:rPr>
        <w:t xml:space="preserve">1. </w:t>
      </w:r>
      <w:r>
        <w:rPr>
          <w:rFonts w:eastAsia="Calibri"/>
          <w:bCs/>
          <w:noProof/>
        </w:rPr>
        <w:t>Volume of financing supported by the InvestEU</w:t>
      </w:r>
      <w:r>
        <w:rPr>
          <w:rStyle w:val="CommentReference"/>
          <w:noProof/>
        </w:rPr>
        <w:t xml:space="preserve"> </w:t>
      </w:r>
      <w:r>
        <w:rPr>
          <w:rFonts w:eastAsia="Calibri"/>
          <w:iCs/>
          <w:noProof/>
        </w:rPr>
        <w:t xml:space="preserve">Fund </w:t>
      </w:r>
      <w:r>
        <w:rPr>
          <w:rFonts w:eastAsia="Calibri"/>
          <w:bCs/>
          <w:noProof/>
        </w:rPr>
        <w:t>(broken down by policy window)</w:t>
      </w:r>
    </w:p>
    <w:p>
      <w:pPr>
        <w:shd w:val="clear" w:color="auto" w:fill="FFFFFF"/>
        <w:ind w:left="113"/>
        <w:rPr>
          <w:rFonts w:eastAsia="Calibri"/>
          <w:iCs/>
          <w:noProof/>
        </w:rPr>
      </w:pPr>
      <w:r>
        <w:rPr>
          <w:rFonts w:eastAsia="Calibri"/>
          <w:iCs/>
          <w:noProof/>
        </w:rPr>
        <w:t>1.1 Volume of operations signed</w:t>
      </w:r>
    </w:p>
    <w:p>
      <w:pPr>
        <w:shd w:val="clear" w:color="auto" w:fill="FFFFFF"/>
        <w:ind w:left="113"/>
        <w:rPr>
          <w:rFonts w:eastAsia="Calibri"/>
          <w:iCs/>
          <w:noProof/>
        </w:rPr>
      </w:pPr>
      <w:r>
        <w:rPr>
          <w:rFonts w:eastAsia="Calibri"/>
          <w:iCs/>
          <w:noProof/>
        </w:rPr>
        <w:t>1.2 Investment mobilised</w:t>
      </w:r>
    </w:p>
    <w:p>
      <w:pPr>
        <w:shd w:val="clear" w:color="auto" w:fill="FFFFFF"/>
        <w:ind w:left="113"/>
        <w:rPr>
          <w:rFonts w:eastAsia="Calibri"/>
          <w:iCs/>
          <w:noProof/>
        </w:rPr>
      </w:pPr>
      <w:r>
        <w:rPr>
          <w:rFonts w:eastAsia="Calibri"/>
          <w:iCs/>
          <w:noProof/>
        </w:rPr>
        <w:t>1.3 Amount of private finance mobilised</w:t>
      </w:r>
    </w:p>
    <w:p>
      <w:pPr>
        <w:shd w:val="clear" w:color="auto" w:fill="FFFFFF"/>
        <w:ind w:left="113"/>
        <w:rPr>
          <w:rFonts w:eastAsia="Calibri"/>
          <w:iCs/>
          <w:noProof/>
        </w:rPr>
      </w:pPr>
      <w:r>
        <w:rPr>
          <w:rFonts w:eastAsia="Calibri"/>
          <w:iCs/>
          <w:noProof/>
        </w:rPr>
        <w:t>1.4 Leverage and multiplier effect achieved</w:t>
      </w:r>
    </w:p>
    <w:p>
      <w:pPr>
        <w:shd w:val="clear" w:color="auto" w:fill="FFFFFF"/>
        <w:rPr>
          <w:rFonts w:eastAsia="Calibri"/>
          <w:noProof/>
        </w:rPr>
      </w:pPr>
      <w:r>
        <w:rPr>
          <w:rFonts w:eastAsia="Calibri"/>
          <w:noProof/>
        </w:rPr>
        <w:t xml:space="preserve">2. </w:t>
      </w:r>
      <w:r>
        <w:rPr>
          <w:rFonts w:eastAsia="Calibri"/>
          <w:noProof/>
          <w:bdr w:val="nil"/>
        </w:rPr>
        <w:t>Geographical coverage of financing supported by the InvestEU Fund</w:t>
      </w:r>
      <w:r>
        <w:rPr>
          <w:rStyle w:val="CommentReference"/>
          <w:noProof/>
        </w:rPr>
        <w:t xml:space="preserve"> </w:t>
      </w:r>
      <w:r>
        <w:rPr>
          <w:rFonts w:eastAsia="Calibri"/>
          <w:noProof/>
          <w:bdr w:val="nil"/>
        </w:rPr>
        <w:t>(broken down by policy window</w:t>
      </w:r>
      <w:r>
        <w:rPr>
          <w:rFonts w:eastAsia="Arial Unicode MS" w:cs="Arial Unicode MS"/>
          <w:iCs/>
          <w:noProof/>
          <w:bdr w:val="nil"/>
        </w:rPr>
        <w:t>, country and region at the common classification of territorial units for statistics (NUTS) 2 level</w:t>
      </w:r>
      <w:r>
        <w:rPr>
          <w:rFonts w:eastAsia="Calibri"/>
          <w:noProof/>
          <w:bdr w:val="nil"/>
        </w:rPr>
        <w:t>)</w:t>
      </w:r>
    </w:p>
    <w:p>
      <w:pPr>
        <w:shd w:val="clear" w:color="auto" w:fill="FFFFFF"/>
        <w:ind w:left="113"/>
        <w:rPr>
          <w:rFonts w:eastAsia="Calibri"/>
          <w:iCs/>
          <w:noProof/>
        </w:rPr>
      </w:pPr>
      <w:r>
        <w:rPr>
          <w:rFonts w:eastAsia="Calibri"/>
          <w:iCs/>
          <w:noProof/>
        </w:rPr>
        <w:t>2.1 Number of countries (Member States and third countries) covered by operations</w:t>
      </w:r>
    </w:p>
    <w:p>
      <w:pPr>
        <w:shd w:val="clear" w:color="auto" w:fill="FFFFFF"/>
        <w:ind w:left="113"/>
        <w:rPr>
          <w:rFonts w:eastAsia="Calibri"/>
          <w:iCs/>
          <w:noProof/>
        </w:rPr>
      </w:pPr>
      <w:r>
        <w:rPr>
          <w:rFonts w:eastAsia="Calibri"/>
          <w:iCs/>
          <w:noProof/>
        </w:rPr>
        <w:t>2.2 Number of regions covered by operations</w:t>
      </w:r>
    </w:p>
    <w:p>
      <w:pPr>
        <w:shd w:val="clear" w:color="auto" w:fill="FFFFFF"/>
        <w:ind w:left="113"/>
        <w:rPr>
          <w:rFonts w:eastAsia="Calibri"/>
          <w:iCs/>
          <w:noProof/>
        </w:rPr>
      </w:pPr>
      <w:r>
        <w:rPr>
          <w:rFonts w:eastAsia="Calibri"/>
          <w:iCs/>
          <w:noProof/>
        </w:rPr>
        <w:t>2.3 Volume of operations per country (Member State and third country) and per region</w:t>
      </w:r>
    </w:p>
    <w:p>
      <w:pPr>
        <w:shd w:val="clear" w:color="auto" w:fill="FFFFFF"/>
        <w:rPr>
          <w:rFonts w:eastAsia="Calibri"/>
          <w:noProof/>
        </w:rPr>
      </w:pPr>
      <w:r>
        <w:rPr>
          <w:rFonts w:eastAsia="Calibri"/>
          <w:noProof/>
        </w:rPr>
        <w:t xml:space="preserve">3.  </w:t>
      </w:r>
      <w:r>
        <w:rPr>
          <w:rFonts w:eastAsia="Calibri"/>
          <w:bCs/>
          <w:noProof/>
        </w:rPr>
        <w:t>Impact of financing through the InvestEU Fund</w:t>
      </w:r>
    </w:p>
    <w:p>
      <w:pPr>
        <w:shd w:val="clear" w:color="auto" w:fill="FFFFFF"/>
        <w:ind w:left="113"/>
        <w:rPr>
          <w:rFonts w:eastAsia="Calibri"/>
          <w:iCs/>
          <w:noProof/>
        </w:rPr>
      </w:pPr>
      <w:r>
        <w:rPr>
          <w:rFonts w:eastAsia="Calibri"/>
          <w:iCs/>
          <w:noProof/>
        </w:rPr>
        <w:t>3.1 Number of jobs created or supported</w:t>
      </w:r>
    </w:p>
    <w:p>
      <w:pPr>
        <w:shd w:val="clear" w:color="auto" w:fill="FFFFFF"/>
        <w:ind w:left="113"/>
        <w:rPr>
          <w:rFonts w:eastAsia="Calibri"/>
          <w:iCs/>
          <w:noProof/>
        </w:rPr>
      </w:pPr>
      <w:r>
        <w:rPr>
          <w:rFonts w:eastAsia="Calibri"/>
          <w:iCs/>
          <w:noProof/>
        </w:rPr>
        <w:t xml:space="preserve">3.2 </w:t>
      </w:r>
      <w:r>
        <w:rPr>
          <w:rFonts w:eastAsia="Calibri"/>
          <w:noProof/>
          <w:bdr w:val="nil"/>
        </w:rPr>
        <w:t xml:space="preserve">Investment supporting climate objectives </w:t>
      </w:r>
      <w:r>
        <w:rPr>
          <w:rFonts w:eastAsia="Calibri"/>
          <w:iCs/>
          <w:noProof/>
        </w:rPr>
        <w:t>and, where applicable, broken down by policy window</w:t>
      </w:r>
    </w:p>
    <w:p>
      <w:pPr>
        <w:shd w:val="clear" w:color="auto" w:fill="FFFFFF"/>
        <w:ind w:left="113"/>
        <w:rPr>
          <w:rFonts w:eastAsia="Calibri"/>
          <w:iCs/>
          <w:noProof/>
        </w:rPr>
      </w:pPr>
      <w:r>
        <w:rPr>
          <w:rFonts w:eastAsia="Calibri"/>
          <w:iCs/>
          <w:noProof/>
        </w:rPr>
        <w:t>3.3 Investment supporting digitalisation</w:t>
      </w:r>
    </w:p>
    <w:p>
      <w:pPr>
        <w:shd w:val="clear" w:color="auto" w:fill="FFFFFF"/>
        <w:ind w:left="113"/>
        <w:rPr>
          <w:rFonts w:eastAsia="Calibri"/>
          <w:iCs/>
          <w:noProof/>
        </w:rPr>
      </w:pPr>
      <w:r>
        <w:rPr>
          <w:rFonts w:eastAsia="Arial Unicode MS" w:cs="Arial Unicode MS"/>
          <w:iCs/>
          <w:noProof/>
          <w:bdr w:val="nil"/>
        </w:rPr>
        <w:t>3.4. Investment supporting industrial transition</w:t>
      </w:r>
    </w:p>
    <w:p>
      <w:pPr>
        <w:shd w:val="clear" w:color="auto" w:fill="FFFFFF"/>
        <w:rPr>
          <w:rFonts w:eastAsia="Calibri"/>
          <w:noProof/>
        </w:rPr>
      </w:pPr>
      <w:r>
        <w:rPr>
          <w:rFonts w:eastAsia="Calibri"/>
          <w:noProof/>
        </w:rPr>
        <w:t xml:space="preserve">4. </w:t>
      </w:r>
      <w:r>
        <w:rPr>
          <w:rFonts w:eastAsia="Calibri"/>
          <w:bCs/>
          <w:noProof/>
        </w:rPr>
        <w:t xml:space="preserve">Sustainable infrastructure </w:t>
      </w:r>
    </w:p>
    <w:p>
      <w:pPr>
        <w:shd w:val="clear" w:color="auto" w:fill="FFFFFF"/>
        <w:ind w:left="113"/>
        <w:rPr>
          <w:rFonts w:eastAsia="Calibri"/>
          <w:iCs/>
          <w:noProof/>
        </w:rPr>
      </w:pPr>
      <w:r>
        <w:rPr>
          <w:rFonts w:eastAsia="Calibri"/>
          <w:iCs/>
          <w:noProof/>
        </w:rPr>
        <w:t xml:space="preserve">4.1 </w:t>
      </w:r>
      <w:r>
        <w:rPr>
          <w:rFonts w:eastAsia="Calibri"/>
          <w:noProof/>
          <w:bdr w:val="nil"/>
        </w:rPr>
        <w:t>Energy: Additional renewable</w:t>
      </w:r>
      <w:r>
        <w:rPr>
          <w:rFonts w:eastAsia="Arial Unicode MS" w:cs="Arial Unicode MS"/>
          <w:noProof/>
          <w:bdr w:val="nil"/>
        </w:rPr>
        <w:t xml:space="preserve"> </w:t>
      </w:r>
      <w:r>
        <w:rPr>
          <w:rFonts w:eastAsia="Arial Unicode MS" w:cs="Arial Unicode MS"/>
          <w:iCs/>
          <w:noProof/>
          <w:bdr w:val="nil"/>
        </w:rPr>
        <w:t>and other safe and sustainable zero and low-emission</w:t>
      </w:r>
      <w:r>
        <w:rPr>
          <w:rFonts w:eastAsia="Calibri"/>
          <w:noProof/>
          <w:bdr w:val="nil"/>
        </w:rPr>
        <w:t xml:space="preserve"> energy generation capacity installed (in megawatts (MW))</w:t>
      </w:r>
    </w:p>
    <w:p>
      <w:pPr>
        <w:shd w:val="clear" w:color="auto" w:fill="FFFFFF"/>
        <w:ind w:left="113"/>
        <w:rPr>
          <w:rFonts w:eastAsia="Calibri"/>
          <w:iCs/>
          <w:noProof/>
        </w:rPr>
      </w:pPr>
      <w:r>
        <w:rPr>
          <w:rFonts w:eastAsia="Calibri"/>
          <w:iCs/>
          <w:noProof/>
        </w:rPr>
        <w:t>4.2 Energy: Number of households, number of public and commercial premises with improved energy consumption classification</w:t>
      </w:r>
    </w:p>
    <w:p>
      <w:pPr>
        <w:shd w:val="clear" w:color="auto" w:fill="FFFFFF"/>
        <w:ind w:left="113"/>
        <w:rPr>
          <w:rFonts w:eastAsia="Arial Unicode MS" w:cs="Arial Unicode MS"/>
          <w:iCs/>
          <w:noProof/>
          <w:bdr w:val="nil"/>
        </w:rPr>
      </w:pPr>
      <w:r>
        <w:rPr>
          <w:rFonts w:eastAsia="Arial Unicode MS" w:cs="Arial Unicode MS"/>
          <w:iCs/>
          <w:noProof/>
          <w:bdr w:val="nil"/>
        </w:rPr>
        <w:t>4.3 Energy: Estimated energy savings generated by the projects (in kilowatt-hours (kWh))</w:t>
      </w:r>
    </w:p>
    <w:p>
      <w:pPr>
        <w:shd w:val="clear" w:color="auto" w:fill="FFFFFF"/>
        <w:ind w:left="113"/>
        <w:rPr>
          <w:rFonts w:eastAsia="Arial Unicode MS" w:cs="Arial Unicode MS"/>
          <w:iCs/>
          <w:noProof/>
          <w:bdr w:val="nil"/>
        </w:rPr>
      </w:pPr>
      <w:r>
        <w:rPr>
          <w:rFonts w:eastAsia="Arial Unicode MS" w:cs="Arial Unicode MS"/>
          <w:iCs/>
          <w:noProof/>
          <w:bdr w:val="nil"/>
        </w:rPr>
        <w:t>4.4 Energy: Annual green-house gas emissions reduced/avoided in tonnes of CO</w:t>
      </w:r>
      <w:r>
        <w:rPr>
          <w:rFonts w:eastAsia="Arial Unicode MS" w:cs="Arial Unicode MS"/>
          <w:iCs/>
          <w:noProof/>
          <w:bdr w:val="nil"/>
          <w:vertAlign w:val="subscript"/>
        </w:rPr>
        <w:t xml:space="preserve">2 </w:t>
      </w:r>
      <w:r>
        <w:rPr>
          <w:rFonts w:eastAsia="Arial Unicode MS" w:cs="Arial Unicode MS"/>
          <w:iCs/>
          <w:noProof/>
          <w:bdr w:val="nil"/>
        </w:rPr>
        <w:t xml:space="preserve">equivalent </w:t>
      </w:r>
    </w:p>
    <w:p>
      <w:pPr>
        <w:shd w:val="clear" w:color="auto" w:fill="FFFFFF"/>
        <w:ind w:left="113"/>
        <w:rPr>
          <w:rFonts w:eastAsia="Calibri"/>
          <w:iCs/>
          <w:noProof/>
        </w:rPr>
      </w:pPr>
      <w:r>
        <w:rPr>
          <w:rFonts w:eastAsia="Arial Unicode MS" w:cs="Arial Unicode MS"/>
          <w:iCs/>
          <w:noProof/>
          <w:bdr w:val="nil"/>
        </w:rPr>
        <w:t>4.5 Energy: Volume of investment in the development, smartening and modernisation of sustainable energy infrastructure</w:t>
      </w:r>
    </w:p>
    <w:p>
      <w:pPr>
        <w:shd w:val="clear" w:color="auto" w:fill="FFFFFF"/>
        <w:ind w:left="113"/>
        <w:rPr>
          <w:rFonts w:eastAsia="Calibri"/>
          <w:iCs/>
          <w:noProof/>
        </w:rPr>
      </w:pPr>
      <w:r>
        <w:rPr>
          <w:rFonts w:eastAsia="Calibri"/>
          <w:iCs/>
          <w:noProof/>
        </w:rPr>
        <w:t>4.6 Digital: Additional households, enterprises or public buildings with broadband access of at least 100 Mbps upgradable to gigabit speed, or number of WIFI-hotspots created</w:t>
      </w:r>
    </w:p>
    <w:p>
      <w:pPr>
        <w:shd w:val="clear" w:color="auto" w:fill="FFFFFF"/>
        <w:ind w:left="113"/>
        <w:rPr>
          <w:rFonts w:eastAsia="Calibri"/>
          <w:noProof/>
          <w:bdr w:val="nil"/>
        </w:rPr>
      </w:pPr>
      <w:r>
        <w:rPr>
          <w:rFonts w:eastAsia="Calibri"/>
          <w:iCs/>
          <w:noProof/>
        </w:rPr>
        <w:t xml:space="preserve">4.7 </w:t>
      </w:r>
      <w:r>
        <w:rPr>
          <w:rFonts w:eastAsia="Calibri"/>
          <w:noProof/>
          <w:bdr w:val="nil"/>
        </w:rPr>
        <w:t xml:space="preserve">Transport: Investment mobilised, in particular in TEN-T </w:t>
      </w:r>
    </w:p>
    <w:p>
      <w:pPr>
        <w:shd w:val="clear" w:color="auto" w:fill="FFFFFF"/>
        <w:ind w:left="426"/>
        <w:rPr>
          <w:rFonts w:eastAsia="Calibri"/>
          <w:noProof/>
        </w:rPr>
      </w:pPr>
      <w:r>
        <w:rPr>
          <w:rFonts w:eastAsia="Calibri"/>
          <w:noProof/>
        </w:rPr>
        <w:t>– Number of cross-border and missing links projects (including projects relating to urban nodes, regional cross-border rail connections, multimodal platforms, maritime ports, inland ports, connections to airports and rail-road terminals of the TEN-T core and comprehensive network)</w:t>
      </w:r>
    </w:p>
    <w:p>
      <w:pPr>
        <w:shd w:val="clear" w:color="auto" w:fill="FFFFFF"/>
        <w:ind w:left="426"/>
        <w:rPr>
          <w:rFonts w:eastAsia="Calibri"/>
          <w:noProof/>
        </w:rPr>
      </w:pPr>
      <w:r>
        <w:rPr>
          <w:rFonts w:eastAsia="Calibri"/>
          <w:noProof/>
        </w:rPr>
        <w:t>– Number of projects contributing to the digitalisation of transport, in particular through the deployment of European Rail Traffic Management System (ERTMS), River Information System (RIS), Intelligent Transportation System (ITS), vessel traffic monitoring and information system (VTMIS)/e-maritime services and Single European Sky ATM Research (SESAR)</w:t>
      </w:r>
    </w:p>
    <w:p>
      <w:pPr>
        <w:shd w:val="clear" w:color="auto" w:fill="FFFFFF"/>
        <w:ind w:left="426"/>
        <w:rPr>
          <w:rFonts w:eastAsia="Calibri"/>
          <w:noProof/>
        </w:rPr>
      </w:pPr>
      <w:r>
        <w:rPr>
          <w:rFonts w:eastAsia="Calibri"/>
          <w:noProof/>
        </w:rPr>
        <w:t>– Number of alternative fuel supply points built or upgraded</w:t>
      </w:r>
    </w:p>
    <w:p>
      <w:pPr>
        <w:shd w:val="clear" w:color="auto" w:fill="FFFFFF"/>
        <w:ind w:left="426"/>
        <w:rPr>
          <w:rFonts w:eastAsia="Calibri"/>
          <w:iCs/>
          <w:noProof/>
        </w:rPr>
      </w:pPr>
      <w:r>
        <w:rPr>
          <w:rFonts w:eastAsia="Calibri"/>
          <w:noProof/>
        </w:rPr>
        <w:t>– Number of projects contributing to the safety of transport</w:t>
      </w:r>
    </w:p>
    <w:p>
      <w:pPr>
        <w:shd w:val="clear" w:color="auto" w:fill="FFFFFF"/>
        <w:ind w:left="113"/>
        <w:rPr>
          <w:rFonts w:eastAsia="Calibri"/>
          <w:iCs/>
          <w:noProof/>
        </w:rPr>
      </w:pPr>
      <w:r>
        <w:rPr>
          <w:rFonts w:eastAsia="Calibri"/>
          <w:iCs/>
          <w:noProof/>
        </w:rPr>
        <w:t>4.8 Environment: Investment contributing to the implementation of plans and programmes required by the Union environmental acquis relating to air quality, water, waste and nature</w:t>
      </w:r>
    </w:p>
    <w:p>
      <w:pPr>
        <w:shd w:val="clear" w:color="auto" w:fill="FFFFFF"/>
        <w:rPr>
          <w:rFonts w:eastAsia="Calibri"/>
          <w:noProof/>
        </w:rPr>
      </w:pPr>
      <w:r>
        <w:rPr>
          <w:rFonts w:eastAsia="Calibri"/>
          <w:noProof/>
        </w:rPr>
        <w:t xml:space="preserve">5. </w:t>
      </w:r>
      <w:r>
        <w:rPr>
          <w:rFonts w:eastAsia="Calibri"/>
          <w:bCs/>
          <w:noProof/>
        </w:rPr>
        <w:t xml:space="preserve">Research, innovation and digitisation </w:t>
      </w:r>
    </w:p>
    <w:p>
      <w:pPr>
        <w:shd w:val="clear" w:color="auto" w:fill="FFFFFF"/>
        <w:ind w:left="113"/>
        <w:rPr>
          <w:rFonts w:eastAsia="Calibri"/>
          <w:iCs/>
          <w:noProof/>
        </w:rPr>
      </w:pPr>
      <w:r>
        <w:rPr>
          <w:rFonts w:eastAsia="Calibri"/>
          <w:iCs/>
          <w:noProof/>
        </w:rPr>
        <w:t xml:space="preserve">5.1 Contribution to the objective of 3 % of the Union's </w:t>
      </w:r>
      <w:r>
        <w:rPr>
          <w:noProof/>
        </w:rPr>
        <w:t>gross domestic product (</w:t>
      </w:r>
      <w:r>
        <w:rPr>
          <w:rFonts w:eastAsia="Calibri"/>
          <w:iCs/>
          <w:noProof/>
        </w:rPr>
        <w:t xml:space="preserve">GDP) invested in research, development and innovation </w:t>
      </w:r>
    </w:p>
    <w:p>
      <w:pPr>
        <w:shd w:val="clear" w:color="auto" w:fill="FFFFFF"/>
        <w:ind w:left="113"/>
        <w:rPr>
          <w:rFonts w:eastAsia="Calibri"/>
          <w:iCs/>
          <w:noProof/>
        </w:rPr>
      </w:pPr>
      <w:r>
        <w:rPr>
          <w:rFonts w:eastAsia="Calibri"/>
          <w:iCs/>
          <w:noProof/>
        </w:rPr>
        <w:t xml:space="preserve">5.2 </w:t>
      </w:r>
      <w:r>
        <w:rPr>
          <w:rFonts w:eastAsia="Calibri"/>
          <w:noProof/>
          <w:bdr w:val="nil"/>
        </w:rPr>
        <w:t>Number of enterprises supported</w:t>
      </w:r>
      <w:r>
        <w:rPr>
          <w:rFonts w:eastAsia="Arial Unicode MS" w:cs="Arial Unicode MS"/>
          <w:noProof/>
          <w:bdr w:val="nil"/>
        </w:rPr>
        <w:t xml:space="preserve"> by size</w:t>
      </w:r>
      <w:r>
        <w:rPr>
          <w:rFonts w:eastAsia="Calibri"/>
          <w:noProof/>
          <w:bdr w:val="nil"/>
        </w:rPr>
        <w:t xml:space="preserve"> carrying out research and innovation projects</w:t>
      </w:r>
    </w:p>
    <w:p>
      <w:pPr>
        <w:shd w:val="clear" w:color="auto" w:fill="FFFFFF"/>
        <w:rPr>
          <w:rFonts w:eastAsia="Calibri"/>
          <w:noProof/>
        </w:rPr>
      </w:pPr>
      <w:r>
        <w:rPr>
          <w:rFonts w:eastAsia="Calibri"/>
          <w:noProof/>
        </w:rPr>
        <w:t xml:space="preserve">6. </w:t>
      </w:r>
      <w:r>
        <w:rPr>
          <w:rFonts w:eastAsia="Calibri"/>
          <w:bCs/>
          <w:noProof/>
        </w:rPr>
        <w:t>SMEs</w:t>
      </w:r>
    </w:p>
    <w:p>
      <w:pPr>
        <w:shd w:val="clear" w:color="auto" w:fill="FFFFFF"/>
        <w:ind w:left="113"/>
        <w:rPr>
          <w:rFonts w:eastAsia="Calibri"/>
          <w:iCs/>
          <w:noProof/>
        </w:rPr>
      </w:pPr>
      <w:r>
        <w:rPr>
          <w:rFonts w:eastAsia="Calibri"/>
          <w:iCs/>
          <w:noProof/>
        </w:rPr>
        <w:t>6.1 Number of enterprises supported by size (micro, small, medium-sized and small mid-cap companies)</w:t>
      </w:r>
    </w:p>
    <w:p>
      <w:pPr>
        <w:shd w:val="clear" w:color="auto" w:fill="FFFFFF"/>
        <w:ind w:left="113"/>
        <w:rPr>
          <w:rFonts w:eastAsia="Calibri"/>
          <w:iCs/>
          <w:noProof/>
        </w:rPr>
      </w:pPr>
      <w:r>
        <w:rPr>
          <w:rFonts w:eastAsia="Calibri"/>
          <w:iCs/>
          <w:noProof/>
        </w:rPr>
        <w:t>6.2 Number of enterprises supported by stage (early, growth/expansion)</w:t>
      </w:r>
    </w:p>
    <w:p>
      <w:pPr>
        <w:shd w:val="clear" w:color="auto" w:fill="FFFFFF"/>
        <w:ind w:left="113"/>
        <w:rPr>
          <w:rFonts w:eastAsia="Arial Unicode MS" w:cs="Arial Unicode MS"/>
          <w:noProof/>
          <w:bdr w:val="nil"/>
        </w:rPr>
      </w:pPr>
      <w:r>
        <w:rPr>
          <w:rFonts w:eastAsia="Arial Unicode MS" w:cs="Arial Unicode MS"/>
          <w:noProof/>
          <w:bdr w:val="nil"/>
        </w:rPr>
        <w:t>6.3 Number of enterprises supported by Member State and region at NUTS 2 level</w:t>
      </w:r>
    </w:p>
    <w:p>
      <w:pPr>
        <w:shd w:val="clear" w:color="auto" w:fill="FFFFFF"/>
        <w:ind w:left="113"/>
        <w:rPr>
          <w:rFonts w:eastAsia="Calibri"/>
          <w:iCs/>
          <w:noProof/>
        </w:rPr>
      </w:pPr>
      <w:r>
        <w:rPr>
          <w:rFonts w:eastAsia="Calibri"/>
          <w:iCs/>
          <w:noProof/>
        </w:rPr>
        <w:t>6.4 Number of enterprises supported by sectors by statistical classification of economic activities in the European Union (NACE) code</w:t>
      </w:r>
    </w:p>
    <w:p>
      <w:pPr>
        <w:shd w:val="clear" w:color="auto" w:fill="FFFFFF"/>
        <w:ind w:left="113"/>
        <w:rPr>
          <w:rFonts w:eastAsia="Calibri"/>
          <w:iCs/>
          <w:noProof/>
        </w:rPr>
      </w:pPr>
      <w:r>
        <w:rPr>
          <w:rFonts w:eastAsia="Calibri"/>
          <w:iCs/>
          <w:noProof/>
        </w:rPr>
        <w:t>6.5 Percentage of investment volume under the SME policy window directed towards SMEs</w:t>
      </w:r>
    </w:p>
    <w:p>
      <w:pPr>
        <w:shd w:val="clear" w:color="auto" w:fill="FFFFFF"/>
        <w:rPr>
          <w:rFonts w:eastAsia="Calibri"/>
          <w:noProof/>
        </w:rPr>
      </w:pPr>
      <w:r>
        <w:rPr>
          <w:rFonts w:eastAsia="Calibri"/>
          <w:noProof/>
        </w:rPr>
        <w:t xml:space="preserve">7. </w:t>
      </w:r>
      <w:r>
        <w:rPr>
          <w:rFonts w:eastAsia="Calibri"/>
          <w:bCs/>
          <w:noProof/>
        </w:rPr>
        <w:t xml:space="preserve">Social investment and skills </w:t>
      </w:r>
    </w:p>
    <w:p>
      <w:pPr>
        <w:shd w:val="clear" w:color="auto" w:fill="FFFFFF"/>
        <w:ind w:left="113"/>
        <w:rPr>
          <w:rFonts w:eastAsia="Calibri"/>
          <w:iCs/>
          <w:noProof/>
        </w:rPr>
      </w:pPr>
      <w:r>
        <w:rPr>
          <w:rFonts w:eastAsia="Calibri"/>
          <w:iCs/>
          <w:noProof/>
        </w:rPr>
        <w:t xml:space="preserve">7.1 </w:t>
      </w:r>
      <w:r>
        <w:rPr>
          <w:rFonts w:eastAsia="Calibri"/>
          <w:noProof/>
        </w:rPr>
        <w:t>Social infrastructure: Capacity and access to supported social infrastructure by sector: housing, education, health, other</w:t>
      </w:r>
    </w:p>
    <w:p>
      <w:pPr>
        <w:shd w:val="clear" w:color="auto" w:fill="FFFFFF"/>
        <w:ind w:left="113"/>
        <w:rPr>
          <w:rFonts w:eastAsia="Calibri"/>
          <w:iCs/>
          <w:noProof/>
        </w:rPr>
      </w:pPr>
      <w:r>
        <w:rPr>
          <w:rFonts w:eastAsia="Calibri"/>
          <w:iCs/>
          <w:noProof/>
        </w:rPr>
        <w:t xml:space="preserve">7.2 Microfinance and social enterprise finance:  Number of </w:t>
      </w:r>
      <w:r>
        <w:rPr>
          <w:rFonts w:eastAsia="Calibri"/>
          <w:noProof/>
        </w:rPr>
        <w:t xml:space="preserve">microfinance recipients and </w:t>
      </w:r>
      <w:r>
        <w:rPr>
          <w:rFonts w:eastAsia="Calibri"/>
          <w:iCs/>
          <w:noProof/>
        </w:rPr>
        <w:t>social enterprises supported</w:t>
      </w:r>
    </w:p>
    <w:p>
      <w:pPr>
        <w:shd w:val="clear" w:color="auto" w:fill="FFFFFF"/>
        <w:ind w:left="113"/>
        <w:rPr>
          <w:rFonts w:eastAsia="Calibri"/>
          <w:iCs/>
          <w:noProof/>
        </w:rPr>
      </w:pPr>
      <w:r>
        <w:rPr>
          <w:rFonts w:eastAsia="Calibri"/>
          <w:iCs/>
          <w:noProof/>
        </w:rPr>
        <w:t xml:space="preserve">7.3 </w:t>
      </w:r>
      <w:r>
        <w:rPr>
          <w:rFonts w:eastAsia="Calibri"/>
          <w:noProof/>
        </w:rPr>
        <w:t xml:space="preserve">Skills: Number of individuals acquiring new skills or having their skills validated and certified: formal, </w:t>
      </w:r>
      <w:r>
        <w:rPr>
          <w:rFonts w:eastAsia="Calibri"/>
          <w:iCs/>
          <w:noProof/>
        </w:rPr>
        <w:t>education and training qualification</w:t>
      </w:r>
    </w:p>
    <w:p>
      <w:pPr>
        <w:shd w:val="clear" w:color="auto" w:fill="FFFFFF"/>
        <w:rPr>
          <w:rFonts w:eastAsia="Calibri"/>
          <w:noProof/>
          <w:szCs w:val="24"/>
        </w:rPr>
      </w:pPr>
      <w:r>
        <w:rPr>
          <w:rFonts w:eastAsia="Calibri"/>
          <w:noProof/>
          <w:szCs w:val="24"/>
        </w:rPr>
        <w:t xml:space="preserve">8. </w:t>
      </w:r>
      <w:r>
        <w:rPr>
          <w:rFonts w:eastAsia="Calibri"/>
          <w:bCs/>
          <w:noProof/>
          <w:szCs w:val="24"/>
        </w:rPr>
        <w:t xml:space="preserve">Strategic European investment </w:t>
      </w:r>
    </w:p>
    <w:p>
      <w:pPr>
        <w:shd w:val="clear" w:color="auto" w:fill="FFFFFF"/>
        <w:ind w:left="113"/>
        <w:rPr>
          <w:rFonts w:eastAsia="Calibri"/>
          <w:iCs/>
          <w:noProof/>
          <w:szCs w:val="24"/>
        </w:rPr>
      </w:pPr>
      <w:r>
        <w:rPr>
          <w:bCs/>
          <w:noProof/>
          <w:szCs w:val="24"/>
          <w:lang w:eastAsia="de-DE"/>
        </w:rPr>
        <w:t xml:space="preserve">8.1 Number and volume of operations contributing to the provision of critical infrastructure, broken down by physical infrastructure and the associated goods and services, where applicable </w:t>
      </w:r>
    </w:p>
    <w:p>
      <w:pPr>
        <w:shd w:val="clear" w:color="auto" w:fill="FFFFFF"/>
        <w:ind w:left="113"/>
        <w:rPr>
          <w:rFonts w:eastAsia="Calibri"/>
          <w:iCs/>
          <w:noProof/>
          <w:szCs w:val="24"/>
        </w:rPr>
      </w:pPr>
      <w:r>
        <w:rPr>
          <w:bCs/>
          <w:noProof/>
          <w:szCs w:val="24"/>
          <w:lang w:eastAsia="de-DE"/>
        </w:rPr>
        <w:t>8.2 Additional Capacity of critical infrastructure, broken down by areas, where applicable</w:t>
      </w:r>
    </w:p>
    <w:p>
      <w:pPr>
        <w:shd w:val="clear" w:color="auto" w:fill="FFFFFF"/>
        <w:ind w:left="113"/>
        <w:rPr>
          <w:rFonts w:eastAsia="Calibri"/>
          <w:iCs/>
          <w:noProof/>
          <w:szCs w:val="24"/>
        </w:rPr>
      </w:pPr>
      <w:r>
        <w:rPr>
          <w:bCs/>
          <w:noProof/>
          <w:szCs w:val="24"/>
          <w:lang w:eastAsia="de-DE"/>
        </w:rPr>
        <w:t xml:space="preserve">8.3 Number and volume of operations contributing to the development of critical technologies </w:t>
      </w:r>
      <w:r>
        <w:rPr>
          <w:bCs/>
          <w:noProof/>
          <w:szCs w:val="24"/>
        </w:rPr>
        <w:t>and inputs for the security of the Union and its Member States,</w:t>
      </w:r>
      <w:r>
        <w:rPr>
          <w:bCs/>
          <w:noProof/>
          <w:szCs w:val="24"/>
          <w:lang w:eastAsia="de-DE"/>
        </w:rPr>
        <w:t xml:space="preserve"> and dual use items </w:t>
      </w:r>
    </w:p>
    <w:p>
      <w:pPr>
        <w:shd w:val="clear" w:color="auto" w:fill="FFFFFF"/>
        <w:ind w:left="113"/>
        <w:rPr>
          <w:rFonts w:eastAsia="Calibri"/>
          <w:iCs/>
          <w:noProof/>
          <w:szCs w:val="24"/>
        </w:rPr>
      </w:pPr>
      <w:r>
        <w:rPr>
          <w:bCs/>
          <w:noProof/>
          <w:szCs w:val="24"/>
          <w:lang w:eastAsia="de-DE"/>
        </w:rPr>
        <w:t xml:space="preserve">8.4 Number of enterprises supported by size developing and manufacturing critical technologies </w:t>
      </w:r>
      <w:r>
        <w:rPr>
          <w:bCs/>
          <w:noProof/>
          <w:szCs w:val="24"/>
        </w:rPr>
        <w:t>and inputs for the security of the Union and its Member States,</w:t>
      </w:r>
      <w:r>
        <w:rPr>
          <w:bCs/>
          <w:noProof/>
          <w:szCs w:val="24"/>
          <w:lang w:eastAsia="de-DE"/>
        </w:rPr>
        <w:t xml:space="preserve"> and dual use items</w:t>
      </w:r>
    </w:p>
    <w:p>
      <w:pPr>
        <w:shd w:val="clear" w:color="auto" w:fill="FFFFFF"/>
        <w:ind w:left="113"/>
        <w:rPr>
          <w:rFonts w:eastAsia="Calibri"/>
          <w:iCs/>
          <w:noProof/>
          <w:szCs w:val="24"/>
        </w:rPr>
      </w:pPr>
      <w:r>
        <w:rPr>
          <w:bCs/>
          <w:noProof/>
          <w:szCs w:val="24"/>
          <w:lang w:eastAsia="de-DE"/>
        </w:rPr>
        <w:t xml:space="preserve">8.5 Number and volume of operations contributing to the supply, manufacturing and stockpiling of critical inputs, including critical healthcare provisions </w:t>
      </w:r>
    </w:p>
    <w:p>
      <w:pPr>
        <w:shd w:val="clear" w:color="auto" w:fill="FFFFFF"/>
        <w:ind w:left="113"/>
        <w:rPr>
          <w:rFonts w:eastAsia="Calibri"/>
          <w:iCs/>
          <w:noProof/>
          <w:szCs w:val="24"/>
        </w:rPr>
      </w:pPr>
      <w:r>
        <w:rPr>
          <w:bCs/>
          <w:noProof/>
          <w:szCs w:val="24"/>
          <w:lang w:eastAsia="de-DE"/>
        </w:rPr>
        <w:t>8.6 Additional critical inputs, including critical healthcare provisions, supported for supply, manufacturing and stockpiling, by type, where applicable</w:t>
      </w:r>
    </w:p>
    <w:p>
      <w:pPr>
        <w:shd w:val="clear" w:color="auto" w:fill="FFFFFF"/>
        <w:ind w:left="113"/>
        <w:rPr>
          <w:noProof/>
          <w:lang w:eastAsia="de-DE"/>
        </w:rPr>
      </w:pPr>
      <w:r>
        <w:rPr>
          <w:bCs/>
          <w:noProof/>
          <w:szCs w:val="24"/>
          <w:lang w:eastAsia="de-DE"/>
        </w:rPr>
        <w:t>8.7 Number and volume of operations supporting key enabling and digital technologies that are strategically important for the Union’s industrial future.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3 13:39: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3"/>
    <w:docVar w:name="LW_ANNEX_NBR_LAST" w:val="3"/>
    <w:docVar w:name="LW_ANNEX_UNIQUE" w:val="0"/>
    <w:docVar w:name="LW_CORRIGENDUM" w:val="&lt;UNUSED&gt;"/>
    <w:docVar w:name="LW_COVERPAGE_EXISTS" w:val="True"/>
    <w:docVar w:name="LW_COVERPAGE_GUID" w:val="A9E84110-044A-4BFC-8284-CE76037420C6"/>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establishing the InvestEU Programme&lt;/FMT&gt;"/>
    <w:docVar w:name="LW_OBJETACTEPRINCIPAL.CP" w:val="&lt;FMT:Bold&gt;establishing the InvestEU Programme&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21E49E-2BDF-40EA-A354-F49C5A95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697</Words>
  <Characters>4328</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10</cp:revision>
  <dcterms:created xsi:type="dcterms:W3CDTF">2020-05-26T15:16:00Z</dcterms:created>
  <dcterms:modified xsi:type="dcterms:W3CDTF">2020-05-29T05:14:00Z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