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7161DF22-DCC1-446B-A9F4-C8AF52E9C1E8" style="width:450.75pt;height:366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1" w:name="_GoBack"/>
      <w:bookmarkEnd w:id="1"/>
      <w:r>
        <w:rPr>
          <w:noProof/>
        </w:rPr>
        <w:lastRenderedPageBreak/>
        <w:t xml:space="preserve">ANNEXE IV </w:t>
      </w:r>
      <w:r>
        <w:rPr>
          <w:noProof/>
        </w:rPr>
        <w:br/>
        <w:t>Le programme InvestEU – Instruments prédécesseurs</w:t>
      </w:r>
    </w:p>
    <w:p>
      <w:pPr>
        <w:shd w:val="clear" w:color="auto" w:fill="FFFFFF"/>
        <w:spacing w:before="120" w:line="240" w:lineRule="auto"/>
        <w:jc w:val="both"/>
        <w:rPr>
          <w:rFonts w:ascii="Times New Roman" w:hAnsi="Times New Roman" w:cs="Times New Roman"/>
          <w:bCs/>
          <w:noProof/>
          <w:sz w:val="24"/>
          <w:szCs w:val="24"/>
        </w:rPr>
      </w:pPr>
      <w:r>
        <w:rPr>
          <w:noProof/>
        </w:rPr>
        <w:tab/>
      </w:r>
    </w:p>
    <w:p>
      <w:pPr>
        <w:shd w:val="clear" w:color="auto" w:fill="FFFFFF"/>
        <w:spacing w:before="120" w:line="240" w:lineRule="auto"/>
        <w:jc w:val="both"/>
        <w:rPr>
          <w:rFonts w:ascii="Times New Roman" w:eastAsia="Calibri" w:hAnsi="Times New Roman" w:cs="Times New Roman"/>
          <w:b/>
          <w:noProof/>
          <w:sz w:val="24"/>
          <w:szCs w:val="24"/>
        </w:rPr>
      </w:pPr>
      <w:r>
        <w:rPr>
          <w:rFonts w:ascii="Times New Roman" w:hAnsi="Times New Roman"/>
          <w:noProof/>
          <w:sz w:val="24"/>
          <w:szCs w:val="24"/>
        </w:rPr>
        <w:t>A. Instruments de capitaux propres</w:t>
      </w:r>
      <w:r>
        <w:rPr>
          <w:rFonts w:ascii="Times New Roman" w:hAnsi="Times New Roman"/>
          <w:bCs/>
          <w:noProof/>
          <w:sz w:val="24"/>
          <w:szCs w:val="24"/>
        </w:rPr>
        <w:t>:</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2" w:name="DQCErrorScopeEF8BE52930EE4E4BA251D90F21C"/>
      <w:r>
        <w:rPr>
          <w:rFonts w:ascii="Symbol" w:hAnsi="Symbol"/>
          <w:noProof/>
          <w:sz w:val="24"/>
        </w:rPr>
        <w:t></w:t>
      </w:r>
      <w:r>
        <w:rPr>
          <w:noProof/>
        </w:rPr>
        <w:tab/>
      </w:r>
      <w:bookmarkEnd w:id="2"/>
      <w:r>
        <w:rPr>
          <w:rFonts w:ascii="Times New Roman" w:hAnsi="Times New Roman"/>
          <w:noProof/>
          <w:sz w:val="24"/>
        </w:rPr>
        <w:t>Mécanisme européen pour les technologies (MET98): décision 98/347/CE du Conseil du 19 mai 1998 concernant des mesures d’assistance financière aux petites et moyennes entreprises (PME) innovantes et créatrices d’emploi (JO L 155 du 29.5.1998, p. 43)</w:t>
      </w:r>
    </w:p>
    <w:p>
      <w:pPr>
        <w:shd w:val="clear" w:color="auto" w:fill="FFFFFF"/>
        <w:tabs>
          <w:tab w:val="left" w:pos="850"/>
        </w:tabs>
        <w:spacing w:before="120" w:after="120" w:line="240" w:lineRule="auto"/>
        <w:ind w:left="850" w:hanging="850"/>
        <w:jc w:val="both"/>
        <w:rPr>
          <w:rFonts w:ascii="Times New Roman" w:eastAsia="Calibri" w:hAnsi="Times New Roman" w:cs="Times New Roman"/>
          <w:i/>
          <w:noProof/>
          <w:color w:val="595959"/>
          <w:sz w:val="24"/>
        </w:rPr>
      </w:pPr>
      <w:bookmarkStart w:id="3" w:name="DQCErrorScopeFA691756B0B74D2EA39C7C6F405"/>
      <w:r>
        <w:rPr>
          <w:rFonts w:ascii="Symbol" w:hAnsi="Symbol"/>
          <w:noProof/>
          <w:color w:val="595959"/>
          <w:sz w:val="24"/>
        </w:rPr>
        <w:t></w:t>
      </w:r>
      <w:r>
        <w:rPr>
          <w:noProof/>
        </w:rPr>
        <w:tab/>
      </w:r>
      <w:bookmarkEnd w:id="3"/>
      <w:r>
        <w:rPr>
          <w:rFonts w:ascii="Times New Roman" w:hAnsi="Times New Roman"/>
          <w:noProof/>
          <w:sz w:val="24"/>
        </w:rPr>
        <w:t xml:space="preserve">Projet pilote de transfert de technologie (PTT): décision de la Commission portant adoption d’une décision de financement complémentaire relative au financement d’actions de l’activité «Marché intérieur des biens et politiques sectorielles» de la direction générale des entreprises et de l’industrie pour l’année 2007 et portant adoption de la décision d’encadrement relative au financement de l’action préparatoire «Le rôle à jouer par l’Union européenne dans un monde globalisé» et de quatre projets pilotes «Erasmus Jeunes entrepreneurs», «Mesures visant à promouvoir la coopération et les partenariats entre les microentreprises et les PME», «Transfert de technologies» et «Destinations européennes d’excellence» de la direction générale des entreprises et de l’industrie pour l’année 2007 </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4" w:name="DQCErrorScope4FBBA76E3EFB46D0971CECD380A"/>
      <w:r>
        <w:rPr>
          <w:rFonts w:ascii="Symbol" w:hAnsi="Symbol"/>
          <w:noProof/>
          <w:sz w:val="24"/>
        </w:rPr>
        <w:t></w:t>
      </w:r>
      <w:bookmarkEnd w:id="4"/>
      <w:r>
        <w:rPr>
          <w:noProof/>
        </w:rPr>
        <w:tab/>
      </w:r>
      <w:r>
        <w:rPr>
          <w:rFonts w:ascii="Times New Roman" w:hAnsi="Times New Roman"/>
          <w:noProof/>
          <w:sz w:val="24"/>
        </w:rPr>
        <w:t>Mécanisme européen pour les technologies (MET01): décision 2000/819/CE du Conseil du 20 décembre 2000 relative à un programme pluriannuel pour les entreprises et l’esprit d’entreprise, en particulier pour les petites et moyennes entreprises (PME) (2001-2005) (JO L 333 du 29.12.2000, p. 84)</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5" w:name="DQCErrorScopeD8094478AA48485FA344EF01855"/>
      <w:r>
        <w:rPr>
          <w:rFonts w:ascii="Symbol" w:hAnsi="Symbol"/>
          <w:noProof/>
          <w:sz w:val="24"/>
        </w:rPr>
        <w:t></w:t>
      </w:r>
      <w:r>
        <w:rPr>
          <w:noProof/>
        </w:rPr>
        <w:tab/>
      </w:r>
      <w:bookmarkEnd w:id="5"/>
      <w:r>
        <w:rPr>
          <w:rFonts w:ascii="Times New Roman" w:hAnsi="Times New Roman"/>
          <w:noProof/>
          <w:sz w:val="24"/>
        </w:rPr>
        <w:t xml:space="preserve"> Mécanisme en faveur des PME innovantes et à forte croissance du programme-cadre pour l’innovation et la compétitivité (CIP GIF): décision nº 1639/2006/CE du Parlement européen et du Conseil du 24 octobre 2006 établissant un programme-cadre pour l’innovation et la compétitivité (2007-2013) (JO L 310 du 9.11.2006, p. 15)</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6" w:name="DQCErrorScopeF58B4A71F88B4548A4C0F09A957"/>
      <w:r>
        <w:rPr>
          <w:rFonts w:ascii="Symbol" w:hAnsi="Symbol"/>
          <w:noProof/>
          <w:sz w:val="24"/>
        </w:rPr>
        <w:t></w:t>
      </w:r>
      <w:r>
        <w:rPr>
          <w:noProof/>
        </w:rPr>
        <w:tab/>
      </w:r>
      <w:bookmarkEnd w:id="6"/>
      <w:r>
        <w:rPr>
          <w:rFonts w:ascii="Times New Roman" w:hAnsi="Times New Roman"/>
          <w:noProof/>
          <w:sz w:val="24"/>
        </w:rPr>
        <w:t>Mécanisme pour l’interconnexion en Europe (MIE): règlement (UE) nº 1316/2013 du Parlement européen et du Conseil du 11 décembre 2013 établissant le mécanisme pour l’interconnexion en Europe, modifiant le règlement (UE) nº 913/2010 et abrogeant les règlements (CE) nº 680/2007 et (CE) nº 67/2010 (JO L 348 du 20.12.2013, p. 129), tel que modifié par le 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(JO L 169 du 1.7.2015, p. 1)</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szCs w:val="24"/>
        </w:rPr>
      </w:pPr>
      <w:bookmarkStart w:id="7" w:name="DQCErrorScopeDCC5D4E020124A5BBE239C21B9A"/>
      <w:r>
        <w:rPr>
          <w:rFonts w:ascii="Symbol" w:hAnsi="Symbol"/>
          <w:noProof/>
          <w:sz w:val="24"/>
          <w:szCs w:val="24"/>
        </w:rPr>
        <w:t></w:t>
      </w:r>
      <w:bookmarkEnd w:id="7"/>
      <w:r>
        <w:rPr>
          <w:noProof/>
        </w:rPr>
        <w:tab/>
      </w:r>
      <w:r>
        <w:rPr>
          <w:rFonts w:ascii="Times New Roman" w:hAnsi="Times New Roman"/>
          <w:bCs/>
          <w:noProof/>
          <w:sz w:val="24"/>
          <w:szCs w:val="24"/>
        </w:rPr>
        <w:t xml:space="preserve">Mécanisme de fonds propres pour la croissance du programme COSME (mécanisme COSME EFG): </w:t>
      </w:r>
      <w:r>
        <w:rPr>
          <w:rFonts w:ascii="Times New Roman" w:hAnsi="Times New Roman"/>
          <w:noProof/>
          <w:sz w:val="24"/>
          <w:szCs w:val="24"/>
        </w:rPr>
        <w:t>règlement (UE) nº 1287/2013 du Parlement européen et du Conseil du 11 décembre 2013 établissant un programme pour la compétitivité des entreprises et pour les petites et moyennes entreprises (COSME) (2014-2020) et abrogeant la décision nº 1639/2006/CE (JO L 347 du 20.12.2013, p. 33)</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8" w:name="DQCErrorScope7D0AED1428B64F08B76D90FABCB"/>
      <w:r>
        <w:rPr>
          <w:rFonts w:ascii="Symbol" w:hAnsi="Symbol"/>
          <w:noProof/>
          <w:sz w:val="24"/>
        </w:rPr>
        <w:t></w:t>
      </w:r>
      <w:r>
        <w:rPr>
          <w:noProof/>
        </w:rPr>
        <w:tab/>
      </w:r>
      <w:bookmarkEnd w:id="8"/>
      <w:r>
        <w:rPr>
          <w:rFonts w:ascii="Times New Roman" w:hAnsi="Times New Roman"/>
          <w:noProof/>
          <w:sz w:val="24"/>
        </w:rPr>
        <w:t>Mécanisme de fonds propres InnovFin:</w:t>
      </w:r>
    </w:p>
    <w:p>
      <w:pPr>
        <w:shd w:val="clear" w:color="auto" w:fill="FFFFFF"/>
        <w:tabs>
          <w:tab w:val="left" w:pos="1417"/>
        </w:tabs>
        <w:spacing w:before="120" w:after="120" w:line="240" w:lineRule="auto"/>
        <w:ind w:left="1417" w:hanging="567"/>
        <w:jc w:val="both"/>
        <w:rPr>
          <w:rFonts w:ascii="Times New Roman" w:eastAsia="Calibri"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règlement (UE) nº 1291/2013 du Parlement européen et du Conseil du 11 décembre 2013 portant établissement du programme-cadre pour la recherche et l’innovation «Horizon 2020» (2014-2020) et abrogeant la décision nº 1982/2006/CE (JO L 347 du 20.12.2013, p. 104);</w:t>
      </w:r>
    </w:p>
    <w:p>
      <w:pPr>
        <w:shd w:val="clear" w:color="auto" w:fill="FFFFFF"/>
        <w:tabs>
          <w:tab w:val="left" w:pos="1417"/>
        </w:tabs>
        <w:spacing w:before="120" w:after="120" w:line="240" w:lineRule="auto"/>
        <w:ind w:left="1417" w:hanging="567"/>
        <w:jc w:val="both"/>
        <w:rPr>
          <w:rFonts w:ascii="Times New Roman" w:eastAsia="Calibri"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règlement (UE) nº 1290/2013 du Parlement européen et du Conseil du 11 décembre 2013 définissant les règles de participation au programme-cadre pour la recherche et l’innovation «Horizon 2020» (2014-2020) et les règles de diffusion des résultats et abrogeant le règlement (CE) nº 1906/2006 (JO L 347 du 20.12.2013, p. 81);</w:t>
      </w:r>
    </w:p>
    <w:p>
      <w:pPr>
        <w:shd w:val="clear" w:color="auto" w:fill="FFFFFF"/>
        <w:tabs>
          <w:tab w:val="left" w:pos="1417"/>
        </w:tabs>
        <w:spacing w:before="120" w:after="120" w:line="240" w:lineRule="auto"/>
        <w:ind w:left="1417" w:hanging="567"/>
        <w:jc w:val="both"/>
        <w:rPr>
          <w:rFonts w:ascii="Times New Roman" w:eastAsia="Calibri"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décision 2013/743/UE du Conseil du 3 décembre 2013 établissant le programme spécifique d’exécution du programme-cadre pour la recherche et l’innovation «Horizon 2020» (2014-2020) et abrogeant les décisions 2006/971/CE, 2006/972/CE, 2006/973/CE, 2006/974/CE et 2006/975/CE (JO L 347 du 20.12.2013, p. 965)</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9" w:name="DQCErrorScopeFA8182335CAD4690A7173153083"/>
      <w:r>
        <w:rPr>
          <w:rFonts w:ascii="Symbol" w:hAnsi="Symbol"/>
          <w:noProof/>
          <w:sz w:val="24"/>
        </w:rPr>
        <w:t></w:t>
      </w:r>
      <w:r>
        <w:rPr>
          <w:noProof/>
        </w:rPr>
        <w:tab/>
      </w:r>
      <w:bookmarkEnd w:id="9"/>
      <w:r>
        <w:rPr>
          <w:rFonts w:ascii="Times New Roman" w:hAnsi="Times New Roman"/>
          <w:noProof/>
          <w:sz w:val="24"/>
        </w:rPr>
        <w:t>Volet «Investissements pour le renforcement des capacités» de l’EaSI: règlement (UE) nº 1296/2013 du Parlement européen et du Conseil du 11 décembre 2013 établissant un programme de l’Union européenne pour l’emploi et l’innovation sociale (EaSI) et modifiant la décision nº 283/2010/UE instituant un instrument européen de microfinancement Progress en faveur de l’emploi et de l’inclusion sociale (JO L 347 du 20.12.2013, p. 238)</w:t>
      </w:r>
    </w:p>
    <w:p>
      <w:pPr>
        <w:shd w:val="clear" w:color="auto" w:fill="FFFFFF"/>
        <w:spacing w:before="120" w:line="240" w:lineRule="auto"/>
        <w:jc w:val="both"/>
        <w:rPr>
          <w:rFonts w:ascii="Times New Roman" w:eastAsia="Calibri" w:hAnsi="Times New Roman" w:cs="Times New Roman"/>
          <w:noProof/>
          <w:sz w:val="24"/>
          <w:szCs w:val="24"/>
        </w:rPr>
      </w:pPr>
      <w:r>
        <w:rPr>
          <w:rFonts w:ascii="Times New Roman" w:hAnsi="Times New Roman"/>
          <w:noProof/>
          <w:sz w:val="24"/>
          <w:szCs w:val="24"/>
        </w:rPr>
        <w:t>B. Instruments de garantie:</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10" w:name="DQCErrorScope150A43B0106F497C8BFD812CAB8"/>
      <w:r>
        <w:rPr>
          <w:rFonts w:ascii="Symbol" w:hAnsi="Symbol"/>
          <w:noProof/>
          <w:sz w:val="24"/>
        </w:rPr>
        <w:t></w:t>
      </w:r>
      <w:bookmarkEnd w:id="10"/>
      <w:r>
        <w:rPr>
          <w:noProof/>
        </w:rPr>
        <w:tab/>
      </w:r>
      <w:r>
        <w:rPr>
          <w:rFonts w:ascii="Times New Roman" w:hAnsi="Times New Roman"/>
          <w:noProof/>
          <w:sz w:val="24"/>
        </w:rPr>
        <w:t>Mécanisme de garantie PME 98 (SMEG98): décision 98/347/CE du Conseil du 19 mai 1998 concernant des mesures d’assistance financière aux petites et moyennes entreprises (PME) innovantes et créatrices d’emploi (JO L 155 du 29.5.1998, p. 43)</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11" w:name="DQCErrorScopeB7313D87BF204A71A5575F17057"/>
      <w:r>
        <w:rPr>
          <w:rFonts w:ascii="Symbol" w:hAnsi="Symbol"/>
          <w:noProof/>
          <w:sz w:val="24"/>
        </w:rPr>
        <w:t></w:t>
      </w:r>
      <w:r>
        <w:rPr>
          <w:noProof/>
        </w:rPr>
        <w:tab/>
      </w:r>
      <w:bookmarkEnd w:id="11"/>
      <w:r>
        <w:rPr>
          <w:rFonts w:ascii="Times New Roman" w:hAnsi="Times New Roman"/>
          <w:noProof/>
          <w:sz w:val="24"/>
        </w:rPr>
        <w:t>Mécanisme de garantie PME 01 (SMEG01): décision 2000/819/CE du Conseil du 20 décembre 2000 relative à un programme pluriannuel pour les entreprises et l’esprit d’entreprise, en particulier pour les petites et moyennes entreprises (PME) (2001-2005) (JO L 333 du 29.12.2000, p. 84)</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12" w:name="DQCErrorScope3581E73BABEF4CBFA210A7217CF"/>
      <w:r>
        <w:rPr>
          <w:rFonts w:ascii="Symbol" w:hAnsi="Symbol"/>
          <w:noProof/>
          <w:sz w:val="24"/>
        </w:rPr>
        <w:t></w:t>
      </w:r>
      <w:r>
        <w:rPr>
          <w:noProof/>
        </w:rPr>
        <w:tab/>
      </w:r>
      <w:bookmarkEnd w:id="12"/>
      <w:r>
        <w:rPr>
          <w:rFonts w:ascii="Times New Roman" w:hAnsi="Times New Roman"/>
          <w:noProof/>
          <w:sz w:val="24"/>
        </w:rPr>
        <w:t xml:space="preserve"> Mécanisme de garantie PME 07 du programme-cadre pour l’innovation et la compétitivité (CIP SMEG07): décision nº 1639/2006/CE du Parlement européen et du Conseil du 24 octobre 2006 établissant un programme-cadre pour l’innovation et la compétitivité (2007-2013) (JO L 310 du 9.11.2006, p. 15)</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13" w:name="DQCErrorScopeC0FA01F4586F4DAA80284EF09EB"/>
      <w:r>
        <w:rPr>
          <w:rFonts w:ascii="Symbol" w:hAnsi="Symbol"/>
          <w:noProof/>
          <w:sz w:val="24"/>
        </w:rPr>
        <w:t></w:t>
      </w:r>
      <w:r>
        <w:rPr>
          <w:noProof/>
        </w:rPr>
        <w:tab/>
      </w:r>
      <w:bookmarkEnd w:id="13"/>
      <w:r>
        <w:rPr>
          <w:rFonts w:ascii="Times New Roman" w:hAnsi="Times New Roman"/>
          <w:noProof/>
          <w:sz w:val="24"/>
        </w:rPr>
        <w:t>Instrument européen de microfinancement Progress – Garantie (EPMF-G): décision nº 283/2010/UE du Parlement européen et du Conseil du 25 mars 2010 instituant un instrument européen de microfinancement Progress en faveur de l’emploi et de l’inclusion sociale (JO L 87 du 7.4.2010, p. 1)</w:t>
      </w:r>
    </w:p>
    <w:p>
      <w:pPr>
        <w:shd w:val="clear" w:color="auto" w:fill="FFFFFF"/>
        <w:tabs>
          <w:tab w:val="left" w:pos="850"/>
        </w:tabs>
        <w:spacing w:before="120" w:after="120" w:line="240" w:lineRule="auto"/>
        <w:ind w:left="850" w:hanging="850"/>
        <w:jc w:val="both"/>
        <w:rPr>
          <w:rFonts w:ascii="Times New Roman" w:eastAsia="Calibri" w:hAnsi="Times New Roman" w:cs="Times New Roman"/>
          <w:b/>
          <w:bCs/>
          <w:noProof/>
          <w:sz w:val="24"/>
        </w:rPr>
      </w:pPr>
      <w:bookmarkStart w:id="14" w:name="DQCErrorScope5B1EA5AE3C794AB4B1CCED06835"/>
      <w:r>
        <w:rPr>
          <w:rFonts w:ascii="Symbol" w:hAnsi="Symbol"/>
          <w:bCs/>
          <w:noProof/>
          <w:sz w:val="24"/>
        </w:rPr>
        <w:t></w:t>
      </w:r>
      <w:bookmarkEnd w:id="14"/>
      <w:r>
        <w:rPr>
          <w:noProof/>
        </w:rPr>
        <w:tab/>
      </w:r>
      <w:r>
        <w:rPr>
          <w:rFonts w:ascii="Times New Roman" w:hAnsi="Times New Roman"/>
          <w:noProof/>
          <w:sz w:val="24"/>
        </w:rPr>
        <w:t>Instrument de partage des risques (IPR) du mécanisme de financement avec partage des risques:</w:t>
      </w:r>
    </w:p>
    <w:p>
      <w:pPr>
        <w:shd w:val="clear" w:color="auto" w:fill="FFFFFF"/>
        <w:tabs>
          <w:tab w:val="left" w:pos="1417"/>
        </w:tabs>
        <w:spacing w:before="120" w:after="120" w:line="240" w:lineRule="auto"/>
        <w:ind w:left="1417" w:hanging="567"/>
        <w:jc w:val="both"/>
        <w:rPr>
          <w:rFonts w:ascii="Times New Roman" w:eastAsia="Calibri"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décision nº 1982/2006/CE du Parlement européen et du Conseil du 18 décembre 2006 relative au septième programme-cadre de la Communauté européenne pour des actions de recherche, de développement technologique et de démonstration (2007-2013) Déclarations de la Commission (JO L 412 du 30.12.2006, p. 1);</w:t>
      </w:r>
    </w:p>
    <w:p>
      <w:pPr>
        <w:shd w:val="clear" w:color="auto" w:fill="FFFFFF"/>
        <w:tabs>
          <w:tab w:val="left" w:pos="1417"/>
        </w:tabs>
        <w:spacing w:before="120" w:after="120" w:line="240" w:lineRule="auto"/>
        <w:ind w:left="1417" w:hanging="567"/>
        <w:jc w:val="both"/>
        <w:rPr>
          <w:rFonts w:ascii="Times New Roman" w:eastAsia="Calibri" w:hAnsi="Times New Roman" w:cs="Times New Roman"/>
          <w:iCs/>
          <w:noProof/>
          <w:sz w:val="24"/>
        </w:rPr>
      </w:pPr>
      <w:r>
        <w:rPr>
          <w:rFonts w:ascii="Times New Roman" w:hAnsi="Times New Roman"/>
          <w:iCs/>
          <w:noProof/>
          <w:sz w:val="24"/>
        </w:rPr>
        <w:t>–</w:t>
      </w:r>
      <w:r>
        <w:rPr>
          <w:noProof/>
        </w:rPr>
        <w:tab/>
      </w:r>
      <w:r>
        <w:rPr>
          <w:rFonts w:ascii="Times New Roman" w:hAnsi="Times New Roman"/>
          <w:noProof/>
          <w:sz w:val="24"/>
        </w:rPr>
        <w:t>décision 2006/971/CE du Conseil du 19 décembre 2006 relative au programme spécifique «Coopération» mettant en œuvre le septième programme-cadre de la Communauté européenne pour des activités de recherche, de développement technologique et de démonstration (2007-2013) (JO L 400 du 30.12.2006, p. 86);</w:t>
      </w:r>
    </w:p>
    <w:p>
      <w:pPr>
        <w:shd w:val="clear" w:color="auto" w:fill="FFFFFF"/>
        <w:tabs>
          <w:tab w:val="left" w:pos="1417"/>
        </w:tabs>
        <w:spacing w:before="120" w:after="120" w:line="240" w:lineRule="auto"/>
        <w:ind w:left="1417" w:hanging="567"/>
        <w:jc w:val="both"/>
        <w:rPr>
          <w:rFonts w:ascii="Times New Roman" w:eastAsia="Calibri" w:hAnsi="Times New Roman" w:cs="Times New Roman"/>
          <w:iCs/>
          <w:noProof/>
          <w:sz w:val="24"/>
        </w:rPr>
      </w:pPr>
      <w:r>
        <w:rPr>
          <w:rFonts w:ascii="Times New Roman" w:hAnsi="Times New Roman"/>
          <w:iCs/>
          <w:noProof/>
          <w:sz w:val="24"/>
        </w:rPr>
        <w:t>–</w:t>
      </w:r>
      <w:r>
        <w:rPr>
          <w:noProof/>
        </w:rPr>
        <w:tab/>
      </w:r>
      <w:r>
        <w:rPr>
          <w:rFonts w:ascii="Times New Roman" w:hAnsi="Times New Roman"/>
          <w:noProof/>
          <w:sz w:val="24"/>
        </w:rPr>
        <w:t>décision 2006/974/CE du Conseil du 19 décembre 2006 relative au programme spécifique Capacités mettant en œuvre le septième programme-cadre de la Communauté européenne pour des activités de recherche, de développement technologique et de démonstration (2007-2013) (JO L 400 du 30.12.2006, p. 299)</w:t>
      </w:r>
    </w:p>
    <w:p>
      <w:pPr>
        <w:shd w:val="clear" w:color="auto" w:fill="FFFFFF"/>
        <w:tabs>
          <w:tab w:val="left" w:pos="850"/>
        </w:tabs>
        <w:spacing w:before="120" w:after="120" w:line="240" w:lineRule="auto"/>
        <w:ind w:left="850" w:hanging="850"/>
        <w:jc w:val="both"/>
        <w:rPr>
          <w:rFonts w:ascii="Times New Roman" w:eastAsia="Calibri" w:hAnsi="Times New Roman" w:cs="Times New Roman"/>
          <w:b/>
          <w:noProof/>
          <w:sz w:val="24"/>
        </w:rPr>
      </w:pPr>
      <w:bookmarkStart w:id="15" w:name="DQCErrorScopeC3E26E8198844497BFCE2D3921C"/>
      <w:r>
        <w:rPr>
          <w:rFonts w:ascii="Symbol" w:hAnsi="Symbol"/>
          <w:noProof/>
          <w:sz w:val="24"/>
        </w:rPr>
        <w:t></w:t>
      </w:r>
      <w:r>
        <w:rPr>
          <w:noProof/>
        </w:rPr>
        <w:tab/>
      </w:r>
      <w:bookmarkEnd w:id="15"/>
      <w:r>
        <w:rPr>
          <w:rFonts w:ascii="Times New Roman" w:hAnsi="Times New Roman"/>
          <w:noProof/>
          <w:sz w:val="24"/>
        </w:rPr>
        <w:t>Instrument de garantie de l’EaSI: règlement (UE) nº 1296/2013 du Parlement européen et du Conseil du 11 décembre 2013 établissant un programme de l’Union européenne pour l’emploi et l’innovation sociale (EaSI) et modifiant la décision nº 283/2010/UE instituant un instrument européen de microfinancement Progress en faveur de l’emploi et de l’inclusion sociale (JO L 347 du 20.12.2013, p. 238)</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16" w:name="DQCErrorScopeB80FB381AEF34226845C6ABE229"/>
      <w:r>
        <w:rPr>
          <w:rFonts w:ascii="Symbol" w:hAnsi="Symbol"/>
          <w:noProof/>
          <w:sz w:val="24"/>
        </w:rPr>
        <w:t></w:t>
      </w:r>
      <w:bookmarkEnd w:id="16"/>
      <w:r>
        <w:rPr>
          <w:noProof/>
        </w:rPr>
        <w:tab/>
      </w:r>
      <w:r>
        <w:rPr>
          <w:rFonts w:ascii="Times New Roman" w:hAnsi="Times New Roman"/>
          <w:noProof/>
          <w:sz w:val="24"/>
        </w:rPr>
        <w:t>Facilité «garantie de prêts» du programme COSME (COSME LGF): règlement (UE) nº 1287/2013 du Parlement européen et du Conseil du 11 décembre 2013 établissant un programme pour la compétitivité des entreprises et pour les petites et moyennes entreprises (COSME) (2014-2020) et abrogeant la décision nº 1639/2006/CE (JO L 347 du 20.12.2013, p. 33)</w:t>
      </w:r>
    </w:p>
    <w:p>
      <w:pPr>
        <w:shd w:val="clear" w:color="auto" w:fill="FFFFFF"/>
        <w:tabs>
          <w:tab w:val="left" w:pos="850"/>
        </w:tabs>
        <w:spacing w:before="120" w:after="120" w:line="240" w:lineRule="auto"/>
        <w:ind w:left="850" w:hanging="850"/>
        <w:jc w:val="both"/>
        <w:rPr>
          <w:rFonts w:ascii="Times New Roman" w:eastAsia="Calibri" w:hAnsi="Times New Roman" w:cs="Times New Roman"/>
          <w:iCs/>
          <w:noProof/>
          <w:sz w:val="24"/>
        </w:rPr>
      </w:pPr>
      <w:bookmarkStart w:id="17" w:name="DQCErrorScope328001AAA3A4411590A67F9232E"/>
      <w:r>
        <w:rPr>
          <w:rFonts w:ascii="Symbol" w:hAnsi="Symbol"/>
          <w:iCs/>
          <w:noProof/>
          <w:sz w:val="24"/>
        </w:rPr>
        <w:t></w:t>
      </w:r>
      <w:r>
        <w:rPr>
          <w:noProof/>
        </w:rPr>
        <w:tab/>
      </w:r>
      <w:bookmarkEnd w:id="17"/>
      <w:r>
        <w:rPr>
          <w:rFonts w:ascii="Times New Roman" w:hAnsi="Times New Roman"/>
          <w:noProof/>
          <w:sz w:val="24"/>
        </w:rPr>
        <w:t>InnovFin Debt:</w:t>
      </w:r>
    </w:p>
    <w:p>
      <w:pPr>
        <w:shd w:val="clear" w:color="auto" w:fill="FFFFFF"/>
        <w:tabs>
          <w:tab w:val="left" w:pos="1417"/>
        </w:tabs>
        <w:spacing w:before="120" w:after="120" w:line="240" w:lineRule="auto"/>
        <w:ind w:left="1417" w:hanging="567"/>
        <w:jc w:val="both"/>
        <w:rPr>
          <w:rFonts w:ascii="Times New Roman" w:eastAsia="Calibri" w:hAnsi="Times New Roman" w:cs="Times New Roman"/>
          <w:iCs/>
          <w:noProof/>
          <w:sz w:val="24"/>
        </w:rPr>
      </w:pPr>
      <w:r>
        <w:rPr>
          <w:rFonts w:ascii="Times New Roman" w:hAnsi="Times New Roman"/>
          <w:iCs/>
          <w:noProof/>
          <w:sz w:val="24"/>
        </w:rPr>
        <w:t>–</w:t>
      </w:r>
      <w:r>
        <w:rPr>
          <w:noProof/>
        </w:rPr>
        <w:tab/>
      </w:r>
      <w:r>
        <w:rPr>
          <w:rFonts w:ascii="Times New Roman" w:hAnsi="Times New Roman"/>
          <w:noProof/>
          <w:sz w:val="24"/>
        </w:rPr>
        <w:t>règlement (UE) nº 1290/2013 du Parlement européen et du Conseil du 11 décembre 2013 définissant les règles de participation au programme-cadre pour la recherche et l’innovation «Horizon 2020» (2014-2020) et les règles de diffusion des résultats et abrogeant le règlement (CE) nº 1906/2006 (JO L 347 du 20.12.2013, p. 81);</w:t>
      </w:r>
    </w:p>
    <w:p>
      <w:pPr>
        <w:shd w:val="clear" w:color="auto" w:fill="FFFFFF"/>
        <w:tabs>
          <w:tab w:val="left" w:pos="1417"/>
        </w:tabs>
        <w:spacing w:before="120" w:after="120" w:line="240" w:lineRule="auto"/>
        <w:ind w:left="1417" w:hanging="567"/>
        <w:jc w:val="both"/>
        <w:rPr>
          <w:rFonts w:ascii="Times New Roman" w:eastAsia="Calibri" w:hAnsi="Times New Roman" w:cs="Times New Roman"/>
          <w:iCs/>
          <w:noProof/>
          <w:sz w:val="24"/>
        </w:rPr>
      </w:pPr>
      <w:r>
        <w:rPr>
          <w:rFonts w:ascii="Times New Roman" w:hAnsi="Times New Roman"/>
          <w:iCs/>
          <w:noProof/>
          <w:sz w:val="24"/>
        </w:rPr>
        <w:t>–</w:t>
      </w:r>
      <w:r>
        <w:rPr>
          <w:noProof/>
        </w:rPr>
        <w:tab/>
      </w:r>
      <w:r>
        <w:rPr>
          <w:rFonts w:ascii="Times New Roman" w:hAnsi="Times New Roman"/>
          <w:noProof/>
          <w:sz w:val="24"/>
        </w:rPr>
        <w:t>règlement (UE) nº 1291/2013 du Parlement européen et du Conseil du 11 décembre 2013 portant établissement du programme-cadre pour la recherche et l’innovation «Horizon 2020» (2014-2020) et abrogeant la décision nº 1982/2006/CE (JO L 347 du 20.12.2013, p. 104);</w:t>
      </w:r>
    </w:p>
    <w:p>
      <w:pPr>
        <w:shd w:val="clear" w:color="auto" w:fill="FFFFFF"/>
        <w:tabs>
          <w:tab w:val="left" w:pos="1417"/>
        </w:tabs>
        <w:spacing w:before="120" w:after="120" w:line="240" w:lineRule="auto"/>
        <w:ind w:left="1417" w:hanging="567"/>
        <w:jc w:val="both"/>
        <w:rPr>
          <w:rFonts w:ascii="Times New Roman" w:eastAsia="Calibri"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décision 2013/743/UE du Conseil du 3 décembre 2013 établissant le programme spécifique d’exécution du programme-cadre pour la recherche et l’innovation «Horizon 2020» (2014-2020) et abrogeant les décisions 2006/971/CE, 2006/972/CE, 2006/973/CE, 2006/974/CE et 2006/975/CE (JO L 347 du 20.12.2013, p. 965)</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18" w:name="DQCErrorScopeA5EF8ED6CB6E4CCC8D184C38999"/>
      <w:r>
        <w:rPr>
          <w:rFonts w:ascii="Symbol" w:hAnsi="Symbol"/>
          <w:noProof/>
          <w:sz w:val="24"/>
        </w:rPr>
        <w:t></w:t>
      </w:r>
      <w:r>
        <w:rPr>
          <w:noProof/>
        </w:rPr>
        <w:tab/>
      </w:r>
      <w:bookmarkEnd w:id="18"/>
      <w:r>
        <w:rPr>
          <w:rFonts w:ascii="Times New Roman" w:hAnsi="Times New Roman"/>
          <w:noProof/>
          <w:sz w:val="24"/>
        </w:rPr>
        <w:t>Mécanisme de garantie en faveur des secteurs culturels et créatifs – (CCS GF): règlement (UE) nº 1295/2013 du Parlement européen et du Conseil du 11 décembre 2013 établissant le programme «Europe créative» (2014 à 2020) et abrogeant les décisions nº 1718/2006/CE, nº 1855/2006/CE et nº 1041/2009/CE (JO L 347 du 20.12.2013, p. 221)</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19" w:name="DQCErrorScope284A3355D07D42E9A1B37A9ABE2"/>
      <w:r>
        <w:rPr>
          <w:rFonts w:ascii="Symbol" w:hAnsi="Symbol"/>
          <w:noProof/>
          <w:sz w:val="24"/>
        </w:rPr>
        <w:t></w:t>
      </w:r>
      <w:bookmarkEnd w:id="19"/>
      <w:r>
        <w:rPr>
          <w:noProof/>
        </w:rPr>
        <w:tab/>
      </w:r>
      <w:r>
        <w:rPr>
          <w:rFonts w:ascii="Times New Roman" w:hAnsi="Times New Roman"/>
          <w:noProof/>
          <w:sz w:val="24"/>
        </w:rPr>
        <w:t>Mécanisme de garantie de prêts aux étudiants (SLGF): règlement (UE) nº 1288/2013 du Parlement européen et du Conseil du 11 décembre 2013 établissant «Erasmus +»: le programme de l’Union pour l’éducation, la formation, la jeunesse et le sport et abrogeant les décisions nº 1719/2006/CE, nº 1720/2006/CE et nº 1298/2008/CE (JO L 347 du 20.12.2013, p. 50)</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20" w:name="DQCErrorScope68D1C8DB34A54D20952BE9591CE"/>
      <w:r>
        <w:rPr>
          <w:rFonts w:ascii="Symbol" w:hAnsi="Symbol"/>
          <w:noProof/>
          <w:sz w:val="24"/>
        </w:rPr>
        <w:t></w:t>
      </w:r>
      <w:r>
        <w:rPr>
          <w:noProof/>
        </w:rPr>
        <w:tab/>
      </w:r>
      <w:bookmarkEnd w:id="20"/>
      <w:r>
        <w:rPr>
          <w:rFonts w:ascii="Times New Roman" w:hAnsi="Times New Roman"/>
          <w:noProof/>
          <w:sz w:val="24"/>
        </w:rPr>
        <w:t>Instrument de financement privé pour l’efficacité énergétique (PF4EE): règlement (UE) nº 1293/2013 du Parlement européen et du Conseil du 11 décembre 2013 relatif à l’établissement d’un programme pour l’environnement et l’action pour le climat (LIFE) et abrogeant le règlement (CE) nº 614/2007 (JO L 347 du 20.12.2013, p. 185)</w:t>
      </w:r>
    </w:p>
    <w:p>
      <w:pPr>
        <w:shd w:val="clear" w:color="auto" w:fill="FFFFFF"/>
        <w:spacing w:before="120" w:line="240" w:lineRule="auto"/>
        <w:jc w:val="both"/>
        <w:rPr>
          <w:rFonts w:ascii="Times New Roman" w:eastAsia="Calibri" w:hAnsi="Times New Roman" w:cs="Times New Roman"/>
          <w:noProof/>
          <w:sz w:val="24"/>
          <w:szCs w:val="24"/>
        </w:rPr>
      </w:pPr>
      <w:r>
        <w:rPr>
          <w:rFonts w:ascii="Times New Roman" w:hAnsi="Times New Roman"/>
          <w:noProof/>
          <w:sz w:val="24"/>
          <w:szCs w:val="24"/>
        </w:rPr>
        <w:t>C. Instruments de partage des risques:</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21" w:name="DQCErrorScope1BE31D82A5194B64A3395EA6CB2"/>
      <w:r>
        <w:rPr>
          <w:rFonts w:ascii="Symbol" w:hAnsi="Symbol"/>
          <w:noProof/>
          <w:sz w:val="24"/>
        </w:rPr>
        <w:t></w:t>
      </w:r>
      <w:bookmarkEnd w:id="21"/>
      <w:r>
        <w:rPr>
          <w:noProof/>
        </w:rPr>
        <w:tab/>
      </w:r>
      <w:r>
        <w:rPr>
          <w:rFonts w:ascii="Times New Roman" w:hAnsi="Times New Roman"/>
          <w:noProof/>
          <w:sz w:val="24"/>
        </w:rPr>
        <w:t>Mécanisme de financement avec partage des risques (MFPR):</w:t>
      </w:r>
      <w:r>
        <w:rPr>
          <w:rFonts w:ascii="Times New Roman" w:hAnsi="Times New Roman"/>
          <w:b/>
          <w:noProof/>
          <w:sz w:val="24"/>
        </w:rPr>
        <w:t xml:space="preserve"> </w:t>
      </w:r>
      <w:r>
        <w:rPr>
          <w:rFonts w:ascii="Times New Roman" w:hAnsi="Times New Roman"/>
          <w:noProof/>
          <w:sz w:val="24"/>
        </w:rPr>
        <w:t>décision nº 1982/2006/CE du Parlement européen et du Conseil du 18 décembre 2006 relative au septième programme-cadre de la Communauté européenne pour des actions de recherche, de développement technologique et de démonstration (2007-2013) Déclarations de la Commission (JO L 412 du 30.12.2006, p. 1)</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22" w:name="DQCErrorScope38A163DB8DD94D63B939E395805"/>
      <w:r>
        <w:rPr>
          <w:rFonts w:ascii="Symbol" w:hAnsi="Symbol"/>
          <w:noProof/>
          <w:sz w:val="24"/>
        </w:rPr>
        <w:t></w:t>
      </w:r>
      <w:bookmarkEnd w:id="22"/>
      <w:r>
        <w:rPr>
          <w:noProof/>
        </w:rPr>
        <w:tab/>
      </w:r>
      <w:r>
        <w:rPr>
          <w:rFonts w:ascii="Times New Roman" w:hAnsi="Times New Roman"/>
          <w:noProof/>
          <w:sz w:val="24"/>
        </w:rPr>
        <w:t>InnovFin:</w:t>
      </w:r>
    </w:p>
    <w:p>
      <w:pPr>
        <w:shd w:val="clear" w:color="auto" w:fill="FFFFFF"/>
        <w:tabs>
          <w:tab w:val="left" w:pos="1417"/>
        </w:tabs>
        <w:spacing w:before="120" w:after="120" w:line="240" w:lineRule="auto"/>
        <w:ind w:left="1417" w:hanging="567"/>
        <w:jc w:val="both"/>
        <w:rPr>
          <w:rFonts w:ascii="Times New Roman" w:eastAsia="Calibri"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règlement (UE) nº 1291/2013 du Parlement européen et du Conseil du 11 décembre 2013 portant établissement du programme-cadre pour la recherche et l’innovation «Horizon 2020» (2014-2020) et abrogeant la décision nº 1982/2006/CE (JO L 347 du 20.12.2013, p. 104);</w:t>
      </w:r>
    </w:p>
    <w:p>
      <w:pPr>
        <w:shd w:val="clear" w:color="auto" w:fill="FFFFFF"/>
        <w:tabs>
          <w:tab w:val="left" w:pos="1417"/>
        </w:tabs>
        <w:spacing w:before="120" w:after="120" w:line="240" w:lineRule="auto"/>
        <w:ind w:left="1417" w:hanging="567"/>
        <w:jc w:val="both"/>
        <w:rPr>
          <w:rFonts w:ascii="Times New Roman" w:eastAsia="Calibri"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règlement (UE) nº 1290/2013 du Parlement européen et du Conseil du 11 décembre 2013 définissant les règles de participation au programme-cadre pour la recherche et l’innovation «Horizon 2020» (2014-2020) et les règles de diffusion des résultats et abrogeant le règlement (CE) nº 1906/2006 (JO L 347 du 20.12.2013, p. 81)</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23" w:name="DQCErrorScope2E06FCFE92574BE39EE4C1A5418"/>
      <w:r>
        <w:rPr>
          <w:rFonts w:ascii="Symbol" w:hAnsi="Symbol"/>
          <w:noProof/>
          <w:sz w:val="24"/>
        </w:rPr>
        <w:t></w:t>
      </w:r>
      <w:bookmarkEnd w:id="23"/>
      <w:r>
        <w:rPr>
          <w:noProof/>
        </w:rPr>
        <w:tab/>
      </w:r>
      <w:r>
        <w:rPr>
          <w:rFonts w:ascii="Times New Roman" w:hAnsi="Times New Roman"/>
          <w:noProof/>
          <w:sz w:val="24"/>
        </w:rPr>
        <w:t>Instrument de prêt du mécanisme pour l’interconnexion en Europe (CEF DI): règlement (UE) nº 1316/2013 du Parlement européen et du Conseil du 11 décembre 2013 établissant le mécanisme pour l’interconnexion en Europe, modifiant le règlement (UE) nº 913/2010 et abrogeant les règlements (CE) nº 680/2007 et (CE) nº 67/2010 (JO L 348 du 20.12.2013, p. 129)</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24" w:name="DQCErrorScopeA944A6C945E448BEB9E7A34F3EE"/>
      <w:r>
        <w:rPr>
          <w:rFonts w:ascii="Symbol" w:hAnsi="Symbol"/>
          <w:noProof/>
          <w:sz w:val="24"/>
        </w:rPr>
        <w:t></w:t>
      </w:r>
      <w:r>
        <w:rPr>
          <w:noProof/>
        </w:rPr>
        <w:tab/>
      </w:r>
      <w:bookmarkEnd w:id="24"/>
      <w:r>
        <w:rPr>
          <w:rFonts w:ascii="Times New Roman" w:hAnsi="Times New Roman"/>
          <w:noProof/>
          <w:sz w:val="24"/>
        </w:rPr>
        <w:t>Mécanisme de financement du capital naturel (NCFF): règlement (UE) nº 1293/2013 du Parlement européen et du Conseil du 11 décembre 2013 relatif à l’établissement d’un programme pour l’environnement et l’action pour le climat (LIFE) et abrogeant le règlement (CE) nº 614/2007 (JO L 347 du 20.12.2013, p. 185)</w:t>
      </w:r>
    </w:p>
    <w:p>
      <w:pPr>
        <w:shd w:val="clear" w:color="auto" w:fill="FFFFFF"/>
        <w:spacing w:before="120" w:line="240" w:lineRule="auto"/>
        <w:jc w:val="both"/>
        <w:rPr>
          <w:rFonts w:ascii="Times New Roman" w:eastAsia="Calibri" w:hAnsi="Times New Roman" w:cs="Times New Roman"/>
          <w:noProof/>
          <w:sz w:val="24"/>
          <w:szCs w:val="24"/>
        </w:rPr>
      </w:pPr>
      <w:r>
        <w:rPr>
          <w:rFonts w:ascii="Times New Roman" w:hAnsi="Times New Roman"/>
          <w:noProof/>
          <w:sz w:val="24"/>
          <w:szCs w:val="24"/>
        </w:rPr>
        <w:t>D. Véhicules d’investissement spécialisés:</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25" w:name="DQCErrorScope222D61F9AAF541508ECAEF1FF8F"/>
      <w:r>
        <w:rPr>
          <w:rFonts w:ascii="Symbol" w:hAnsi="Symbol"/>
          <w:noProof/>
          <w:sz w:val="24"/>
        </w:rPr>
        <w:t></w:t>
      </w:r>
      <w:r>
        <w:rPr>
          <w:noProof/>
        </w:rPr>
        <w:tab/>
      </w:r>
      <w:bookmarkEnd w:id="25"/>
      <w:r>
        <w:rPr>
          <w:rFonts w:ascii="Times New Roman" w:hAnsi="Times New Roman"/>
          <w:noProof/>
          <w:sz w:val="24"/>
        </w:rPr>
        <w:t>Instrument européen de microfinancement Progress – Fonds commun de placement – fonds d’investissement spécialisé (EPMF FCP-FIS):</w:t>
      </w:r>
      <w:r>
        <w:rPr>
          <w:rFonts w:ascii="Times New Roman" w:hAnsi="Times New Roman"/>
          <w:b/>
          <w:noProof/>
          <w:sz w:val="24"/>
        </w:rPr>
        <w:t xml:space="preserve"> </w:t>
      </w:r>
      <w:r>
        <w:rPr>
          <w:rFonts w:ascii="Times New Roman" w:hAnsi="Times New Roman"/>
          <w:noProof/>
          <w:sz w:val="24"/>
        </w:rPr>
        <w:t>décision nº 283/2010/UE du Parlement européen et du Conseil du 25 mars 2010 instituant un instrument européen de microfinancement Progress en faveur de l’emploi et de l’inclusion sociale (JO L 87 du 7.4.2010, p. 1)</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26" w:name="DQCErrorScope6BF2668C491E4C928DCD4E71D1E"/>
      <w:r>
        <w:rPr>
          <w:rFonts w:ascii="Symbol" w:hAnsi="Symbol"/>
          <w:noProof/>
          <w:sz w:val="24"/>
        </w:rPr>
        <w:t></w:t>
      </w:r>
      <w:bookmarkEnd w:id="26"/>
      <w:r>
        <w:rPr>
          <w:noProof/>
        </w:rPr>
        <w:tab/>
      </w:r>
      <w:r>
        <w:rPr>
          <w:rFonts w:ascii="Times New Roman" w:hAnsi="Times New Roman"/>
          <w:noProof/>
          <w:sz w:val="24"/>
        </w:rPr>
        <w:t>Marguerite:</w:t>
      </w:r>
    </w:p>
    <w:p>
      <w:pPr>
        <w:shd w:val="clear" w:color="auto" w:fill="FFFFFF"/>
        <w:tabs>
          <w:tab w:val="left" w:pos="1417"/>
        </w:tabs>
        <w:spacing w:before="120" w:after="120" w:line="240" w:lineRule="auto"/>
        <w:ind w:left="1417" w:hanging="567"/>
        <w:jc w:val="both"/>
        <w:rPr>
          <w:rFonts w:ascii="Times New Roman" w:eastAsia="Calibri"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règlement (CE) nº 680/2007 du Parlement européen et du Conseil du 20 juin 2007 déterminant les règles générales pour l’octroi d’un concours financier communautaire dans le domaine des réseaux transeuropéens de transport et d’énergie (JO L 162 du 22.6.2007, p. 1);</w:t>
      </w:r>
    </w:p>
    <w:p>
      <w:pPr>
        <w:shd w:val="clear" w:color="auto" w:fill="FFFFFF"/>
        <w:tabs>
          <w:tab w:val="left" w:pos="1417"/>
        </w:tabs>
        <w:spacing w:before="120" w:after="120" w:line="240" w:lineRule="auto"/>
        <w:ind w:left="1417" w:hanging="567"/>
        <w:jc w:val="both"/>
        <w:rPr>
          <w:rFonts w:ascii="Times New Roman" w:eastAsia="Calibri" w:hAnsi="Times New Roman" w:cs="Times New Roman"/>
          <w:noProof/>
          <w:color w:val="000000"/>
          <w:sz w:val="24"/>
        </w:rPr>
      </w:pPr>
      <w:r>
        <w:rPr>
          <w:rFonts w:ascii="Times New Roman" w:hAnsi="Times New Roman"/>
          <w:noProof/>
          <w:color w:val="000000"/>
          <w:sz w:val="24"/>
        </w:rPr>
        <w:t>–</w:t>
      </w:r>
      <w:r>
        <w:rPr>
          <w:noProof/>
        </w:rPr>
        <w:tab/>
      </w:r>
      <w:r>
        <w:rPr>
          <w:rFonts w:ascii="Times New Roman" w:hAnsi="Times New Roman"/>
          <w:noProof/>
          <w:color w:val="000000"/>
          <w:sz w:val="24"/>
          <w:bdr w:val="none" w:sz="0" w:space="0" w:color="auto" w:frame="1"/>
        </w:rPr>
        <w:t xml:space="preserve">décision de la Commission du 25.2.2010 sur la participation de l’Union européenne au Fonds européen 2020 pour l'énergie, le changement climatique et les infrastructures (Fonds Marguerite) </w:t>
      </w:r>
    </w:p>
    <w:p>
      <w:pPr>
        <w:shd w:val="clear" w:color="auto" w:fill="FFFFFF"/>
        <w:tabs>
          <w:tab w:val="left" w:pos="850"/>
        </w:tabs>
        <w:spacing w:before="120" w:after="120" w:line="240" w:lineRule="auto"/>
        <w:ind w:left="850" w:hanging="850"/>
        <w:jc w:val="both"/>
        <w:rPr>
          <w:rFonts w:ascii="Times New Roman" w:eastAsia="Calibri" w:hAnsi="Times New Roman" w:cs="Times New Roman"/>
          <w:iCs/>
          <w:noProof/>
          <w:sz w:val="24"/>
        </w:rPr>
      </w:pPr>
      <w:bookmarkStart w:id="27" w:name="DQCErrorScope8FDE237F5B9B434A80D110EE9D0"/>
      <w:r>
        <w:rPr>
          <w:rFonts w:ascii="Symbol" w:hAnsi="Symbol"/>
          <w:noProof/>
          <w:sz w:val="24"/>
        </w:rPr>
        <w:t></w:t>
      </w:r>
      <w:r>
        <w:rPr>
          <w:noProof/>
        </w:rPr>
        <w:tab/>
      </w:r>
      <w:bookmarkEnd w:id="27"/>
      <w:r>
        <w:rPr>
          <w:rFonts w:ascii="Times New Roman" w:hAnsi="Times New Roman"/>
          <w:noProof/>
          <w:sz w:val="24"/>
        </w:rPr>
        <w:t xml:space="preserve">Fonds européen pour l’efficacité </w:t>
      </w:r>
      <w:r>
        <w:rPr>
          <w:rFonts w:ascii="Times New Roman" w:hAnsi="Times New Roman"/>
          <w:b/>
          <w:bCs/>
          <w:i/>
          <w:iCs/>
          <w:noProof/>
          <w:sz w:val="24"/>
        </w:rPr>
        <w:t>énergétique</w:t>
      </w:r>
      <w:r>
        <w:rPr>
          <w:rFonts w:ascii="Times New Roman" w:hAnsi="Times New Roman"/>
          <w:noProof/>
          <w:sz w:val="24"/>
        </w:rPr>
        <w:t xml:space="preserve"> (FEEE): règlement (UE) nº 1233/2010 du Parlement européen et du Conseil du 15 décembre 2010 modifiant le règlement (CE) nº 663/2009 établissant un programme d’aide à la relance économique par l’octroi d’une assistance financière communautaire à des projets dans le domaine de l’énergie (JO L 346 du 30.12.2010, p. 5).</w:t>
      </w: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5806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C2443"/>
    <w:multiLevelType w:val="hybridMultilevel"/>
    <w:tmpl w:val="FA0653AE"/>
    <w:lvl w:ilvl="0" w:tplc="E64EF2F4">
      <w:start w:val="14"/>
      <w:numFmt w:val="bullet"/>
      <w:lvlText w:val="–"/>
      <w:lvlJc w:val="left"/>
      <w:pPr>
        <w:ind w:left="1210" w:hanging="360"/>
      </w:pPr>
      <w:rPr>
        <w:rFonts w:ascii="Times New Roman" w:eastAsia="Calibri"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4"/>
    <w:docVar w:name="LW_ANNEX_NBR_LAST" w:val="4"/>
    <w:docVar w:name="LW_ANNEX_UNIQUE" w:val="0"/>
    <w:docVar w:name="LW_CORRIGENDUM" w:val="&lt;UNUSED&gt;"/>
    <w:docVar w:name="LW_COVERPAGE_EXISTS" w:val="True"/>
    <w:docVar w:name="LW_COVERPAGE_GUID" w:val="7161DF22-DCC1-446B-A9F4-C8AF52E9C1E8"/>
    <w:docVar w:name="LW_COVERPAGE_TYPE" w:val="1"/>
    <w:docVar w:name="LW_CROSSREFERENCE" w:val="&lt;UNUSED&gt;"/>
    <w:docVar w:name="LW_DocType" w:val="NORMAL"/>
    <w:docVar w:name="LW_EMISSION" w:val="29.5.2020"/>
    <w:docVar w:name="LW_EMISSION_ISODATE" w:val="2020-05-29"/>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établissant le programme InvestEU"/>
    <w:docVar w:name="LW_PART_NBR" w:val="1"/>
    <w:docVar w:name="LW_PART_NBR_TOTAL" w:val="1"/>
    <w:docVar w:name="LW_REF.INST.NEW" w:val="COM"/>
    <w:docVar w:name="LW_REF.INST.NEW_ADOPTED" w:val="final"/>
    <w:docVar w:name="LW_REF.INST.NEW_TEXT" w:val="(2020)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proposition de RÈGLEMENT DU PARLEMENT EUROPÉEN ET DU CONSE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character" w:styleId="CommentReference">
    <w:name w:val="annotation reference"/>
    <w:uiPriority w:val="99"/>
    <w:unhideWhenUsed/>
    <w:rPr>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character" w:styleId="CommentReference">
    <w:name w:val="annotation reference"/>
    <w:uiPriority w:val="99"/>
    <w:unhideWhenUsed/>
    <w:rPr>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1762</Words>
  <Characters>10189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PARMENTIER-ALESSI Paola (ECFIN)</dc:creator>
  <cp:keywords/>
  <dc:description/>
  <cp:lastModifiedBy>WES PDFC Administrator</cp:lastModifiedBy>
  <cp:revision>14</cp:revision>
  <dcterms:created xsi:type="dcterms:W3CDTF">2020-05-24T11:41:00Z</dcterms:created>
  <dcterms:modified xsi:type="dcterms:W3CDTF">2020-06-02T14:14:00Z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 Build 20190717</vt:lpwstr>
  </property>
  <property fmtid="{D5CDD505-2E9C-101B-9397-08002B2CF9AE}" pid="11" name="Created using">
    <vt:lpwstr>LW 7.0, Build 20190717</vt:lpwstr>
  </property>
</Properties>
</file>