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FACCA1-0DC7-4539-8DF9-7ADD76DD63F2"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Чехия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highlight w:val="lightGray"/>
        </w:rPr>
      </w:pPr>
      <w:r>
        <w:rPr>
          <w:rFonts w:ascii="Times New Roman" w:hAnsi="Times New Roman"/>
          <w:noProof/>
          <w:sz w:val="24"/>
          <w:szCs w:val="24"/>
        </w:rPr>
        <w:t>Данните, които бяха предоставени от чешките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в Чехия е достигнал 0,3 % от БВП през 2019 г., а брутният консолидиран държавен дълг е възлизал на 30,8 % от БВП</w:t>
      </w:r>
      <w:r>
        <w:rPr>
          <w:noProof/>
          <w:sz w:val="24"/>
          <w:szCs w:val="24"/>
        </w:rPr>
        <w:t>.</w:t>
      </w:r>
      <w:r>
        <w:rPr>
          <w:rFonts w:ascii="Times New Roman" w:hAnsi="Times New Roman"/>
          <w:noProof/>
          <w:sz w:val="24"/>
          <w:szCs w:val="24"/>
        </w:rPr>
        <w:t xml:space="preserve"> Според програмата за конвергентност за 2020 г. Чехия планира дефицит от 5,1 % от БВП през 2020 г. и дълг в размер на 37 %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изготви настоящия доклад, в който се анализира спазването от страна на Чехия на определения в Договора критерий за дефицита. Критерият за дълга може да се счита за изпълнен, тъй като съотношението на дълга към БВП през 2019 г. е под референтната стойност по Договора от 60 % от БВП.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5000" w:type="pct"/>
        <w:tblLook w:val="04A0" w:firstRow="1" w:lastRow="0" w:firstColumn="1" w:lastColumn="0" w:noHBand="0" w:noVBand="1"/>
      </w:tblPr>
      <w:tblGrid>
        <w:gridCol w:w="1528"/>
        <w:gridCol w:w="2695"/>
        <w:gridCol w:w="811"/>
        <w:gridCol w:w="800"/>
        <w:gridCol w:w="837"/>
        <w:gridCol w:w="837"/>
        <w:gridCol w:w="839"/>
        <w:gridCol w:w="895"/>
      </w:tblGrid>
      <w:tr>
        <w:trPr>
          <w:trHeight w:val="603"/>
        </w:trPr>
        <w:tc>
          <w:tcPr>
            <w:tcW w:w="826" w:type="pct"/>
          </w:tcPr>
          <w:p>
            <w:pPr>
              <w:keepNext/>
              <w:jc w:val="center"/>
              <w:rPr>
                <w:rFonts w:ascii="Times New Roman" w:eastAsia="Times New Roman" w:hAnsi="Times New Roman" w:cs="Calibri"/>
                <w:noProof/>
                <w:sz w:val="20"/>
                <w:szCs w:val="20"/>
                <w:lang w:eastAsia="en-GB"/>
              </w:rPr>
            </w:pPr>
          </w:p>
        </w:tc>
        <w:tc>
          <w:tcPr>
            <w:tcW w:w="1458" w:type="pct"/>
          </w:tcPr>
          <w:p>
            <w:pPr>
              <w:keepNext/>
              <w:jc w:val="center"/>
              <w:rPr>
                <w:rFonts w:ascii="Times New Roman" w:eastAsia="Times New Roman" w:hAnsi="Times New Roman" w:cs="Calibri"/>
                <w:noProof/>
                <w:sz w:val="20"/>
                <w:szCs w:val="20"/>
                <w:lang w:eastAsia="en-GB"/>
              </w:rPr>
            </w:pPr>
          </w:p>
        </w:tc>
        <w:tc>
          <w:tcPr>
            <w:tcW w:w="439"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43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45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453"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454"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485"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826"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458"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439"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43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45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45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454" w:type="pct"/>
          </w:tcPr>
          <w:p>
            <w:pPr>
              <w:keepNext/>
              <w:jc w:val="center"/>
              <w:rPr>
                <w:rFonts w:ascii="Times New Roman" w:eastAsia="Times New Roman" w:hAnsi="Times New Roman" w:cs="Calibri"/>
                <w:noProof/>
                <w:sz w:val="20"/>
                <w:szCs w:val="20"/>
                <w:highlight w:val="lightGray"/>
                <w:lang w:eastAsia="en-GB"/>
              </w:rPr>
            </w:pPr>
          </w:p>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-6,7</w:t>
            </w:r>
          </w:p>
        </w:tc>
        <w:tc>
          <w:tcPr>
            <w:tcW w:w="485" w:type="pct"/>
          </w:tcPr>
          <w:p>
            <w:pPr>
              <w:keepNext/>
              <w:jc w:val="center"/>
              <w:rPr>
                <w:rFonts w:ascii="Times New Roman" w:eastAsia="Times New Roman" w:hAnsi="Times New Roman" w:cs="Calibri"/>
                <w:noProof/>
                <w:sz w:val="20"/>
                <w:szCs w:val="20"/>
                <w:highlight w:val="lightGray"/>
                <w:lang w:eastAsia="en-GB"/>
              </w:rPr>
            </w:pPr>
          </w:p>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-4,0</w:t>
            </w:r>
          </w:p>
        </w:tc>
      </w:tr>
      <w:tr>
        <w:tc>
          <w:tcPr>
            <w:tcW w:w="826"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458" w:type="pct"/>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439"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36,8</w:t>
            </w:r>
          </w:p>
        </w:tc>
        <w:tc>
          <w:tcPr>
            <w:tcW w:w="43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34,7</w:t>
            </w:r>
          </w:p>
        </w:tc>
        <w:tc>
          <w:tcPr>
            <w:tcW w:w="45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32,6</w:t>
            </w:r>
          </w:p>
        </w:tc>
        <w:tc>
          <w:tcPr>
            <w:tcW w:w="453" w:type="pct"/>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30,8</w:t>
            </w:r>
          </w:p>
        </w:tc>
        <w:tc>
          <w:tcPr>
            <w:tcW w:w="454" w:type="pct"/>
          </w:tcPr>
          <w:p>
            <w:pPr>
              <w:keepNext/>
              <w:jc w:val="center"/>
              <w:rPr>
                <w:rFonts w:ascii="Times New Roman" w:eastAsia="Times New Roman" w:hAnsi="Times New Roman" w:cs="Calibri"/>
                <w:noProof/>
                <w:sz w:val="20"/>
                <w:szCs w:val="20"/>
                <w:highlight w:val="lightGray"/>
                <w:lang w:eastAsia="en-GB"/>
              </w:rPr>
            </w:pPr>
          </w:p>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38,7</w:t>
            </w:r>
          </w:p>
        </w:tc>
        <w:tc>
          <w:tcPr>
            <w:tcW w:w="485" w:type="pct"/>
          </w:tcPr>
          <w:p>
            <w:pPr>
              <w:keepNext/>
              <w:jc w:val="center"/>
              <w:rPr>
                <w:rFonts w:ascii="Times New Roman" w:eastAsia="Times New Roman" w:hAnsi="Times New Roman" w:cs="Calibri"/>
                <w:noProof/>
                <w:sz w:val="20"/>
                <w:szCs w:val="20"/>
                <w:highlight w:val="lightGray"/>
                <w:lang w:eastAsia="en-GB"/>
              </w:rPr>
            </w:pPr>
          </w:p>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39,9</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highlight w:val="yellow"/>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Въз основа на програмата за конвергенция за 2020 г. се планира дефицитът по консолидирания държавен бюджет на Чехия да достигне 5,1 % от БВП през 2020 г., превишавайки референтната стойност по Договора от 3 % от БВП и без да е близо до нея.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през 2020 г. реалният БВП да се свие с 6,2 %.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Планираното надвишаване на референтната стойност по Договора не е временно отклонение въз основа на прогнозата на Комисията от пролетта на 2020 г., в която се предвижда дефицитът по консолидирания държавен бюджет да остане над 3 % от БВП през 2021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без да е близо до нея. Планираното надвишаване се счита за изключение, но не и за временно отклонение, както е посочено в Договора и Пакта за стабилност и растеж. </w:t>
      </w:r>
      <w:r>
        <w:rPr>
          <w:rFonts w:ascii="Times New Roman" w:hAnsi="Times New Roman"/>
          <w:noProof/>
          <w:sz w:val="24"/>
        </w:rPr>
        <w:t xml:space="preserve">Следователно анализът показва, че </w:t>
      </w:r>
      <w:r>
        <w:rPr>
          <w:rFonts w:ascii="Times New Roman" w:hAnsi="Times New Roman"/>
          <w:i/>
          <w:noProof/>
          <w:sz w:val="24"/>
        </w:rPr>
        <w:t>prima facie</w:t>
      </w:r>
      <w:r>
        <w:rPr>
          <w:rFonts w:ascii="Times New Roman" w:hAnsi="Times New Roman"/>
          <w:noProof/>
          <w:sz w:val="24"/>
        </w:rPr>
        <w:t xml:space="preserve"> критерият за дефицита за целите на Договора и на Регламент (ЕО) № 1467/97 не 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Действащи фактори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което се отразява много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Пандемията от COVID-19 </w:t>
      </w:r>
    </w:p>
    <w:p>
      <w:pPr>
        <w:spacing w:before="120" w:after="120" w:line="240" w:lineRule="auto"/>
        <w:jc w:val="both"/>
        <w:rPr>
          <w:rFonts w:ascii="Times New Roman" w:hAnsi="Times New Roman" w:cs="Times New Roman"/>
          <w:noProof/>
          <w:spacing w:val="-2"/>
          <w:sz w:val="24"/>
          <w:szCs w:val="24"/>
        </w:rPr>
      </w:pPr>
      <w:r>
        <w:rPr>
          <w:rFonts w:ascii="Times New Roman" w:hAnsi="Times New Roman"/>
          <w:bCs/>
          <w:noProof/>
          <w:spacing w:val="-2"/>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pacing w:val="-2"/>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Очаква се през 2020 г. икономиката на Чехия да понесе сериозен удар от пандемията от COVID-19. Тъй като спадът на външното търсене и ограничителните мерки нарушават икономическата дейност, според прогнозата на Комисията от пролетта на 2020 г. се очаква БВП да спадне с 6,2 % през 2020 г. Очаква се инвестициите рязко да се свият поради наличието на смущения във веригата за създаване на стойност, нарастващата несигурност и недостига на работна ръка по време на периода на изолация. Заради структурата на износа на Чехия се прогнозира, че и търговията ще бъде силно засегната. Това е смекчаващ фактор при оценяването на спазването на критерия за дефицита от страна на Чехия през 2020 г. Очаква се през 2021 г. икономиката постепенно да се възстанови, като отбележи растеж от 5 %, оставайки обаче под равнището от 2019 г. Според прогнозите подемът ще се дължи основно на увеличаване на частното потребление и инвестициите. Очаква се да бъде засегната и безработицата, която през 2020 г. ще достигне около 5 %, но нейното увеличение следва да бъде смекчено от мерките на правителството, свития преди това пазар на труда и малък дял временни договори. Въпреки това съществува голяма степен на несигурност що се отнася до краткосрочните макроикономически перспективи.</w:t>
      </w:r>
    </w:p>
    <w:p>
      <w:pPr>
        <w:spacing w:before="120" w:after="120" w:line="240" w:lineRule="auto"/>
        <w:jc w:val="both"/>
        <w:rPr>
          <w:rFonts w:ascii="Times New Roman" w:eastAsia="Times New Roman" w:hAnsi="Times New Roman" w:cs="Calibri"/>
          <w:bCs/>
          <w:i/>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Въз основа на данните за изпълнението и на прогнозата на Комисията от пролетта на 2020 г. Чехия е изпълнила своята средносрочна бюджетна цел през 2019 г. </w:t>
      </w:r>
    </w:p>
    <w:p>
      <w:pPr>
        <w:spacing w:before="120" w:after="120" w:line="240" w:lineRule="auto"/>
        <w:jc w:val="both"/>
        <w:rPr>
          <w:noProof/>
        </w:rPr>
      </w:pPr>
      <w:r>
        <w:rPr>
          <w:rFonts w:ascii="Times New Roman" w:hAnsi="Times New Roman"/>
          <w:noProof/>
          <w:sz w:val="24"/>
          <w:szCs w:val="24"/>
        </w:rPr>
        <w:t xml:space="preserve">След началото на пандемията държавният бюджет за 2020 г. трябваше да бъде преразгледан до дефицит от 5,5 % от БВП. </w:t>
      </w:r>
      <w:r>
        <w:rPr>
          <w:rFonts w:ascii="Times New Roman" w:hAnsi="Times New Roman"/>
          <w:noProof/>
          <w:sz w:val="24"/>
        </w:rPr>
        <w:t xml:space="preserve">В програмата за конвергенция за 2020 г. се предоставя информация относно значителни мерки за ограничаване на пандемията и за подпомагане на икономиката. </w:t>
      </w:r>
      <w:r>
        <w:rPr>
          <w:rFonts w:ascii="Times New Roman" w:hAnsi="Times New Roman"/>
          <w:noProof/>
          <w:sz w:val="24"/>
          <w:szCs w:val="24"/>
        </w:rPr>
        <w:t>Според органите общият размер на директната фискална подкрепа, предоставена за икономиката до 22 април 2020 г., е около 4 % от БВП, от които 2,2 % от БВП са под формата на разходи. Тези мерки ще се добавят към договореното преди това увеличение на заплатите в публичния сектор, пенсиите и други социални обезщетения. Бяха обсъдени и някои нови мерки, които могат да засегнат допълнително държавния бюджет. Като цяло според програмата през 2020 г. се очаква дефицит от 5,1 % от БВП.</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Съгласно програмата за конвергенция през 2021 г. се очаква дефицитът да намалее до 4,1 % от БВП. Очаква се възстановяването на данъчните приходи да бъде умерено, а текущите разходи да продължат да нарастват. Наскоро парламентът приложи ускорена процедура по отношение на законодателно изменение на Закона за фискалната отговорност, без да се консултира преди това с чешкия фискален съвет, осигурявайки възможност за предприемането на мерки, свързани с необходимостта от възстановяване от COVID-19. По-специално изменението увеличи максималния структурен дефицит за 2021 г. от 1 % на 4 % от БВП, което е над средносрочната цел за структурен дефицит от 0,75 %, и даде възможност за постепенно коригиране между 2022 г. и 2027 г. с годишна консолидация от поне 0,5 процентни пункта от БВП между 2022 г. и 2027 г. </w:t>
      </w:r>
    </w:p>
    <w:p>
      <w:pPr>
        <w:spacing w:before="120" w:after="120" w:line="240" w:lineRule="auto"/>
        <w:ind w:left="851" w:hanging="851"/>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На 11 май 2020 г. чешките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highlight w:val="yellow"/>
          <w:lang w:eastAsia="en-GB"/>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Съгласно програмата за конвергенция се планира дефицитът по консолидирания държавен бюджет на Чехия през 2020 г. да достигне 5,1 % от БВП, тоест да бъде по-висок от референтната стойност по Договора от 3 % от БВП, без да е близо до нея.</w:t>
      </w:r>
      <w:r>
        <w:rPr>
          <w:rFonts w:ascii="Times New Roman" w:hAnsi="Times New Roman"/>
          <w:bCs/>
          <w:noProof/>
          <w:sz w:val="24"/>
        </w:rPr>
        <w:t xml:space="preserve"> Планираното надвишаване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В съответствие с Договора и с Пакта за стабилност и растеж в настоящия доклад са разгледани също действащите фактори.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Като цяло, тъй като планираният дефицит е доста над 3 % от БВП и надвишаването не е временно отклонение, както и като се вземат предвид всички действащи фактори, анализът сочи, че критерият за дефицита,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FACCA1-0DC7-4539-8DF9-7ADD76DD63F2"/>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63?\u1077?\u1093?\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06580402">
      <w:bodyDiv w:val="1"/>
      <w:marLeft w:val="0"/>
      <w:marRight w:val="0"/>
      <w:marTop w:val="0"/>
      <w:marBottom w:val="0"/>
      <w:divBdr>
        <w:top w:val="none" w:sz="0" w:space="0" w:color="auto"/>
        <w:left w:val="none" w:sz="0" w:space="0" w:color="auto"/>
        <w:bottom w:val="none" w:sz="0" w:space="0" w:color="auto"/>
        <w:right w:val="none" w:sz="0" w:space="0" w:color="auto"/>
      </w:divBdr>
    </w:div>
    <w:div w:id="108817429">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419104691">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565408214">
      <w:bodyDiv w:val="1"/>
      <w:marLeft w:val="0"/>
      <w:marRight w:val="0"/>
      <w:marTop w:val="0"/>
      <w:marBottom w:val="0"/>
      <w:divBdr>
        <w:top w:val="none" w:sz="0" w:space="0" w:color="auto"/>
        <w:left w:val="none" w:sz="0" w:space="0" w:color="auto"/>
        <w:bottom w:val="none" w:sz="0" w:space="0" w:color="auto"/>
        <w:right w:val="none" w:sz="0" w:space="0" w:color="auto"/>
      </w:divBdr>
    </w:div>
    <w:div w:id="1581133187">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11498254">
      <w:bodyDiv w:val="1"/>
      <w:marLeft w:val="0"/>
      <w:marRight w:val="0"/>
      <w:marTop w:val="0"/>
      <w:marBottom w:val="0"/>
      <w:divBdr>
        <w:top w:val="none" w:sz="0" w:space="0" w:color="auto"/>
        <w:left w:val="none" w:sz="0" w:space="0" w:color="auto"/>
        <w:bottom w:val="none" w:sz="0" w:space="0" w:color="auto"/>
        <w:right w:val="none" w:sz="0" w:space="0" w:color="auto"/>
      </w:divBdr>
    </w:div>
    <w:div w:id="19246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DE72-EC5C-49D9-83EE-BC39869B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1692</Words>
  <Characters>8968</Characters>
  <Application>Microsoft Office Word</Application>
  <DocSecurity>0</DocSecurity>
  <Lines>199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22</cp:revision>
  <cp:lastPrinted>2019-05-13T14:09:00Z</cp:lastPrinted>
  <dcterms:created xsi:type="dcterms:W3CDTF">2020-05-18T14:29:00Z</dcterms:created>
  <dcterms:modified xsi:type="dcterms:W3CDTF">2020-06-03T14:20:00Z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