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97704F-4601-4CFC-9CF9-DCB0864C960C"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Словения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словенските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излишъкът по консолидирания държавен бюджет в Словения е достигнал 0,5 % от БВП през 2019 г., а брутният консолидиран държавен дълг е възлизал на 66,1 % от БВП</w:t>
      </w:r>
      <w:r>
        <w:rPr>
          <w:noProof/>
          <w:sz w:val="24"/>
          <w:szCs w:val="24"/>
        </w:rPr>
        <w:t>.</w:t>
      </w:r>
      <w:r>
        <w:rPr>
          <w:rFonts w:ascii="Times New Roman" w:hAnsi="Times New Roman"/>
          <w:noProof/>
          <w:sz w:val="24"/>
          <w:szCs w:val="24"/>
        </w:rPr>
        <w:t xml:space="preserve"> Според програмата за стабилност за 2020 г. Словения планира дефицит от 8,1 % от БВП през 2020 г. и дълг в размер на 82,4 %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подготви настоящия доклад, в който се анализира спазването на критерия за дефицита и за дълга, заложен в Договора, от страна на Словения. В доклада 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1"/>
        <w:gridCol w:w="2663"/>
        <w:gridCol w:w="850"/>
        <w:gridCol w:w="851"/>
        <w:gridCol w:w="804"/>
        <w:gridCol w:w="799"/>
        <w:gridCol w:w="1072"/>
        <w:gridCol w:w="1072"/>
      </w:tblGrid>
      <w:tr>
        <w:trPr>
          <w:trHeight w:val="603"/>
        </w:trPr>
        <w:tc>
          <w:tcPr>
            <w:tcW w:w="1131" w:type="dxa"/>
          </w:tcPr>
          <w:p>
            <w:pPr>
              <w:keepNext/>
              <w:jc w:val="center"/>
              <w:rPr>
                <w:rFonts w:ascii="Times New Roman" w:eastAsia="Times New Roman" w:hAnsi="Times New Roman" w:cs="Calibri"/>
                <w:noProof/>
                <w:sz w:val="20"/>
                <w:szCs w:val="20"/>
                <w:lang w:eastAsia="en-GB"/>
              </w:rPr>
            </w:pPr>
          </w:p>
        </w:tc>
        <w:tc>
          <w:tcPr>
            <w:tcW w:w="2663" w:type="dxa"/>
          </w:tcPr>
          <w:p>
            <w:pPr>
              <w:keepNext/>
              <w:jc w:val="center"/>
              <w:rPr>
                <w:rFonts w:ascii="Times New Roman" w:eastAsia="Times New Roman" w:hAnsi="Times New Roman" w:cs="Calibri"/>
                <w:noProof/>
                <w:sz w:val="20"/>
                <w:szCs w:val="20"/>
                <w:lang w:eastAsia="en-GB"/>
              </w:rPr>
            </w:pP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80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0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0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3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266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850"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851"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0,0</w:t>
            </w:r>
          </w:p>
        </w:tc>
        <w:tc>
          <w:tcPr>
            <w:tcW w:w="80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799"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0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-7,2</w:t>
            </w:r>
          </w:p>
        </w:tc>
        <w:tc>
          <w:tcPr>
            <w:tcW w:w="10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r>
      <w:tr>
        <w:tc>
          <w:tcPr>
            <w:tcW w:w="113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266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850"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78,7</w:t>
            </w:r>
          </w:p>
        </w:tc>
        <w:tc>
          <w:tcPr>
            <w:tcW w:w="851"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74,1</w:t>
            </w:r>
          </w:p>
        </w:tc>
        <w:tc>
          <w:tcPr>
            <w:tcW w:w="80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70,4</w:t>
            </w:r>
          </w:p>
        </w:tc>
        <w:tc>
          <w:tcPr>
            <w:tcW w:w="799"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66,1</w:t>
            </w:r>
          </w:p>
        </w:tc>
        <w:tc>
          <w:tcPr>
            <w:tcW w:w="10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83,7</w:t>
            </w:r>
          </w:p>
        </w:tc>
        <w:tc>
          <w:tcPr>
            <w:tcW w:w="10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79,9</w:t>
            </w:r>
          </w:p>
        </w:tc>
      </w:tr>
      <w:tr>
        <w:tc>
          <w:tcPr>
            <w:tcW w:w="1131" w:type="dxa"/>
          </w:tcPr>
          <w:p>
            <w:pPr>
              <w:keepNext/>
              <w:jc w:val="center"/>
              <w:rPr>
                <w:rFonts w:ascii="Times New Roman" w:eastAsia="Times New Roman" w:hAnsi="Times New Roman" w:cs="Calibri"/>
                <w:noProof/>
                <w:sz w:val="20"/>
                <w:szCs w:val="20"/>
                <w:lang w:eastAsia="en-GB"/>
              </w:rPr>
            </w:pPr>
          </w:p>
        </w:tc>
        <w:tc>
          <w:tcPr>
            <w:tcW w:w="266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Разлика спрямо целевия показател за намаляване на дълга</w:t>
            </w:r>
          </w:p>
        </w:tc>
        <w:tc>
          <w:tcPr>
            <w:tcW w:w="850" w:type="dxa"/>
            <w:vAlign w:val="center"/>
          </w:tcPr>
          <w:p>
            <w:pPr>
              <w:keepNext/>
              <w:jc w:val="center"/>
              <w:rPr>
                <w:rFonts w:ascii="Times New Roman" w:eastAsia="Times New Roman" w:hAnsi="Times New Roman" w:cs="Calibri"/>
                <w:noProof/>
                <w:sz w:val="20"/>
                <w:szCs w:val="20"/>
                <w:lang w:eastAsia="en-GB"/>
              </w:rPr>
            </w:pPr>
          </w:p>
        </w:tc>
        <w:tc>
          <w:tcPr>
            <w:tcW w:w="851" w:type="dxa"/>
            <w:vAlign w:val="center"/>
          </w:tcPr>
          <w:p>
            <w:pPr>
              <w:keepNext/>
              <w:jc w:val="center"/>
              <w:rPr>
                <w:rFonts w:ascii="Times New Roman" w:eastAsia="Times New Roman" w:hAnsi="Times New Roman" w:cs="Calibri"/>
                <w:noProof/>
                <w:sz w:val="20"/>
                <w:szCs w:val="20"/>
                <w:lang w:eastAsia="en-GB"/>
              </w:rPr>
            </w:pPr>
          </w:p>
        </w:tc>
        <w:tc>
          <w:tcPr>
            <w:tcW w:w="804" w:type="dxa"/>
            <w:vAlign w:val="center"/>
          </w:tcPr>
          <w:p>
            <w:pPr>
              <w:keepNext/>
              <w:jc w:val="center"/>
              <w:rPr>
                <w:rFonts w:ascii="Times New Roman" w:eastAsia="Times New Roman" w:hAnsi="Times New Roman" w:cs="Calibri"/>
                <w:noProof/>
                <w:sz w:val="20"/>
                <w:szCs w:val="20"/>
                <w:lang w:eastAsia="en-GB"/>
              </w:rPr>
            </w:pPr>
          </w:p>
        </w:tc>
        <w:tc>
          <w:tcPr>
            <w:tcW w:w="799"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-6,8</w:t>
            </w:r>
          </w:p>
        </w:tc>
        <w:tc>
          <w:tcPr>
            <w:tcW w:w="10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0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r>
      <w:tr>
        <w:tc>
          <w:tcPr>
            <w:tcW w:w="1131" w:type="dxa"/>
          </w:tcPr>
          <w:p>
            <w:pPr>
              <w:keepNext/>
              <w:jc w:val="center"/>
              <w:rPr>
                <w:rFonts w:ascii="Times New Roman" w:eastAsia="Times New Roman" w:hAnsi="Times New Roman" w:cs="Calibri"/>
                <w:noProof/>
                <w:sz w:val="20"/>
                <w:szCs w:val="20"/>
                <w:lang w:eastAsia="en-GB"/>
              </w:rPr>
            </w:pPr>
          </w:p>
        </w:tc>
        <w:tc>
          <w:tcPr>
            <w:tcW w:w="266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Изменение на структурното салдо</w:t>
            </w:r>
          </w:p>
        </w:tc>
        <w:tc>
          <w:tcPr>
            <w:tcW w:w="850"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851"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80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799" w:type="dxa"/>
            <w:vAlign w:val="center"/>
          </w:tcPr>
          <w:p>
            <w:pPr>
              <w:keepNext/>
              <w:jc w:val="center"/>
              <w:rPr>
                <w:rFonts w:ascii="Times New Roman" w:eastAsia="Times New Roman" w:hAnsi="Times New Roman" w:cs="Calibri"/>
                <w:noProof/>
                <w:sz w:val="20"/>
                <w:szCs w:val="20"/>
                <w:lang w:eastAsia="en-GB"/>
              </w:rPr>
            </w:pPr>
          </w:p>
        </w:tc>
        <w:tc>
          <w:tcPr>
            <w:tcW w:w="1072" w:type="dxa"/>
            <w:vAlign w:val="center"/>
          </w:tcPr>
          <w:p>
            <w:pPr>
              <w:keepNext/>
              <w:jc w:val="center"/>
              <w:rPr>
                <w:rFonts w:ascii="Times New Roman" w:eastAsia="Times New Roman" w:hAnsi="Times New Roman" w:cs="Calibri"/>
                <w:noProof/>
                <w:sz w:val="20"/>
                <w:szCs w:val="20"/>
                <w:lang w:eastAsia="en-GB"/>
              </w:rPr>
            </w:pPr>
          </w:p>
        </w:tc>
        <w:tc>
          <w:tcPr>
            <w:tcW w:w="1072" w:type="dxa"/>
            <w:vAlign w:val="center"/>
          </w:tcPr>
          <w:p>
            <w:pPr>
              <w:keepNext/>
              <w:jc w:val="center"/>
              <w:rPr>
                <w:rFonts w:ascii="Times New Roman" w:eastAsia="Times New Roman" w:hAnsi="Times New Roman" w:cs="Calibri"/>
                <w:noProof/>
                <w:sz w:val="20"/>
                <w:szCs w:val="20"/>
                <w:lang w:eastAsia="en-GB"/>
              </w:rPr>
            </w:pPr>
          </w:p>
        </w:tc>
      </w:tr>
      <w:tr>
        <w:tc>
          <w:tcPr>
            <w:tcW w:w="1131" w:type="dxa"/>
          </w:tcPr>
          <w:p>
            <w:pPr>
              <w:keepNext/>
              <w:jc w:val="center"/>
              <w:rPr>
                <w:rFonts w:ascii="Times New Roman" w:eastAsia="Times New Roman" w:hAnsi="Times New Roman" w:cs="Calibri"/>
                <w:noProof/>
                <w:sz w:val="20"/>
                <w:szCs w:val="20"/>
                <w:lang w:eastAsia="en-GB"/>
              </w:rPr>
            </w:pPr>
          </w:p>
        </w:tc>
        <w:tc>
          <w:tcPr>
            <w:tcW w:w="266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Необходима MLSA</w:t>
            </w:r>
          </w:p>
        </w:tc>
        <w:tc>
          <w:tcPr>
            <w:tcW w:w="850"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851"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c>
          <w:tcPr>
            <w:tcW w:w="80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-6,2</w:t>
            </w:r>
          </w:p>
        </w:tc>
        <w:tc>
          <w:tcPr>
            <w:tcW w:w="799" w:type="dxa"/>
            <w:vAlign w:val="center"/>
          </w:tcPr>
          <w:p>
            <w:pPr>
              <w:keepNext/>
              <w:jc w:val="center"/>
              <w:rPr>
                <w:rFonts w:ascii="Times New Roman" w:eastAsia="Times New Roman" w:hAnsi="Times New Roman" w:cs="Calibri"/>
                <w:noProof/>
                <w:sz w:val="20"/>
                <w:szCs w:val="20"/>
                <w:lang w:eastAsia="en-GB"/>
              </w:rPr>
            </w:pPr>
          </w:p>
        </w:tc>
        <w:tc>
          <w:tcPr>
            <w:tcW w:w="1072" w:type="dxa"/>
            <w:vAlign w:val="center"/>
          </w:tcPr>
          <w:p>
            <w:pPr>
              <w:keepNext/>
              <w:jc w:val="center"/>
              <w:rPr>
                <w:rFonts w:ascii="Times New Roman" w:eastAsia="Times New Roman" w:hAnsi="Times New Roman" w:cs="Calibri"/>
                <w:noProof/>
                <w:sz w:val="20"/>
                <w:szCs w:val="20"/>
                <w:highlight w:val="lightGray"/>
                <w:lang w:eastAsia="en-GB"/>
              </w:rPr>
            </w:pPr>
          </w:p>
        </w:tc>
        <w:tc>
          <w:tcPr>
            <w:tcW w:w="1072" w:type="dxa"/>
            <w:vAlign w:val="center"/>
          </w:tcPr>
          <w:p>
            <w:pPr>
              <w:keepNext/>
              <w:jc w:val="center"/>
              <w:rPr>
                <w:rFonts w:ascii="Times New Roman" w:eastAsia="Times New Roman" w:hAnsi="Times New Roman" w:cs="Calibri"/>
                <w:noProof/>
                <w:sz w:val="20"/>
                <w:szCs w:val="20"/>
                <w:highlight w:val="lightGray"/>
                <w:lang w:eastAsia="en-GB"/>
              </w:rPr>
            </w:pP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Забележка: MLSA означава „минимална линейна структурна корекция“ </w:t>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планира през 2020 г. дефицитът по консолидирания държавен бюджет на Словения да достигне 8,1 % от БВП, което превишава и не е близо до референтната стойност по Договора от 3 % от БВП. Нарастването на дефицита отразява планирания стимул в размер на 4,4 % от БВП и въздействието на свиването на икономиката.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се предвижда през 2020 г. реалният БВП да се свие със 7,0 %.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Според прогнозата на Комисията от пролетта на 2020 г. планираното надвишаване на референтната стойност по Договора е временно отклонение, тъй като в нея се предвижда дефицитът по консолидирания държавен бюджет да спадне под 3 % от БВП през 2021 г. Тези прогнози обаче се отличават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не е близък до нея. </w:t>
      </w:r>
      <w:r>
        <w:rPr>
          <w:rFonts w:ascii="Times New Roman" w:hAnsi="Times New Roman"/>
          <w:noProof/>
          <w:sz w:val="24"/>
        </w:rPr>
        <w:t>Планираното надвишаване се счита за изключение съгласно Договора и на Пакта за стабилност и растеж, като същевременно се смята, че то представлява временно отклонение.</w:t>
      </w:r>
      <w:r>
        <w:rPr>
          <w:rFonts w:ascii="Times New Roman" w:hAnsi="Times New Roman"/>
          <w:noProof/>
          <w:sz w:val="24"/>
          <w:szCs w:val="24"/>
        </w:rPr>
        <w:t xml:space="preserve"> </w:t>
      </w:r>
      <w:r>
        <w:rPr>
          <w:rFonts w:ascii="Times New Roman" w:hAnsi="Times New Roman"/>
          <w:noProof/>
          <w:sz w:val="24"/>
        </w:rPr>
        <w:t xml:space="preserve">Поради това анализът сочи, че </w:t>
      </w:r>
      <w:r>
        <w:rPr>
          <w:rFonts w:ascii="Times New Roman" w:hAnsi="Times New Roman"/>
          <w:i/>
          <w:iCs/>
          <w:noProof/>
          <w:sz w:val="24"/>
        </w:rPr>
        <w:t>prima facie</w:t>
      </w:r>
      <w:r>
        <w:rPr>
          <w:rFonts w:ascii="Times New Roman" w:hAnsi="Times New Roman"/>
          <w:noProof/>
          <w:sz w:val="24"/>
        </w:rPr>
        <w:t xml:space="preserve"> критерият за дефицита, определен в Договора и в Регламент (ЕО) № 1467/97, е изпълнен.</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highlight w:val="lightGray"/>
        </w:rPr>
      </w:pPr>
      <w:r>
        <w:rPr>
          <w:rFonts w:ascii="Times New Roman" w:hAnsi="Times New Roman"/>
          <w:noProof/>
          <w:sz w:val="24"/>
          <w:szCs w:val="24"/>
        </w:rPr>
        <w:t xml:space="preserve">Съотношението на консолидирания държавен дълг към БВП е намаляло от 70,4 % от БВП през 2018 г. на 66,1 % от БВП през 2019 г. Спадът на съотношението се дължи главно на първичния излишък, на ефекта на знаменателя от увеличаването на номиналния БВП и на отрицателните корекции наличности-потоци.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Предоставените данни показват, че през 2019 г. Словения е спазила целевия показател за намаляване на дълга, като разликата спрямо показателя е 6,8 % от БВП.</w:t>
      </w:r>
    </w:p>
    <w:p>
      <w:pPr>
        <w:pStyle w:val="ListDash"/>
        <w:numPr>
          <w:ilvl w:val="0"/>
          <w:numId w:val="0"/>
        </w:numPr>
        <w:rPr>
          <w:noProof/>
        </w:rPr>
      </w:pPr>
      <w:r>
        <w:rPr>
          <w:noProof/>
        </w:rPr>
        <w:t>По този начин анализът показва, че критерият за дълга е изпълнен въз основа на данните за резултатите за 2019 г.</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Действащи фактори </w:t>
      </w:r>
    </w:p>
    <w:p>
      <w:pPr>
        <w:spacing w:before="120" w:after="120" w:line="240" w:lineRule="auto"/>
        <w:jc w:val="both"/>
        <w:rPr>
          <w:rFonts w:eastAsia="Times New Roman" w:cs="Calibri"/>
          <w:bCs/>
          <w:noProof/>
          <w:spacing w:val="-4"/>
        </w:rPr>
      </w:pPr>
      <w:r>
        <w:rPr>
          <w:rFonts w:ascii="Times New Roman" w:hAnsi="Times New Roman"/>
          <w:bCs/>
          <w:noProof/>
          <w:spacing w:val="-4"/>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eastAsia="Times New Roman" w:cs="Calibri"/>
          <w:bCs/>
          <w:noProof/>
        </w:rPr>
      </w:pPr>
      <w:r>
        <w:rPr>
          <w:rFonts w:ascii="Times New Roman" w:hAnsi="Times New Roman"/>
          <w:bCs/>
          <w:noProof/>
          <w:sz w:val="24"/>
        </w:rPr>
        <w:t xml:space="preserve">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Както е посочено в член 2, параграф 4 от Регламент (ЕО) № 1467/97, по отношение на спазването на критерия за дефицита, тъй като съотношението на консолидирания държавен дълг към БВП надвишава референтната стойност от 60 % и не е изпълнено двойното условие — т.е. дефицитът да остава близо до референтната стойност и надхвърлянето на референтната стойност да е временно — действащите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Унгария.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В настоящата ситуация важен допълнителен фактор, който трябва да се вземе под внимание за 2020 г., е икономическото въздействие на пандемията от COVID-19, което се отразява съществено върху състоянието на бюджета и води до твърде несигурни перспективи.</w:t>
      </w:r>
      <w:r>
        <w:rPr>
          <w:rFonts w:ascii="Times New Roman" w:hAnsi="Times New Roman"/>
          <w:noProof/>
          <w:sz w:val="24"/>
          <w:szCs w:val="24"/>
        </w:rPr>
        <w:t xml:space="preserve"> </w:t>
      </w:r>
      <w:r>
        <w:rPr>
          <w:rFonts w:ascii="Times New Roman" w:hAnsi="Times New Roman"/>
          <w:noProof/>
          <w:sz w:val="24"/>
        </w:rPr>
        <w:t>Пандемията доведе също така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Бяха приети и значителни мерки за подкрепа на ликвидността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Икономиката на Словения нарасна с 2,4 % през 2019 г. Заетостта продължи да нараства, а безработицата достигна много ниско равнище от 4,0 % през последното тримесечие. Въпреки намаляването на растежа в края на годината Словения навлезе в тази криза в относително силна позиция.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През 2020 г. се очаква икономиката да се свие с около 7 % въз основа на прогнозата на Комисията от пролетта на 2020 г. </w:t>
      </w:r>
      <w:r>
        <w:rPr>
          <w:rFonts w:ascii="Times New Roman" w:hAnsi="Times New Roman"/>
          <w:noProof/>
          <w:sz w:val="24"/>
          <w:szCs w:val="24"/>
        </w:rPr>
        <w:t>Очаква се икономическата активност да се възстанови през втората половина на 2020 г., като се възползва от строгите политически мерки, предприети за подкрепа на заетостта и за смекчаване на спада на доходите на засегнатите от кризата домакинства и предприятия.</w:t>
      </w:r>
      <w:r>
        <w:rPr>
          <w:rFonts w:ascii="Times New Roman" w:hAnsi="Times New Roman"/>
          <w:bCs/>
          <w:noProof/>
          <w:sz w:val="24"/>
          <w:szCs w:val="24"/>
        </w:rPr>
        <w:t xml:space="preserve"> През 2021 г. се очаква растежът да достигне 6,7 %. Краткосрочната перспектива включва изключителна степен на несигурност по отношение на продължителността на пандемията, както и икономическото ѝ въздействие. Това е смекчаващ фактор при оценяването на спазването от страна на Словения на критерия за дефицита през 2020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Номиналният излишък е намалял от 0,7 % от БВП през 2018 г. на 0,5 % от БВП през 2019 г. </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На 13 юли 2018 г. на Словения бе препоръчано да гарантира, че номиналният темп на растеж на първичните държавни разходи, след приспадане на дискреционните мерки по отношение на приходите и еднократните мерки, няма да надвиши 3,1 % през 2019 г. („целевия показател за разходите“), което съответства на корекция на структурното салдо от 0,65 % от БВП</w:t>
      </w:r>
      <w:r>
        <w:rPr>
          <w:rStyle w:val="FootnoteReference"/>
          <w:rFonts w:eastAsiaTheme="minorHAnsi"/>
          <w:noProof/>
        </w:rPr>
        <w:footnoteReference w:id="3"/>
      </w:r>
      <w:r>
        <w:rPr>
          <w:rFonts w:ascii="Times New Roman" w:hAnsi="Times New Roman"/>
          <w:noProof/>
          <w:sz w:val="24"/>
          <w:szCs w:val="24"/>
        </w:rPr>
        <w:t xml:space="preserve">. </w:t>
      </w:r>
      <w:r>
        <w:rPr>
          <w:rFonts w:ascii="Times New Roman" w:hAnsi="Times New Roman"/>
          <w:noProof/>
          <w:sz w:val="24"/>
        </w:rPr>
        <w:t>Цялостната оценка сочи значително отклонение от препоръчания план за корекции за постигане на средносрочната бюджетна цел през 2019 г. и през 2018 г. и 2019 г., взети заедно.</w:t>
      </w:r>
    </w:p>
    <w:p>
      <w:p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 xml:space="preserve">Програмата за стабилност предоставя информация за значителни мерки за ограничаване на пандемията и за подпомагане на икономиката. В нея въздействието върху бюджета на тези преки мерки за подпомагане се оценява на 4,4 % от БВП през 2020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Фискалните прогнози в прогнозата на Комисията от пролетта на 2020 г. и в програмата за стабилност за 2020 г. се характеризират с висока степен на несигурност.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 xml:space="preserve">Равнище на държавния дълг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Според прогнозата на Комисията от пролетта на 2020 г. консолидираният държавен дълг се очаква да нарасне от 66,1 % от БВП през 2019 г. до 83,7 % през 2020 г. </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rPr>
        <w:t xml:space="preserve">Анализът на устойчивостта на обслужването на дълга беше актуализиран с прогнозата на Комисията от пролетта на 2020 г. </w:t>
      </w:r>
      <w:r>
        <w:rPr>
          <w:rFonts w:ascii="Times New Roman" w:hAnsi="Times New Roman"/>
          <w:noProof/>
          <w:sz w:val="24"/>
        </w:rPr>
        <w:t>Анализът потвърждава, че независимо от рисковете обслужването на дълга в Словения остава устойчиво в средносрочен план, като се отчитат важните смекчаващи фактори (включително профила на дълга и рекордно ниското равнище на лихвените проценти. По-специално, въпреки че равнището на държавния дълг се е влошило в резултат на кризата, свързана с COVID-19, се очаква съотношението на дълга към БВП по базовия сценарий да отбележи устойчива тенденция (на намаляване) в средносрочен план</w:t>
      </w:r>
      <w:r>
        <w:rPr>
          <w:rStyle w:val="FootnoteReference"/>
          <w:rFonts w:eastAsiaTheme="minorHAnsi"/>
          <w:iCs/>
          <w:noProof/>
        </w:rPr>
        <w:footnoteReference w:id="4"/>
      </w:r>
      <w:r>
        <w:rPr>
          <w:rFonts w:ascii="Times New Roman" w:hAnsi="Times New Roman"/>
          <w:noProof/>
          <w:sz w:val="24"/>
        </w:rPr>
        <w:t>.</w:t>
      </w:r>
      <w:r>
        <w:rPr>
          <w:noProof/>
        </w:rPr>
        <w:t xml:space="preserve"> </w:t>
      </w:r>
    </w:p>
    <w:p>
      <w:pPr>
        <w:keepNext/>
        <w:spacing w:before="120" w:after="120" w:line="240" w:lineRule="auto"/>
        <w:jc w:val="center"/>
        <w:rPr>
          <w:rFonts w:ascii="Times New Roman" w:eastAsia="Times New Roman" w:hAnsi="Times New Roman" w:cs="Times New Roman"/>
          <w:b/>
          <w:iCs/>
          <w:noProof/>
          <w:sz w:val="24"/>
        </w:rPr>
      </w:pPr>
      <w:r>
        <w:rPr>
          <w:rFonts w:ascii="Times New Roman" w:hAnsi="Times New Roman"/>
          <w:b/>
          <w:iCs/>
          <w:noProof/>
          <w:sz w:val="24"/>
        </w:rPr>
        <w:t>Графика 1. Съотношение на консолидирания държавен дълг към БВП, Словения,% от БВП</w:t>
      </w:r>
    </w:p>
    <w:p>
      <w:pPr>
        <w:spacing w:before="120" w:after="120" w:line="240" w:lineRule="auto"/>
        <w:jc w:val="center"/>
        <w:rPr>
          <w:rFonts w:ascii="Times New Roman" w:eastAsia="Times New Roman" w:hAnsi="Times New Roman" w:cs="Times New Roman"/>
          <w:noProof/>
          <w:sz w:val="24"/>
        </w:rPr>
      </w:pPr>
    </w:p>
    <w:p>
      <w:pPr>
        <w:spacing w:before="120" w:after="120" w:line="240" w:lineRule="auto"/>
        <w:jc w:val="center"/>
        <w:rPr>
          <w:rFonts w:ascii="Times New Roman" w:eastAsia="Times New Roman" w:hAnsi="Times New Roman" w:cs="Times New Roman"/>
          <w:noProof/>
          <w:sz w:val="24"/>
          <w:lang w:val="fr-BE"/>
        </w:rPr>
      </w:pPr>
      <w:r>
        <w:rPr>
          <w:noProof/>
          <w:lang w:val="en-GB" w:eastAsia="en-GB"/>
        </w:rPr>
        <w:drawing>
          <wp:inline distT="0" distB="0" distL="0" distR="0">
            <wp:extent cx="4413250" cy="2216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3250" cy="2216150"/>
                    </a:xfrm>
                    <a:prstGeom prst="rect">
                      <a:avLst/>
                    </a:prstGeom>
                  </pic:spPr>
                </pic:pic>
              </a:graphicData>
            </a:graphic>
          </wp:inline>
        </w:drawing>
      </w:r>
    </w:p>
    <w:p>
      <w:pPr>
        <w:spacing w:before="120" w:after="120" w:line="240" w:lineRule="auto"/>
        <w:ind w:firstLine="720"/>
        <w:rPr>
          <w:rFonts w:ascii="Times New Roman" w:eastAsia="Times New Roman" w:hAnsi="Times New Roman" w:cs="Times New Roman"/>
          <w:noProof/>
          <w:sz w:val="20"/>
        </w:rPr>
      </w:pPr>
      <w:r>
        <w:rPr>
          <w:rFonts w:ascii="Times New Roman" w:hAnsi="Times New Roman"/>
          <w:b/>
          <w:noProof/>
          <w:sz w:val="20"/>
        </w:rPr>
        <w:t>Източник:</w:t>
      </w:r>
      <w:r>
        <w:rPr>
          <w:rFonts w:ascii="Times New Roman" w:hAnsi="Times New Roman"/>
          <w:noProof/>
          <w:sz w:val="20"/>
        </w:rPr>
        <w:t xml:space="preserve"> Службите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12 май 2020 г. словенските органи изпратиха писмо, съдържащо действащите фактори, в съответствие с разпоредбите в член 2, параграф 3 от Регламент (ЕО) № 1467/97. Анализът, представен в предишните раздели, вече обхваща основните фактори, представени от органите.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Съгласно програмата за стабилност се предвижда дефицитът по консолидирания държавен бюджет на Словения през 2020 г. да се увеличи до 8,1 % от БВП, тоест да бъде по-висок от референтната стойност по Договора от 3 % от БВП, и не близък до нея. Планираното надвишаване на референтната стойност се счита за изключение и понастоящем се смята за временно отклонение.</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Брутният консолидиран държавен дълг е бил 66,1 % от БВП към края на 2019 г. — над посочената в Договора референтна стойност от 60 % от БВП.</w:t>
      </w:r>
      <w:r>
        <w:rPr>
          <w:rFonts w:ascii="Times New Roman" w:hAnsi="Times New Roman"/>
          <w:bCs/>
          <w:noProof/>
          <w:sz w:val="24"/>
          <w:szCs w:val="24"/>
        </w:rPr>
        <w:t xml:space="preserve"> Словения е спазила целевия показател за намаляване на дълга през 2019 г.</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бяха разгледани и действащите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е посочено в член 2, параграф 4 от Регламент (ЕО) № 1467/97, по отношение на спазването на критерия за дефицита обаче, тъй като съотношението на консолидирания държавен дълг към БВП надвишава референтната стойност от 60 % и не е изпълнено двойното условие — т.е. дефицитът да остава близо до референтната стойност и надхвърлянето на референтната стойност да е временно — действащите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Унгария.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Като цяло, в анализа се предполага, че критерият за дефицита, определен в Договора и в Регламент (ЕО) № 1467/1997, не е изпълнен.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ab/>
        <w:t>Препоръка на Съвета от 13 юли 2018 година относно националната програма за реформи на Словения за 2018 г. и съдържаща становище на Съвета относно програмата за стабилност на Словения за 2018 г. (ОВ C 320, 10.9.2018 г., стр. 103.).</w:t>
      </w:r>
    </w:p>
  </w:footnote>
  <w:footnote w:id="4">
    <w:p>
      <w:pPr>
        <w:pStyle w:val="FootnoteText"/>
        <w:ind w:left="142" w:hanging="142"/>
      </w:pPr>
      <w:r>
        <w:rPr>
          <w:rStyle w:val="FootnoteReference"/>
        </w:rPr>
        <w:footnoteRef/>
      </w:r>
      <w:r>
        <w:tab/>
        <w:t>Базовият сценарий се основава на прогнозата на Комисията от пролетта на 2020 г. След 2021 г. се предполага постепенно коригиране на фискалната политика в съответствие с рамката на ЕС за икономическа и фискална координация и надзор. Растежът на реалния БВП се предвижда да е в съответствие с така наречената „T+10“ методика на Комитета за икономическа политика/Работната група по разликата между фактическия и потенциалния БВП. По-специално (реалният) действителен ръст на БВП зависи от потенциалния му растеж и се влияе от всяка допълнителна предвидена бюджетна корекция (чрез фискалния мултипликатор). Приема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неблагоприятен сценарий се приема по-висок лихвен процент (с 500 базисни пункта) и по-нисък растеж на БВП (с -0,5 процентни пункта) по отношение на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97704F-4601-4CFC-9CF9-DCB0864C960C"/>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7?\u1083?\u1086?\u1074?\u1077?\u1085?\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26989626">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05625891">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7582142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258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2006-C9E1-4946-B2B9-B94B4E26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1984</Words>
  <Characters>10659</Characters>
  <Application>Microsoft Office Word</Application>
  <DocSecurity>0</DocSecurity>
  <Lines>242</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2019-05-13T14:09:00Z</cp:lastPrinted>
  <dcterms:created xsi:type="dcterms:W3CDTF">2020-05-18T15:05:00Z</dcterms:created>
  <dcterms:modified xsi:type="dcterms:W3CDTF">2020-06-03T14:32:00Z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