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8D7DAD-68AE-454A-80A1-CA7E381F1C03"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Ирландия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hAnsi="Times New Roman"/>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ирландските органи на 31 март 2020 г. и впоследствие утвърдени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салдото по консолидирания държавен бюджет на Ирландия е достигнало 0,4 % от БВП през 2019 г., а брутният консолидиран държавен дълг е възлизал на 58,8 % от БВП. Според програмата за стабилност за 2020 г. Ирландия планира дефицит от 7,4 % от БВП през 2020 г. и дълг в размер на 69,1 %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в който се анализира спазването на критерия за дефицита, заложен в Договора, от страна на Ирландия. Може да се счита, че критерият за дълга е изпълнен, тъй като съотношението на дълга към БВП е под референтната стойност по Договора от 60 % от БВП. В доклада се отчитат всички съответни фактори и се обръща необходимото внимание на голямото икономическо сътресение, свързано с пандемията от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tbl>
      <w:tblPr>
        <w:tblStyle w:val="TableGrid"/>
        <w:tblW w:w="0" w:type="auto"/>
        <w:tblLook w:val="04A0" w:firstRow="1" w:lastRow="0" w:firstColumn="1" w:lastColumn="0" w:noHBand="0" w:noVBand="1"/>
      </w:tblPr>
      <w:tblGrid>
        <w:gridCol w:w="1132"/>
        <w:gridCol w:w="1620"/>
        <w:gridCol w:w="1081"/>
        <w:gridCol w:w="1081"/>
        <w:gridCol w:w="1081"/>
        <w:gridCol w:w="1081"/>
        <w:gridCol w:w="1083"/>
        <w:gridCol w:w="1083"/>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-5,6</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-2,9</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73,8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67,7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63,5</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58,8</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66,4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66,7</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rPr>
      </w:pPr>
      <w:r>
        <w:rPr>
          <w:smallCaps w:val="0"/>
          <w:noProof/>
        </w:rPr>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се планира през 2020 г. дефицитът по консолидирания държавен бюджет на Ирландия да достигне 7,4 % от БВП, което е над и не е близо до референтната стойност от 3 % от БВП по Договора.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надвишаване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се предвижда през 2020 г. реалният БВП да се свие със 7,9 %.</w:t>
      </w:r>
    </w:p>
    <w:p>
      <w:pPr>
        <w:spacing w:before="120" w:after="120" w:line="240" w:lineRule="auto"/>
        <w:jc w:val="both"/>
        <w:rPr>
          <w:rFonts w:ascii="Times New Roman" w:eastAsia="Calibri" w:hAnsi="Times New Roman" w:cs="Times New Roman"/>
          <w:noProof/>
          <w:sz w:val="24"/>
          <w:szCs w:val="24"/>
          <w:highlight w:val="yellow"/>
        </w:rPr>
      </w:pPr>
      <w:r>
        <w:rPr>
          <w:rFonts w:ascii="Times New Roman" w:hAnsi="Times New Roman"/>
          <w:noProof/>
          <w:sz w:val="24"/>
          <w:szCs w:val="24"/>
        </w:rPr>
        <w:t>Планираното надвишаване на референтната стойност по Договора би трябвало да е временно въз основа на прогнозата на Комисията от пролетта на 2020 г. Тези прогнози обаче се характеризират с изключително висока степен на несигурност.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е над и не е близо до референтната стойност от 3 % от БВП по Договора. Планираното надвишаване се счита за изключение съгласно Договора и на Пакта за стабилност и растеж, като същевременно се смята, че то представлява временно отклонение. Следователно анализът показва, че </w:t>
      </w:r>
      <w:r>
        <w:rPr>
          <w:rFonts w:ascii="Times New Roman" w:hAnsi="Times New Roman"/>
          <w:i/>
          <w:noProof/>
          <w:sz w:val="24"/>
          <w:szCs w:val="24"/>
        </w:rPr>
        <w:t>prima facie</w:t>
      </w:r>
      <w:r>
        <w:rPr>
          <w:rFonts w:ascii="Times New Roman" w:hAnsi="Times New Roman"/>
          <w:noProof/>
          <w:sz w:val="24"/>
          <w:szCs w:val="24"/>
        </w:rPr>
        <w:t xml:space="preserve"> критерият за дефицита, определен в Договора и в Регламент (ЕО) № 1467/97, не е изпълнен.</w:t>
      </w:r>
    </w:p>
    <w:p>
      <w:pPr>
        <w:pStyle w:val="ManualHeading1"/>
        <w:rPr>
          <w:noProof/>
        </w:rPr>
      </w:pPr>
      <w:r>
        <w:rPr>
          <w:noProof/>
        </w:rPr>
        <w:t>3.</w:t>
      </w:r>
      <w:r>
        <w:rPr>
          <w:noProof/>
        </w:rPr>
        <w:tab/>
        <w:t xml:space="preserve">Съответни фактори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Както е посочено в член 2, параграф 4 от Регламент (ЕО) № 1467/97, що се отнася до спазването на критерия за дефицита,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неговото превишение над референтната стойност да е временно — тези съответни фактори не могат да бъдат взети предвид при етапите, водещи до вземане на решение за наличието на прекомерен дефицит за Ирландия.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настоящата ситуация ключов допълнителен фактор, който трябва да се вземе под внимание за 2020 г., е икономическото въздействие на пандемията от COVID-19, което се отразява съществено върху състоянието на бюджета и води до твърде несигурни перспективи. Пандемията доведе също така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Пандемията от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Освен това са приети значителни мерки за подкрепа за ликвидност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Състояние на икономиката в средносрочен план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Реалният БВП на Ирландия нарасна с 5,5 % през 2019 г. и в началото на 2020 г. имаше силна основа, като както вътрешното търсене, така и нетният износ функционираха добре. Очаква се пандемията да засегне много сектори на икономиката. Предвижда се тази година да се свият както частното потребление, така и инвестициите. От друга страна, нетният износ се очаква да бъде положителен, отчасти благодарение на известна устойчивост на износа поради големия дял на фармацевтичните и медицинските продукти в износа на Ирландия. Според прогнозата на Комисията от пролетта на 2020 г. се предвижда икономиката на Ирландия да се свие с около 8 % през 2020 г. Това е смекчаващ фактор при оценяването на спазването на критерия за дефицита от страна на Ирландия през 2020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Несигурността по отношение на макроикономическите перспективи на Ирландия е особено висока с рискове, свързани с неизвестната продължителност на пандемията и на мерките за изолация в домашни условия в Ирландия и нейните основни търговски партньори, както и с промените в поведението, които това ще предизвика. Несигурността се увеличава от фактори, специфични за Ирландия, като например промени в международната среда за данъчно облагане. Освен това Ирландия е особено засегната от бъдещите отношения между ЕС и Обединеното кралство. Операциите на многонационалните дружества, извършващи дейност в Ирландия, продължават да са трудни за прогнозиране и могат да окажат влияние върху движението на БВП нагоре или надолу.</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Въз основа на данните за изпълнението и прогнозата на Комисията от пролетта на 2020 г. Ирландия е изпълнила своята средносрочна бюджетна цел през 2019 г.</w:t>
      </w:r>
    </w:p>
    <w:p>
      <w:pPr>
        <w:jc w:val="both"/>
        <w:rPr>
          <w:rFonts w:ascii="Times New Roman" w:eastAsia="Times New Roman" w:hAnsi="Times New Roman" w:cs="Times New Roman"/>
          <w:noProof/>
          <w:sz w:val="24"/>
          <w:szCs w:val="24"/>
        </w:rPr>
      </w:pPr>
      <w:r>
        <w:rPr>
          <w:rFonts w:ascii="Times New Roman" w:hAnsi="Times New Roman"/>
          <w:noProof/>
          <w:sz w:val="24"/>
          <w:szCs w:val="24"/>
        </w:rPr>
        <w:t>През 2019 г. беше отчетен излишък на консолидирания държавен бюджет в размер на 0,4 % от БВП в резултат на процъфтяващата икономика, която доведе до силно увеличение на данъчните приходи и вноските за социално осигуряване, както и до намаляване на лихвената тежест.</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Ирландия прие редица мерки за предоставяне на подкрепа и облекчения на особено засегнатите домакинства и сектори, които възлизат на приблизително 2,3 % от БВП.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2020 г. се предвижда дефицит по консолидирания държавен бюджет в размер на 5,6 % от БВП през 2020 г. Това се дължи на действието на автоматичните стабилизатори и дискреционните фискални мерки, предприети от правителството в отговор на пандемията, като въздействието върху дефицита е около 2 % от БВП.</w:t>
      </w:r>
      <w:r>
        <w:rPr>
          <w:noProof/>
        </w:rPr>
        <w:t xml:space="preserve"> </w:t>
      </w:r>
      <w:r>
        <w:rPr>
          <w:rFonts w:ascii="Times New Roman" w:hAnsi="Times New Roman"/>
          <w:noProof/>
          <w:sz w:val="24"/>
        </w:rPr>
        <w:t>Рисковете за средносрочната фискална перспектива са значителни. Те са свързани с несигурността по отношение на окончателния размер на фискалната експанзия, за да се противодейства на кризата, и възможните промени в международната среда за данъчно облагане.</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 xml:space="preserve">Равнище на държавния дълг в средносрочен план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2020 г. се очаква през 2020 г. консолидираният държавен дълг да нарасне от 58,8 % от БВП през 2019 г. на 66,4 % през 2020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Анализът на устойчивостта на дълга е актуализиран въз основа на прогнозата на Комисията от пролетта на 2020 г.</w:t>
      </w:r>
      <w:r>
        <w:rPr>
          <w:rFonts w:ascii="Times New Roman" w:hAnsi="Times New Roman"/>
          <w:iCs/>
          <w:noProof/>
          <w:sz w:val="24"/>
        </w:rPr>
        <w:t xml:space="preserve"> </w:t>
      </w:r>
      <w:r>
        <w:rPr>
          <w:rFonts w:ascii="Times New Roman" w:hAnsi="Times New Roman"/>
          <w:noProof/>
          <w:sz w:val="24"/>
          <w:szCs w:val="24"/>
        </w:rPr>
        <w:t>Като цяло в оценката на устойчивостта на дълга</w:t>
      </w:r>
      <w:r>
        <w:rPr>
          <w:rFonts w:ascii="Times New Roman" w:hAnsi="Times New Roman"/>
          <w:noProof/>
          <w:sz w:val="24"/>
        </w:rPr>
        <w:t xml:space="preserve"> се посочва, че дългът продължава да бъде устойчив в </w:t>
      </w:r>
      <w:r>
        <w:rPr>
          <w:rFonts w:ascii="Times New Roman" w:hAnsi="Times New Roman"/>
          <w:noProof/>
          <w:sz w:val="24"/>
        </w:rPr>
        <w:noBreakHyphen/>
        <w:t>средносрочен план, като се отчитат също така и важни смекчаващи фактори, свързани с профила на дълга. По-специално, въпреки че равнището на държавния дълг се влоши в резултат на кризата, свързана с COVID-19, съотношението на дълга към БВП в базовия сценарий се очаква да има устойчиво (намаляващо) развитие в средносрочен план</w:t>
      </w:r>
      <w:r>
        <w:rPr>
          <w:rStyle w:val="FootnoteReference"/>
          <w:rFonts w:eastAsiaTheme="minorHAnsi"/>
          <w:noProof/>
        </w:rPr>
        <w:footnoteReference w:id="3"/>
      </w:r>
      <w:r>
        <w:rPr>
          <w:noProof/>
        </w:rPr>
        <w:t>.</w:t>
      </w:r>
    </w:p>
    <w:p>
      <w:pPr>
        <w:keepNext/>
        <w:spacing w:before="120" w:after="120" w:line="240" w:lineRule="auto"/>
        <w:jc w:val="center"/>
        <w:rPr>
          <w:rFonts w:ascii="Times New Roman" w:eastAsia="Times New Roman" w:hAnsi="Times New Roman" w:cs="Times New Roman"/>
          <w:noProof/>
          <w:sz w:val="24"/>
        </w:rPr>
      </w:pPr>
      <w:r>
        <w:rPr>
          <w:rFonts w:ascii="Times New Roman" w:hAnsi="Times New Roman"/>
          <w:b/>
          <w:noProof/>
          <w:sz w:val="24"/>
        </w:rPr>
        <w:t>Графика</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Съотношение на държавния дълг към БВП, Ирландия,% от БВП</w:t>
      </w:r>
    </w:p>
    <w:p>
      <w:pPr>
        <w:spacing w:before="120" w:after="120" w:line="240" w:lineRule="auto"/>
        <w:rPr>
          <w:rFonts w:ascii="Times New Roman" w:eastAsia="Times New Roman" w:hAnsi="Times New Roman" w:cs="Times New Roman"/>
          <w:noProof/>
          <w:sz w:val="24"/>
        </w:rPr>
      </w:pPr>
      <w:r>
        <w:rPr>
          <w:noProof/>
          <w:lang w:val="en-GB" w:eastAsia="en-GB"/>
        </w:rPr>
        <w:drawing>
          <wp:inline distT="0" distB="0" distL="0" distR="0">
            <wp:extent cx="54864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933700"/>
                    </a:xfrm>
                    <a:prstGeom prst="rect">
                      <a:avLst/>
                    </a:prstGeom>
                  </pic:spPr>
                </pic:pic>
              </a:graphicData>
            </a:graphic>
          </wp:inline>
        </w:drawing>
      </w:r>
    </w:p>
    <w:p>
      <w:pPr>
        <w:spacing w:before="120" w:after="120" w:line="240" w:lineRule="auto"/>
        <w:rPr>
          <w:rFonts w:ascii="Times New Roman" w:eastAsia="Times New Roman" w:hAnsi="Times New Roman" w:cs="Times New Roman"/>
          <w:noProof/>
          <w:sz w:val="24"/>
        </w:rPr>
      </w:pPr>
      <w:r>
        <w:rPr>
          <w:rFonts w:ascii="Times New Roman" w:hAnsi="Times New Roman"/>
          <w:b/>
          <w:noProof/>
          <w:sz w:val="24"/>
        </w:rPr>
        <w:t>Източник:</w:t>
      </w:r>
      <w:r>
        <w:rPr>
          <w:rFonts w:ascii="Times New Roman" w:hAnsi="Times New Roman"/>
          <w:noProof/>
          <w:sz w:val="24"/>
        </w:rPr>
        <w:t xml:space="preserve"> Службите на Комисията</w:t>
      </w:r>
    </w:p>
    <w:p>
      <w:pPr>
        <w:keepNext/>
        <w:tabs>
          <w:tab w:val="left" w:pos="850"/>
        </w:tabs>
        <w:spacing w:before="360" w:after="120" w:line="240" w:lineRule="auto"/>
        <w:ind w:left="851" w:hanging="851"/>
        <w:jc w:val="both"/>
        <w:outlineLvl w:val="1"/>
        <w:rPr>
          <w:rFonts w:ascii="Times New Roman" w:eastAsia="Times New Roman" w:hAnsi="Times New Roman" w:cs="Times New Roman"/>
          <w:b/>
          <w:i/>
          <w:noProof/>
          <w:sz w:val="24"/>
        </w:rPr>
      </w:pPr>
      <w:r>
        <w:rPr>
          <w:rFonts w:ascii="Times New Roman" w:hAnsi="Times New Roman"/>
          <w:b/>
          <w:i/>
          <w:noProof/>
          <w:sz w:val="24"/>
        </w:rPr>
        <w:t>3.5</w:t>
      </w:r>
      <w:r>
        <w:rPr>
          <w:noProof/>
        </w:rPr>
        <w:tab/>
      </w:r>
      <w:r>
        <w:rPr>
          <w:rFonts w:ascii="Times New Roman" w:hAnsi="Times New Roman"/>
          <w:b/>
          <w:i/>
          <w:noProof/>
          <w:sz w:val="24"/>
        </w:rPr>
        <w:t xml:space="preserve">Други фактори, представени от държавата членка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На 18 май 2020 г. ирландските органи изпратиха писмо със съответните фактори в съответствие с разпоредбите на член 2, параграф 3 от Регламент (ЕО) № 1467/97. Анализът, представен в предходните раздели, вече обхваща в голяма степен основните фактори, изложени от органите. Допълнителни фактори, които не са споменати по-горе, са свързани с усилията на Ирландия да укрепи публичните си финанси, като трупаше номинални бюджетни излишъци и създаде „Фонд за черни дни“. </w:t>
      </w:r>
    </w:p>
    <w:p>
      <w:pPr>
        <w:pStyle w:val="ManualHeading1"/>
        <w:rPr>
          <w:noProof/>
        </w:rPr>
      </w:pPr>
      <w:r>
        <w:rPr>
          <w:noProof/>
        </w:rPr>
        <w:t>4.</w:t>
      </w:r>
      <w:r>
        <w:rPr>
          <w:noProof/>
        </w:rPr>
        <w:tab/>
        <w:t>Заключения</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Съгласно плановете в програмата за стабилност се предвижда номиналният дефицит по консолидирания държавен бюджет на Ирландия през 2020 г. да се увеличи до 7,4 % от БВП, което е над и не е близо до референтната стойност от 3 % от БВП по Договора. Планираното надвишаване се счита за изключение и понастоящем се разглежда като временно.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 съответствие с Договора и Пакта за стабилност и растеж в настоящия доклад бяха разгледани и съответните фактори.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Както е посочено в член 2, параграф 4 от Регламент (ЕО) № 1467/97, що се отнася до спазването на критерия за дефицита,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неговото превишение над референтната стойност да е временно — тези съответни фактори не могат да бъдат взети предвид при етапите, водещи до вземане на решение за наличието на прекомерен дефицит за Ирландия.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Като цяло анализът сочи, че критерият за дефицита, определен в Договора и в Регламент (ЕО) № 1467/1997, не е изпълнен.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0" w:firstLine="0"/>
      </w:pPr>
      <w:r>
        <w:rPr>
          <w:rStyle w:val="FootnoteReference"/>
        </w:rPr>
        <w:footnoteRef/>
      </w:r>
      <w:r>
        <w:rPr>
          <w:lang w:val="en-GB"/>
        </w:rPr>
        <w:t xml:space="preserve"> </w:t>
      </w:r>
      <w:r>
        <w:t>Базовият сценарий се основава на прогнозата на Комисията от пролетта на 2020 г. След 2021 г. се предполага постепенно коригиране на фискалната политика в съответствие с рамките на ЕС за икономическа и фискална координация и наблюдение. Растежът на реалния БВП се прогнозира съгласно т.нар. EPC/OGWG T+10 методология. По-специално (реалният) действителният ръст на БВП се дължи на неговия потенциален растеж и е засегнат от всяка отчетена допълнителна бюджетна корекция (чрез фискалния мултипликатор). Допуска се, че инфлацията постепенно ще се доближи до 2 %. Допусканията за лихвените проценти се определят в съответствие с очакванията на финансовите пазари. При неблагоприятния сценарий се допускат по-висок лихвен процент (с 500 базисни пункта) и по-нисък растеж на БВП (с -0.5 процентни пункта) по отношение на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48D7DAD-68AE-454A-80A1-CA7E381F1C03"/>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8?\u1088?\u1083?\u1072?\u1085?\u1076?\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836606667">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26956648">
      <w:bodyDiv w:val="1"/>
      <w:marLeft w:val="0"/>
      <w:marRight w:val="0"/>
      <w:marTop w:val="0"/>
      <w:marBottom w:val="0"/>
      <w:divBdr>
        <w:top w:val="none" w:sz="0" w:space="0" w:color="auto"/>
        <w:left w:val="none" w:sz="0" w:space="0" w:color="auto"/>
        <w:bottom w:val="none" w:sz="0" w:space="0" w:color="auto"/>
        <w:right w:val="none" w:sz="0" w:space="0" w:color="auto"/>
      </w:divBdr>
    </w:div>
    <w:div w:id="20796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BF05-AAA7-4386-BE7A-104E090B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1911</Words>
  <Characters>10343</Characters>
  <Application>Microsoft Office Word</Application>
  <DocSecurity>0</DocSecurity>
  <Lines>215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2019-05-13T14:09:00Z</cp:lastPrinted>
  <dcterms:created xsi:type="dcterms:W3CDTF">2020-05-30T16:49:00Z</dcterms:created>
  <dcterms:modified xsi:type="dcterms:W3CDTF">2020-06-03T15:05:00Z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