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DE593D-C96E-4D31-940F-53CCA6FA0DF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Испания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испанските органи на 31 март 2020 г. и потвърдени от Евростат, показват, че дефицитът по консолидирания държавен бюджет на Испания е достигнал 2,8 % от БВП през 2019 г., а брутният консолидиран държавен дълг е бил 95,5 % от БВП. Според програмата за стабилност за 2020 г. Испания планира дефицит от 10,3 % от БВП през 2020 г. и дълг в размер на 115,5 %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според данните за 2019 г. напредъкът по отношение на целевия показател за намаляване на дълга е недостатъчен и това също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от страна на Испания на критериите за дефицита и за дълга, заложени в Договора.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-3,0</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-6,7</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97,6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95,5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115,6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113,7</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Изменение на структурното салдо</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Необходима MLSA</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1,3</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bl>
    <w:p>
      <w:pPr>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Забележка: MLSA означава „минимална линейна структурна корекция“ </w:t>
      </w:r>
    </w:p>
    <w:p>
      <w:pPr>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очаква през 2020 г. дефицитът по консолидирания държавен бюджет на Испания да достигне 10,3 % от БВП, превишавайки референтната стойност по Договора от 3 % от БВП, без да е близо до нея.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през 2020 г. растежът на реалния БВП да се свие с 9,4 %.</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Планираното надвишаване на референтната стойност по Договора не е временно отклонение въз основа на прогнозата на Комисията от пролетта на 2020 г., в която се предвижда през 2021 г. дефицитът да остане над 3 % от БВП.</w:t>
      </w:r>
    </w:p>
    <w:p>
      <w:pPr>
        <w:tabs>
          <w:tab w:val="left" w:pos="4820"/>
        </w:tabs>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без да е близо до нея. Планираното надвишаване се счита за изключение, но не и за временно отклонение, както е посочено в Договора и Пакта за стабилност и растеж. Поради това анализът сочи, че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определен в Договора и в Регламент (ЕО) № 1467/97, не е изпълнен.</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Съотношението на държавния дълг към БВП е намаляло от 97,6 % през 2018 г. на 95,5 % през 2019 г. Увеличаващият дълга ефект, произтичащ от номиналния първичен дефицит и от разходите за лихви, беше компенсиран повече от достатъчно от растежа на реалния БВП и увеличението на дефлатора на БВП, както и от намаляващото дълга въздействие на корекциите наличности-потоци. </w:t>
      </w:r>
    </w:p>
    <w:p>
      <w:pPr>
        <w:pStyle w:val="ListDash"/>
        <w:numPr>
          <w:ilvl w:val="0"/>
          <w:numId w:val="0"/>
        </w:numPr>
        <w:rPr>
          <w:noProof/>
        </w:rPr>
      </w:pPr>
      <w:r>
        <w:rPr>
          <w:noProof/>
        </w:rPr>
        <w:t xml:space="preserve">След прекратяването на процедурата при прекомерен дефицит през юни 2019 г., за Испания започна да тече тригодишен преходен период, през който страната следва да осигури достатъчен напредък по отношение на спазването на целевия показател за намаляване на дълга. Този преходен период започна през 2019 г. и ще приключи през 2021 г. С цел да се гарантира непрекъснат и ефективен напредък по отношение на спазването на показателя по време на преходния период, Испания следва да спазва едновременно следните две условия: </w:t>
      </w:r>
    </w:p>
    <w:p>
      <w:pPr>
        <w:pStyle w:val="ListDash"/>
        <w:numPr>
          <w:ilvl w:val="1"/>
          <w:numId w:val="39"/>
        </w:numPr>
        <w:rPr>
          <w:noProof/>
        </w:rPr>
      </w:pPr>
      <w:r>
        <w:rPr>
          <w:noProof/>
        </w:rPr>
        <w:t xml:space="preserve">Първо, годишната структурна корекция следва да не се отклонява от минималната линейна структурна корекция (MLSA) с повече от ¼ % от БВП, което ще гарантира, че целевият показател за намаляване на дълга ще бъде изпълнен до края на преходния период; </w:t>
      </w:r>
    </w:p>
    <w:p>
      <w:pPr>
        <w:pStyle w:val="ListDash"/>
        <w:numPr>
          <w:ilvl w:val="1"/>
          <w:numId w:val="39"/>
        </w:numPr>
        <w:rPr>
          <w:rFonts w:cs="Calibri"/>
          <w:bCs/>
          <w:noProof/>
        </w:rPr>
      </w:pPr>
      <w:r>
        <w:rPr>
          <w:noProof/>
        </w:rPr>
        <w:t>Второ, във всеки един момент през преходния период оставащата годишна структурна корекция не трябва да надвишава ¾ % от БВП (освен ако първото условие предполага годишна корекция от над ¾ % от БВП);</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Представените данни показват, че Испания не е постигнала достатъчен напредък по отношение на спазването на целевия показател за намаляване на дълга през 2019 г. (вж. таблица 1), тъй като разликата с изискваната MLSA възлиза на 1,1 % от БВП.</w:t>
      </w:r>
    </w:p>
    <w:p>
      <w:pPr>
        <w:pStyle w:val="ListDash"/>
        <w:numPr>
          <w:ilvl w:val="0"/>
          <w:numId w:val="0"/>
        </w:numPr>
        <w:rPr>
          <w:noProof/>
        </w:rPr>
      </w:pPr>
      <w:r>
        <w:rPr>
          <w:noProof/>
        </w:rPr>
        <w:t xml:space="preserve">Следователно анализът сочи, че </w:t>
      </w:r>
      <w:r>
        <w:rPr>
          <w:i/>
          <w:noProof/>
        </w:rPr>
        <w:t>prima facie</w:t>
      </w:r>
      <w:r>
        <w:rPr>
          <w:noProof/>
        </w:rPr>
        <w:t xml:space="preserve"> критерият за дълга не е изпълнен въз основа на данните за изпълнението за 2019 г.</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Действащи фактори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 отношение на явното нарушение на критерия за дълга анализът на съответните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при оценяването на спазването на критерия за дълга се вземат предвид действащите фактори, независимо от размера на нарушението. В това отношение, когато се оценява спазването на критерия за дълга, трябва да се разгледат най-малко следните три основни аспекта с оглед на тяхното въздействие върху динамиката на дълга и устойчивостта на обслужването му: i) придържането към СБЦ или към плана за корекции за постигането ѝ, ii) изпълнението на структурни реформи и iii) преобладаващите икономически условия.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Както е посочено в член 2, параграф 4 от Регламент (ЕО) № 1467/97, по отношение на спазването на критерия за дефицита през 2020 г., тъй като съотношението на държавния дълг към БВП надвишава референтната стойност от 60 % и не е изпълнено двойното условие — т.е. дефицитът да остане близо до референтната стойност и нейното надвишаване да бъде временно отклонение — действащите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Испания.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което се отразява много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Състояние на икономиката в средносрочен план, включително структурни реформи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Макар че преди избухването на пандемията от COVID</w:t>
      </w:r>
      <w:r>
        <w:rPr>
          <w:rFonts w:ascii="Times New Roman" w:hAnsi="Times New Roman"/>
          <w:bCs/>
          <w:noProof/>
          <w:sz w:val="24"/>
        </w:rPr>
        <w:noBreakHyphen/>
        <w:t>19 в испанската икономика се наблюдаваше умерен растеж, през 2019 г. в страната продължаваше да е налице растеж от 2,0 %, надхвърлящ потенциала и средната стойност за еврозоната. Според прогнозата на Комисията от зимата на 2020 г. растежът ще остане стабилен на равнище от 1,6 % през 2020 г. Следователно не може да се твърди, че макроикономическите условия са смекчаващ фактор, с който може да се обясни липсата на достатъчен напредък на Испания за постигането на целевия показател за намаляване на дълга през 2019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Въпреки това избухването на пандемията в началото на март доведе до приемането на строги противоепидемични мерки, които се очаква да доведат до рязко свиване на производството през първата половина на годината. Производството следва да се повиши съществено след премахването на ограниченията, но се очаква възстановяването да бъде неравномерно в различните сектори и производствените загуби да не се възстановят напълно в рамките на прогнозния период. Според прогнозата на Европейската комисия от пролетта на 2020 г. БВП ще се свие средно с 9,4 % през 2020 г. Съществува изключително висока степен на несигурност по отношение на развитието на пандемията и темпа на отпускане на ограниченията на икономическата дейност, както и краткосрочната реакция на частните субекти в това отношение. Прогнозираният рязък спад на БВП е смекчаващ фактор при оценяването на спазването на критерия за дефицита от страна на Испания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 своя доклад за Испания за 2020 г.</w:t>
      </w:r>
      <w:r>
        <w:rPr>
          <w:rStyle w:val="FootnoteReference"/>
          <w:rFonts w:eastAsiaTheme="minorHAnsi"/>
          <w:bCs/>
          <w:noProof/>
        </w:rPr>
        <w:footnoteReference w:id="2"/>
      </w:r>
      <w:r>
        <w:rPr>
          <w:bCs/>
          <w:noProof/>
        </w:rPr>
        <w:t xml:space="preserve"> </w:t>
      </w:r>
      <w:r>
        <w:rPr>
          <w:rFonts w:ascii="Times New Roman" w:hAnsi="Times New Roman"/>
          <w:bCs/>
          <w:noProof/>
          <w:sz w:val="24"/>
        </w:rPr>
        <w:t xml:space="preserve">Комисията прецени, че страната е постигнала ограничен напредък по изпълнението на специфичните за нея препоръки за 2019 г. По-конкретно Испания отбеляза известен напредък във връзка с модернизирането и увеличаването на капацитета на службите по заетостта и службите за социални грижи и ограничен напредък по отношение на подобряването на уредбите за фискалната политика и за възлагането на обществени поръчки, на намаляването на използването на временни договори, на подобряването на семейното подпомагане и на преодоляването на пропуските във връзка с обезщетенията за безработица и социалните обезщетения. Освен това беше постигнат само ограничен напредък що се отнася до намаляването на преждевременното напускане на училище и подобряването на резултатите от образованието, до засилването на сътрудничеството между сферата на образованието и предприятията, до насърчаването на иновациите и подобряването на железопътната инфраструктура за превоз на товари и на енергийните междусистемни връзки, както и до прилагането на закона за единството на пазара.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Състояние на бюджета в средносрочен план, включително държавни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Номиналният дефицит се увеличи от 2,5 % от БВП през 2018 г. на 2,8 % през 2019 г. поради по-бързото нарастване на разходите, отколкото на номиналния БВП, а данъчните приходи нараснаха в съответствие с него. По-специално за бързото увеличаване на разходите допринесоха компенсациите за служителите и социалните трансфери, включително пенсиите. Според оценката държавните инвестиции са намалели от 2,1 % от БВП през 2018 г. на 2,0 % през 2019 г., като тяхното равнище продължава да е по-ниско от дефицита по консолидирания държавен бюджет през 2019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На 13 юли 2018 г. беше отправена препоръка Испания да гарантира, че номиналният темп на растеж на първичните държавни разходи, след приспадане на дискреционните мерки по отношение на приходите и на еднократните мерки, не надвишава 0,6 % през 2019 г. („целевия показател за разходите“), което съответства на структурна корекция от 0,65 % от БВП</w:t>
      </w:r>
      <w:r>
        <w:rPr>
          <w:rStyle w:val="FootnoteReference"/>
          <w:rFonts w:eastAsiaTheme="minorHAnsi"/>
          <w:noProof/>
        </w:rPr>
        <w:footnoteReference w:id="3"/>
      </w:r>
      <w:r>
        <w:rPr>
          <w:noProof/>
        </w:rPr>
        <w:t>.</w:t>
      </w:r>
      <w:r>
        <w:rPr>
          <w:rFonts w:ascii="Times New Roman" w:hAnsi="Times New Roman"/>
          <w:noProof/>
          <w:sz w:val="24"/>
          <w:szCs w:val="24"/>
        </w:rPr>
        <w:t xml:space="preserve"> </w:t>
      </w:r>
      <w:r>
        <w:rPr>
          <w:rFonts w:ascii="Times New Roman" w:hAnsi="Times New Roman"/>
          <w:noProof/>
          <w:sz w:val="24"/>
        </w:rPr>
        <w:t>Въз основа на данните за изпълнението и на прогнозата на Комисията растежът на разходите надхвърля целевия показател с отклонение от препоръчания план за корекции за постигане на средносрочната бюджетна цел в размер на 1,6 % от БВП през 2019 г., което представлява значително отклонение. През 2019 г. структурното салдо се влоши с 0,5 % от БВП, което също представлява значително отклонение от 1,2 % от БВП през 2019 г. Цялостната оценка показва значително отклонение от препоръчания план за корекции за постигане на СБЦ през 2019 г.</w:t>
      </w:r>
      <w:r>
        <w:rPr>
          <w:noProof/>
        </w:rPr>
        <w:t xml:space="preserve"> </w:t>
      </w:r>
      <w:r>
        <w:rPr>
          <w:rFonts w:ascii="Times New Roman" w:hAnsi="Times New Roman"/>
          <w:noProof/>
          <w:sz w:val="24"/>
        </w:rPr>
        <w:t xml:space="preserve">Липсата на съответствие с изискванията на предпазните мерки е утежняващ фактор за оценката, според която </w:t>
      </w:r>
      <w:r>
        <w:rPr>
          <w:rFonts w:ascii="Times New Roman" w:hAnsi="Times New Roman"/>
          <w:i/>
          <w:iCs/>
          <w:noProof/>
          <w:sz w:val="24"/>
        </w:rPr>
        <w:t>prima facie</w:t>
      </w:r>
      <w:r>
        <w:rPr>
          <w:rFonts w:ascii="Times New Roman" w:hAnsi="Times New Roman"/>
          <w:noProof/>
          <w:sz w:val="24"/>
        </w:rPr>
        <w:t xml:space="preserve"> Испания не е спазила критерия за дълга през 2019 г.</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В програмата за стабилност се предоставя информация относно съществени мерки за ограничаване на пандемията и за подпомагане на икономиката и се отчитат общо около 3 % от БВП под формата на мерки за подкрепа в отговор на кризата. Според оценката на Комисията отражението на тези мерки върху бюджета е по-слабо (0,8 % от БВП), тъй като тя счита, че голям дял от разходите за краткосрочни режими на работа са част от нормалното функциониране на автоматичните стабилизатори, а програмата, изглежда, отчита общото въздействие на тези режими в рамките на бюджетните мерки, предприети в отговор на кризата. По същество обаче това не обяснява основните различия в цялостната оценка на въздействието на кризата върху държавните разходи. Средносрочната фискална перспектива продължава да е изложена на голяма несигурност. </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Равнище на държавния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Между 2016 г. и 2018 г. държавният дълг намаляваше постоянно, като от 99,2 % той достигна 97,6 % от БВП поради относително силния растеж на номиналния БВП, като компенсира повече от достатъчно както натрупаните дефицити по консолидирания държавен бюджет, така и увеличаващото дълга въздействие на корекциите наличности-потоци, отчетени през същия период. През 2019 г. съотношението на дълга към БВП намаля допълнително до 95,5 % от БВП в резултат основно на корекцията наличности-потоци, но и на факта, че намаляващото дълга въздействие на растежа на номиналния БВП продължаваше да е по-голямо от увеличението на дълга, произтичащо от дефицита по консолидирания държавен бюджет.</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се очаква консолидираният държавен дълг да се покачи от 95,5 % от БВП през 2019 г. на 115,6 % от БВП през 2020 г.</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 xml:space="preserve">Като цяло оценката на устойчивостта на обслужването на дълга сочи, че независимо от рисковете, равнището на дълга продължава да бъде устойчиво в средносрочен план, като се отчитат важни смекчаващи фактори (включително профила на дълга). </w:t>
      </w:r>
      <w:r>
        <w:rPr>
          <w:rFonts w:ascii="Times New Roman" w:hAnsi="Times New Roman"/>
          <w:noProof/>
          <w:sz w:val="24"/>
        </w:rPr>
        <w:t>По-специално, въпреки че равнището на държавния дълг се влоши в резултат на кризата, свързана с COVID-19, в базовия сценарий се очаква в средносрочен план съотношението на дълга към БВП да бъде устойчиво (леко намаляващо)</w:t>
      </w:r>
      <w:r>
        <w:rPr>
          <w:rStyle w:val="FootnoteReference"/>
          <w:rFonts w:eastAsiaTheme="minorHAnsi"/>
          <w:iCs/>
          <w:noProof/>
        </w:rPr>
        <w:footnoteReference w:id="4"/>
      </w:r>
      <w:r>
        <w:rPr>
          <w:noProof/>
        </w:rPr>
        <w:t>.</w:t>
      </w:r>
      <w:r>
        <w:rPr>
          <w:rFonts w:ascii="Times New Roman" w:hAnsi="Times New Roman"/>
          <w:iCs/>
          <w:noProof/>
          <w:sz w:val="24"/>
        </w:rPr>
        <w:t xml:space="preserve"> </w:t>
      </w:r>
    </w:p>
    <w:p>
      <w:pPr>
        <w:spacing w:before="120" w:after="120" w:line="240" w:lineRule="auto"/>
        <w:jc w:val="both"/>
        <w:rPr>
          <w:rFonts w:ascii="Times New Roman" w:eastAsia="Times New Roman" w:hAnsi="Times New Roman" w:cs="Times New Roman"/>
          <w:iCs/>
          <w:noProof/>
          <w:sz w:val="24"/>
          <w:lang w:eastAsia="en-GB"/>
        </w:rPr>
      </w:pPr>
    </w:p>
    <w:p>
      <w:pPr>
        <w:keepNext/>
        <w:spacing w:before="120" w:after="120" w:line="240" w:lineRule="auto"/>
        <w:jc w:val="center"/>
        <w:rPr>
          <w:rFonts w:ascii="Times New Roman" w:eastAsia="Times New Roman" w:hAnsi="Times New Roman" w:cs="Times New Roman"/>
          <w:b/>
          <w:iCs/>
          <w:noProof/>
          <w:sz w:val="24"/>
        </w:rPr>
      </w:pPr>
      <w:r>
        <w:rPr>
          <w:rFonts w:ascii="Times New Roman" w:hAnsi="Times New Roman"/>
          <w:b/>
          <w:iCs/>
          <w:noProof/>
          <w:sz w:val="24"/>
        </w:rPr>
        <w:t>Графика 1: Консолидиран държавен дълг (% от БВП)</w:t>
      </w:r>
    </w:p>
    <w:p>
      <w:pPr>
        <w:spacing w:before="120" w:after="120" w:line="240" w:lineRule="auto"/>
        <w:jc w:val="center"/>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rPr>
        <w:drawing>
          <wp:inline distT="0" distB="0" distL="0" distR="0">
            <wp:extent cx="4030142" cy="210549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9111" cy="2115403"/>
                    </a:xfrm>
                    <a:prstGeom prst="rect">
                      <a:avLst/>
                    </a:prstGeom>
                    <a:noFill/>
                  </pic:spPr>
                </pic:pic>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На 11 май 2020 г. испанските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Допълнителни фактори, които не са посочени по-горе, са срещнатите през 2019 г. затруднения да се сформира правителство с пълни правомощия, в резултат на което бяха проведени два пъти общи избори и не беше възможно законът за бюджета за 2019 г. да бъде приет от парламента. Последното възпрепятства приемането на някои планирани мерки за увеличаване на приходите. Освен това в писмото са посочени някои непредвидени събития, които са дали отражение през 2019 г. и за които органите твърдят, че са от еднократно естество; необходимостта от баланс между нуждата да се намали държавният дълг и тази да се намалят безработицата и други дисбаланси в социалната сфера; също така и напредъкът, който Испания продължи да постига по отношение на коригирането на макроикономическите дисбаланси. В писмото се упоменават и въпроси, свързани с методиката за измерване на фискалните цели и фискалното усилие. В него са описани също последните промени във връзка с дълга и се посочва, че отклонението от целевия показател за намаляване на дълга ще бъде малко в сравнение с отклоненията, регистрирани преди това от други държави членки, като по този начин се поставя въпросът за справедливостта и равното третиране. И накрая, в писмото също така се изтъква аргументът, че изключително ниската инфлация е забавила темпа на намаляване на дълга.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стабилност се планира дефицитът по консолидирания държавен бюджет на Испания през 2020 г. да се увеличи до 10,3 % от БВП, тоест да бъде по-висок от референтната стойност по Договора от 3 % от БВП, без да е близо до нея. Планираното надвишаване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Брутният консолидиран държавен дълг в края на 2019 г. беше в размер на 95,5 % от БВП — над референтната стойност по Договора от 60 % от БВП.</w:t>
      </w:r>
      <w:r>
        <w:rPr>
          <w:rFonts w:ascii="Times New Roman" w:hAnsi="Times New Roman"/>
          <w:bCs/>
          <w:noProof/>
          <w:sz w:val="24"/>
          <w:szCs w:val="24"/>
        </w:rPr>
        <w:t xml:space="preserve"> </w:t>
      </w:r>
      <w:r>
        <w:rPr>
          <w:rFonts w:ascii="Times New Roman" w:hAnsi="Times New Roman"/>
          <w:bCs/>
          <w:noProof/>
          <w:sz w:val="24"/>
        </w:rPr>
        <w:t>През 2019 г. Испания не отбеляза достатъчен напредък в постигането на целевия показател за намаляване на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 съответствие с Договора и с Пакта за стабилност и растеж в настоящия доклад са разгледани също действащите фактори. Както е посочено в член 2, параграф 4 от Регламент (ЕО) № 1467/97, по отношение на спазването на критерия за дефицита през 2020 г., тъй като съотношението на държавния дълг към БВП надвишава референтната стойност от 60 % и не е изпълнено двойното условие — т.е. дефицитът да остане близо до референтната стойност и нейното надвишаване да бъде временно отклонение — тези действащи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Испания.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Що се отнася до спазването на критерия за дълга през 2019 г., действащите фактори, и по-специално: i) наблюдаваните макроикономически условия; ii) изпълнението на стимулиращи растежа структурни реформи през последните години и iii) значителното отклонение от препоръчания план за корекции за постигане на средносрочната бюджетна цел водят до заключението, че критерият за дълга, определен в Договора и в Регламент (ЕО) № 1467/1997, не е спазен.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Като цяло анализът сочи, че критерият за дефицита и критерият за дълга, определени в Договора и в Регламент (ЕО) № 1467/1997, не са изпълнени.</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Вж. Работен документ на службите на Комисията SWD(2020) 508 final, 26.2.2020 г., </w:t>
      </w:r>
      <w:r>
        <w:rPr>
          <w:i/>
          <w:iCs/>
        </w:rPr>
        <w:t>Доклад за Испания за 2020 г.,</w:t>
      </w:r>
      <w:r>
        <w:rPr>
          <w:i/>
        </w:rPr>
        <w:t xml:space="preserve"> включващ задълбочен преглед относно предотвратяването и коригирането на макроикономическите дисбаланси</w:t>
      </w:r>
      <w:r>
        <w:t xml:space="preserve">.  </w:t>
      </w:r>
    </w:p>
  </w:footnote>
  <w:footnote w:id="3">
    <w:p>
      <w:pPr>
        <w:pStyle w:val="FootnoteText"/>
        <w:ind w:left="0" w:firstLine="0"/>
      </w:pPr>
      <w:r>
        <w:rPr>
          <w:rStyle w:val="FootnoteReference"/>
        </w:rPr>
        <w:footnoteRef/>
      </w:r>
      <w:r>
        <w:t xml:space="preserve"> Препоръка на Съвета от 13 юли 2018 г. относно националната програма за реформи на Испания за 2018 г. и съдържаща становище на Съвета относно програмата за стабилност на Испания за 2018 г. (ОВ С 320, 10.9.2018 г., стр. 33).</w:t>
      </w:r>
    </w:p>
  </w:footnote>
  <w:footnote w:id="4">
    <w:p>
      <w:pPr>
        <w:pStyle w:val="FootnoteText"/>
        <w:ind w:left="0" w:firstLine="0"/>
      </w:pPr>
      <w:r>
        <w:rPr>
          <w:rStyle w:val="FootnoteReference"/>
        </w:rPr>
        <w:footnoteRef/>
      </w:r>
      <w:r>
        <w:t xml:space="preserve"> Базовият сценарий се основава на прогнозата на Комисията от пролетта на 2020 г. След 2021 г. се допуска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с помощта на т.нар.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основава на потенциалния растеж, като се влияе от обмисляните допълнителни фискални корекции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допускането е за по-високи лихвени проценти (с 500 базисни пункта) и по-нисък растеж на БВП (с -0,5 процентни пункта) в сравнение с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8D70646E"/>
    <w:lvl w:ilvl="0" w:tplc="0809000F">
      <w:start w:val="1"/>
      <w:numFmt w:val="decimal"/>
      <w:lvlText w:val="%1."/>
      <w:lvlJc w:val="left"/>
      <w:pPr>
        <w:ind w:left="720" w:hanging="360"/>
      </w:pPr>
    </w:lvl>
    <w:lvl w:ilvl="1" w:tplc="801E6306">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DE593D-C96E-4D31-940F-53CCA6FA0DFD"/>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8?\u1089?\u1087?\u1072?\u1085?\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475142664">
      <w:bodyDiv w:val="1"/>
      <w:marLeft w:val="0"/>
      <w:marRight w:val="0"/>
      <w:marTop w:val="0"/>
      <w:marBottom w:val="0"/>
      <w:divBdr>
        <w:top w:val="none" w:sz="0" w:space="0" w:color="auto"/>
        <w:left w:val="none" w:sz="0" w:space="0" w:color="auto"/>
        <w:bottom w:val="none" w:sz="0" w:space="0" w:color="auto"/>
        <w:right w:val="none" w:sz="0" w:space="0" w:color="auto"/>
      </w:divBdr>
    </w:div>
    <w:div w:id="48092776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96">
          <w:marLeft w:val="1080"/>
          <w:marRight w:val="0"/>
          <w:marTop w:val="0"/>
          <w:marBottom w:val="0"/>
          <w:divBdr>
            <w:top w:val="none" w:sz="0" w:space="0" w:color="auto"/>
            <w:left w:val="none" w:sz="0" w:space="0" w:color="auto"/>
            <w:bottom w:val="none" w:sz="0" w:space="0" w:color="auto"/>
            <w:right w:val="none" w:sz="0" w:space="0" w:color="auto"/>
          </w:divBdr>
        </w:div>
        <w:div w:id="345904480">
          <w:marLeft w:val="1080"/>
          <w:marRight w:val="0"/>
          <w:marTop w:val="0"/>
          <w:marBottom w:val="240"/>
          <w:divBdr>
            <w:top w:val="none" w:sz="0" w:space="0" w:color="auto"/>
            <w:left w:val="none" w:sz="0" w:space="0" w:color="auto"/>
            <w:bottom w:val="none" w:sz="0" w:space="0" w:color="auto"/>
            <w:right w:val="none" w:sz="0" w:space="0" w:color="auto"/>
          </w:divBdr>
        </w:div>
      </w:divsChild>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E037-E790-42CA-9D7C-B91C41C1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3097</Words>
  <Characters>16818</Characters>
  <Application>Microsoft Office Word</Application>
  <DocSecurity>0</DocSecurity>
  <Lines>343</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2019-05-13T14:09:00Z</cp:lastPrinted>
  <dcterms:created xsi:type="dcterms:W3CDTF">2020-05-18T14:37:00Z</dcterms:created>
  <dcterms:modified xsi:type="dcterms:W3CDTF">2020-06-03T13:01:00Z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DocHome">
    <vt:i4>-1583803969</vt:i4>
  </property>
</Properties>
</file>