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BDB9590-C810-408D-8CFF-670A310923E7" style="width:451pt;height:334.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Литва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Въведение</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литовските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излишъкът по консолидирания държавен бюджет в Литва е достигнал 0,3 % от БВП през 2019 г., а брутният консолидиран държавен дълг е възлизал на 36,3 % от БВП</w:t>
      </w:r>
      <w:r>
        <w:rPr>
          <w:noProof/>
          <w:sz w:val="24"/>
          <w:szCs w:val="24"/>
        </w:rPr>
        <w:t>.</w:t>
      </w:r>
      <w:r>
        <w:rPr>
          <w:rFonts w:ascii="Times New Roman" w:hAnsi="Times New Roman"/>
          <w:noProof/>
          <w:sz w:val="24"/>
          <w:szCs w:val="24"/>
        </w:rPr>
        <w:t xml:space="preserve"> Според програмата за стабилност за 2020 г. Литва планира дефицит от 11,4 % от БВП през 2020 г. и дълг в размер на 50,6 %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iCs/>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подготви настоящия доклад, в който се анализира спазването на критерия за дефицита, заложен в Договора, от страна на Литва. Може да се счита, че критерият за дълга е изпълнен, тъй като съотношението на дълга към БВП през 2019 г. е под референтната стойност по Договора от 60 % от БВП. В доклада се отчитат всички действащи фактори и се обръща необходимото внимание на голямото икономическо сътресение, свързано с пандемията от COVID-19. </w:t>
      </w:r>
    </w:p>
    <w:p>
      <w:pPr>
        <w:keepNext/>
        <w:spacing w:after="0" w:line="240" w:lineRule="auto"/>
        <w:jc w:val="center"/>
        <w:rPr>
          <w:rFonts w:ascii="Times New Roman" w:eastAsia="Times New Roman" w:hAnsi="Times New Roman" w:cs="Times New Roman"/>
          <w:b/>
          <w:noProof/>
          <w:sz w:val="24"/>
        </w:rPr>
      </w:pPr>
      <w:r>
        <w:rPr>
          <w:rFonts w:ascii="Times New Roman" w:hAnsi="Times New Roman"/>
          <w:b/>
          <w:noProof/>
          <w:sz w:val="24"/>
        </w:rPr>
        <w:lastRenderedPageBreak/>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Дефицит по консолидирания държавен бюджет и консолидиран държавен дълг (% от БВП)</w:t>
      </w:r>
    </w:p>
    <w:tbl>
      <w:tblPr>
        <w:tblW w:w="8813" w:type="dxa"/>
        <w:tblInd w:w="108" w:type="dxa"/>
        <w:tblLayout w:type="fixed"/>
        <w:tblLook w:val="04A0" w:firstRow="1" w:lastRow="0" w:firstColumn="1" w:lastColumn="0" w:noHBand="0" w:noVBand="1"/>
      </w:tblPr>
      <w:tblGrid>
        <w:gridCol w:w="1214"/>
        <w:gridCol w:w="1903"/>
        <w:gridCol w:w="994"/>
        <w:gridCol w:w="992"/>
        <w:gridCol w:w="958"/>
        <w:gridCol w:w="922"/>
        <w:gridCol w:w="915"/>
        <w:gridCol w:w="915"/>
      </w:tblGrid>
      <w:tr>
        <w:trPr>
          <w:trHeight w:val="300"/>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2016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2017 г.</w:t>
            </w:r>
          </w:p>
        </w:tc>
        <w:tc>
          <w:tcPr>
            <w:tcW w:w="95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2018 г.</w:t>
            </w:r>
          </w:p>
        </w:tc>
        <w:tc>
          <w:tcPr>
            <w:tcW w:w="9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2019 г.</w:t>
            </w:r>
          </w:p>
        </w:tc>
        <w:tc>
          <w:tcPr>
            <w:tcW w:w="91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2020 г.</w:t>
            </w:r>
          </w:p>
        </w:tc>
        <w:tc>
          <w:tcPr>
            <w:tcW w:w="91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2021 г.</w:t>
            </w:r>
          </w:p>
        </w:tc>
      </w:tr>
      <w:tr>
        <w:trPr>
          <w:trHeight w:val="765"/>
        </w:trPr>
        <w:tc>
          <w:tcPr>
            <w:tcW w:w="121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Критерий за дефицита</w:t>
            </w:r>
          </w:p>
        </w:tc>
        <w:tc>
          <w:tcPr>
            <w:tcW w:w="19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Салдо по консолидирания държавен бюджет</w:t>
            </w:r>
          </w:p>
        </w:tc>
        <w:tc>
          <w:tcPr>
            <w:tcW w:w="9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0,2 </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0,5 </w:t>
            </w:r>
          </w:p>
        </w:tc>
        <w:tc>
          <w:tcPr>
            <w:tcW w:w="95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0,6 </w:t>
            </w:r>
          </w:p>
        </w:tc>
        <w:tc>
          <w:tcPr>
            <w:tcW w:w="92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0,3 </w:t>
            </w:r>
          </w:p>
        </w:tc>
        <w:tc>
          <w:tcPr>
            <w:tcW w:w="91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-6,9 </w:t>
            </w:r>
          </w:p>
        </w:tc>
        <w:tc>
          <w:tcPr>
            <w:tcW w:w="91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-2,7 </w:t>
            </w:r>
          </w:p>
        </w:tc>
      </w:tr>
      <w:tr>
        <w:trPr>
          <w:trHeight w:val="1020"/>
        </w:trPr>
        <w:tc>
          <w:tcPr>
            <w:tcW w:w="121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Критерий за дълга</w:t>
            </w:r>
          </w:p>
        </w:tc>
        <w:tc>
          <w:tcPr>
            <w:tcW w:w="19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Брутен консолидиран държавен дълг</w:t>
            </w:r>
          </w:p>
        </w:tc>
        <w:tc>
          <w:tcPr>
            <w:tcW w:w="9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39,7 </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39,1 </w:t>
            </w:r>
          </w:p>
        </w:tc>
        <w:tc>
          <w:tcPr>
            <w:tcW w:w="95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33,8 </w:t>
            </w:r>
          </w:p>
        </w:tc>
        <w:tc>
          <w:tcPr>
            <w:tcW w:w="92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36,3 </w:t>
            </w:r>
          </w:p>
        </w:tc>
        <w:tc>
          <w:tcPr>
            <w:tcW w:w="91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48,5 </w:t>
            </w:r>
          </w:p>
        </w:tc>
        <w:tc>
          <w:tcPr>
            <w:tcW w:w="91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48,4 </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rPr>
      </w:pPr>
      <w:r>
        <w:rPr>
          <w:smallCaps w:val="0"/>
          <w:noProof/>
        </w:rPr>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се очаква през 2020 г. дефицитът по консолидирания държавен бюджет на Литва да достигне 11,4 %, което превишава и не е близо до референтната стойност по Договора от 3 % от БВП.</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надвишаване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се предвижда през 2020 г. реалният БВП да се свие със 7,9 %.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Според прогнозата на Комисията от пролетта на 2020 г. планираното надвишаване на референтната стойност по Договора от 3 % е временно отклонение, тъй като в нея се предвижда дефицитът по консолидирания държавен бюджет да спадне под 3 % от БВП през 2021 г.</w:t>
      </w:r>
      <w:r>
        <w:rPr>
          <w:noProof/>
        </w:rPr>
        <w:t xml:space="preserve"> </w:t>
      </w:r>
      <w:r>
        <w:rPr>
          <w:rFonts w:ascii="Times New Roman" w:hAnsi="Times New Roman"/>
          <w:noProof/>
          <w:sz w:val="24"/>
          <w:szCs w:val="24"/>
        </w:rPr>
        <w:t>Тези прогнози обаче се отличават с изключително висока степен на несигурност.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по-висок от референтната стойност по Договора от 3 % от БВП и не е близък до нея. Планираното надвишаване се счита за изключение съгласно Договора и на Пакта за стабилност и растеж, като същевременно се смята, че то представлява временно отклонение. Поради това анализът сочи, че </w:t>
      </w:r>
      <w:r>
        <w:rPr>
          <w:rFonts w:ascii="Times New Roman" w:hAnsi="Times New Roman"/>
          <w:i/>
          <w:iCs/>
          <w:noProof/>
          <w:sz w:val="24"/>
          <w:szCs w:val="24"/>
        </w:rPr>
        <w:t>prima facie</w:t>
      </w:r>
      <w:r>
        <w:rPr>
          <w:rFonts w:ascii="Times New Roman" w:hAnsi="Times New Roman"/>
          <w:noProof/>
          <w:sz w:val="24"/>
          <w:szCs w:val="24"/>
        </w:rPr>
        <w:t xml:space="preserve"> критерият за дефицита, определен в Договора и в Регламент (ЕО) № 1467/97, не 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Действащи фактори</w:t>
      </w:r>
    </w:p>
    <w:p>
      <w:pPr>
        <w:autoSpaceDE w:val="0"/>
        <w:autoSpaceDN w:val="0"/>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В настоящата ситуация важен допълнителен фактор, който трябва да се вземе под внимание, е икономическото въздействие на пандемията от COVID-19, което се отразява съществено върху състоянието на бюджета и води до твърде несигурни перспективи. Пандемията освен това доведе до активирането на общата клауза за дерогация.</w:t>
      </w:r>
      <w:r>
        <w:rPr>
          <w:rFonts w:ascii="Times New Roman" w:hAnsi="Times New Roman"/>
          <w:noProof/>
          <w:color w:val="FF0000"/>
          <w:sz w:val="24"/>
          <w:szCs w:val="24"/>
        </w:rPr>
        <w:t xml:space="preserv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Пандемията от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Бяха приети и значителни мерки за подкрепа на ликвидността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spacing w:before="120" w:after="120" w:line="240" w:lineRule="auto"/>
        <w:jc w:val="both"/>
        <w:rPr>
          <w:rFonts w:ascii="Times New Roman" w:hAnsi="Times New Roman" w:cs="Times New Roman"/>
          <w:noProof/>
          <w:sz w:val="24"/>
          <w:szCs w:val="24"/>
        </w:rPr>
      </w:pPr>
    </w:p>
    <w:p>
      <w:pPr>
        <w:tabs>
          <w:tab w:val="left" w:pos="720"/>
          <w:tab w:val="left" w:pos="1440"/>
          <w:tab w:val="left" w:pos="2160"/>
          <w:tab w:val="left" w:pos="2880"/>
          <w:tab w:val="left" w:pos="3600"/>
          <w:tab w:val="left" w:pos="5259"/>
        </w:tabs>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Състояние на икономиката в средносрочен план</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rPr>
        <w:t>През 2019 г. икономическият растеж достигна 3,9 % и беше широкомащабен.</w:t>
      </w:r>
      <w:r>
        <w:rPr>
          <w:rFonts w:ascii="Times New Roman" w:hAnsi="Times New Roman"/>
          <w:bCs/>
          <w:noProof/>
          <w:sz w:val="24"/>
          <w:szCs w:val="24"/>
        </w:rPr>
        <w:t xml:space="preserve"> В прогнозата си от пролетта на 2020 г. Комисията допуска силен шок за литовската икономика през 2020 г. поради пандемията от COVID 19. </w:t>
      </w:r>
      <w:r>
        <w:rPr>
          <w:rFonts w:ascii="Times New Roman" w:hAnsi="Times New Roman"/>
          <w:iCs/>
          <w:noProof/>
          <w:sz w:val="24"/>
          <w:szCs w:val="24"/>
        </w:rPr>
        <w:t>Това е смекчаващ фактор при оценяването на спазването от страна на Литва на критерия за дефицита през 2020 г.</w:t>
      </w:r>
      <w:r>
        <w:rPr>
          <w:rFonts w:ascii="Times New Roman" w:hAnsi="Times New Roman"/>
          <w:i/>
          <w:iCs/>
          <w:noProof/>
          <w:sz w:val="24"/>
          <w:szCs w:val="24"/>
        </w:rPr>
        <w:t xml:space="preserve"> </w:t>
      </w:r>
      <w:r>
        <w:rPr>
          <w:rFonts w:ascii="Times New Roman" w:hAnsi="Times New Roman"/>
          <w:bCs/>
          <w:noProof/>
          <w:sz w:val="24"/>
          <w:szCs w:val="24"/>
        </w:rPr>
        <w:t>Очаква се най-големият отрицателен принос за растежа да дойде от спада на вътрешното търсене и много по-малко от нетния износ. Въпреки прогнозираното силно нарастване през 2021 г., БВП ще остане под равнището от 2019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szCs w:val="24"/>
        </w:rPr>
        <w:t xml:space="preserve">Очаква се икономическият спад да се отрази отрицателно на заетостта. Равнището на безработицата се очаква да нарасне от 9 % през 2020 г. до под 8 % през 2021 г. </w:t>
      </w:r>
      <w:r>
        <w:rPr>
          <w:rFonts w:ascii="Times New Roman" w:hAnsi="Times New Roman"/>
          <w:bCs/>
          <w:noProof/>
          <w:sz w:val="24"/>
        </w:rPr>
        <w:t xml:space="preserve">Намаленото напрежение на пазара на труда и по-ниските цени на енергията ще доведат до намаляване на инфлацията до ниво под 2 % в краткосрочен план. </w:t>
      </w:r>
      <w:r>
        <w:rPr>
          <w:rFonts w:ascii="Times New Roman" w:hAnsi="Times New Roman"/>
          <w:noProof/>
          <w:sz w:val="24"/>
        </w:rPr>
        <w:t>Следва да се отбележи обаче, че прогнозата на Комисията се характеризира с изключителна степен на несигурност по отношение на продължителността на пандемията и икономическото ѝ въздействие.</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Въз основа на данните за изпълнението и изчисленията на Комисията структурният дефицит на Литва през 2019 г. е възлизал на 1,6 % от БВП и е бил близък до средносрочната бюджетна цел (СБЦ) от -1,0 % от БВП, като се вземе предвид допуснатото отклонение, свързано със структурните реформи от 0,5 % от БВП през 2019 г. (разлика от 0,1 % от БВП). Цялостната оценка показва съответствие на изискванията на Пакта за стабилност и растеж през 2019 г., тъй като се счита, че структурното салдо на Литва е близо до средносрочната цел, като се вземат предвид допуснатото отклонение, свързано със структурните реформи.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програмата за стабилност на Литва за 2020 г. предвижда дефицит от 11,4 % от БВП през 2020 г., който се очаква да спадне до 3,9 % от БВП през 2021 г. Очакваните равнища на дефицита са по-високи от предвидените в прогнозата на Комисията от 2020 г. Разликата се дължи на факта, че литовските органи са взели предвид по-големи държавни разходи за мерки за стимулиране на икономиката и смекчаване на последиците от пандемията на COVID-19. Като цяло мерките на правителството са насочени към осигуряване на достатъчно финансиране за сектора на здравеопазването, осигуряване на разполагаем доход, подкрепа за ликвидността на дружествата и стимулиране на икономиката.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Съгласно прогнозата на Комисията в салдото по консолидирания държавен бюджет на Литва през 2020 г. се очаква номинален дефицит от -6,9 % от БВП през 2020 г. Прогнозира се пандемията от COVID- 19 да доведе до значително намаляване на приходите на сектор „Държавно управление“, които се очаква да се възстановят в съответствие с очакваното силно нарастване на икономиката през 2021 г. В същото време по-голямо от планираното изразходване на средства за здравеопазване и мерките на правителството за подпомагане на разполагаемия доход на домакинствата и за подкрепа на предприятията да запазят ликвидността си се очаква да увеличат държавните разходи. За 2021 г. се очаква разходите да намалеят, тъй като повечето мерки, свързани с COVID-19, се очаква да бъдат премахнати през 2020 г. Освен това, тъй като финансирането за някои области е свързано с БВП и с цялостното икономическо положение, актуализираните прогнози за разходите са по-ниски от предвидените преди това. Поради това се очаква дефицитът по консолидирания държавен бюджет на Литва да спадне до 2,7 % през 2021 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На 11 май 2020 г. литовските органи изпратиха писмо с действащите фактори в съответствие с разпоредбите на член 2, параграф 3 от Регламент (ЕО) № 1467/97. Анализът, представен в предходните раздели, вече обхваща в голяма степен основните фактори, изложени от органите.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Съгласно плановете в програмата за стабилност на Литва се предвижда дефицитът по консолидирания държавен бюджет на Словения през 2020 г. да достигне 11,4 % от БВП, тоест да бъде по-висок от референтната стойност по Договора от 3 % от БВП, и не близък до нея. Планираното надвишаване на референтната стойност се счита за изключение и понастоящем се смята за временно отклонение.</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 съответствие с Договора и Пакта за стабилност и растеж в настоящия доклад бяха разгледани и действащите фактори.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Като цяло, тъй като планираният дефицит е доста над 3 % от БВП и като се вземат предвид всички действащи фактори, анализът показва, че критерият за дефицит, определен в Договора и в Регламент (ЕО) № 1467/1997, не е изпълнен.</w:t>
      </w:r>
    </w:p>
    <w:p>
      <w:pPr>
        <w:spacing w:before="120" w:after="120" w:line="240" w:lineRule="auto"/>
        <w:jc w:val="both"/>
        <w:rPr>
          <w:rFonts w:ascii="Times New Roman" w:eastAsia="Times New Roman" w:hAnsi="Times New Roman" w:cs="Calibri"/>
          <w:bCs/>
          <w:noProof/>
          <w:sz w:val="24"/>
          <w:lang w:val="ru-RU"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DB9590-C810-408D-8CFF-670A310923E7"/>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1?\u1080?\u1090?\u1074?\u1072?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185101301">
      <w:bodyDiv w:val="1"/>
      <w:marLeft w:val="0"/>
      <w:marRight w:val="0"/>
      <w:marTop w:val="0"/>
      <w:marBottom w:val="0"/>
      <w:divBdr>
        <w:top w:val="none" w:sz="0" w:space="0" w:color="auto"/>
        <w:left w:val="none" w:sz="0" w:space="0" w:color="auto"/>
        <w:bottom w:val="none" w:sz="0" w:space="0" w:color="auto"/>
        <w:right w:val="none" w:sz="0" w:space="0" w:color="auto"/>
      </w:divBdr>
    </w:div>
    <w:div w:id="46427336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78241048">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23724772">
      <w:bodyDiv w:val="1"/>
      <w:marLeft w:val="0"/>
      <w:marRight w:val="0"/>
      <w:marTop w:val="0"/>
      <w:marBottom w:val="0"/>
      <w:divBdr>
        <w:top w:val="none" w:sz="0" w:space="0" w:color="auto"/>
        <w:left w:val="none" w:sz="0" w:space="0" w:color="auto"/>
        <w:bottom w:val="none" w:sz="0" w:space="0" w:color="auto"/>
        <w:right w:val="none" w:sz="0" w:space="0" w:color="auto"/>
      </w:divBdr>
    </w:div>
    <w:div w:id="725879848">
      <w:bodyDiv w:val="1"/>
      <w:marLeft w:val="0"/>
      <w:marRight w:val="0"/>
      <w:marTop w:val="0"/>
      <w:marBottom w:val="0"/>
      <w:divBdr>
        <w:top w:val="none" w:sz="0" w:space="0" w:color="auto"/>
        <w:left w:val="none" w:sz="0" w:space="0" w:color="auto"/>
        <w:bottom w:val="none" w:sz="0" w:space="0" w:color="auto"/>
        <w:right w:val="none" w:sz="0" w:space="0" w:color="auto"/>
      </w:divBdr>
    </w:div>
    <w:div w:id="833956947">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56411939">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40384279">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20760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EBE7-D972-4483-B32C-765D290F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1749</Words>
  <Characters>9341</Characters>
  <Application>Microsoft Office Word</Application>
  <DocSecurity>0</DocSecurity>
  <Lines>194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2019-05-13T14:09:00Z</cp:lastPrinted>
  <dcterms:created xsi:type="dcterms:W3CDTF">2020-05-18T14:46:00Z</dcterms:created>
  <dcterms:modified xsi:type="dcterms:W3CDTF">2020-06-03T15:08:00Z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