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4A7F44-DA0D-4A4A-80DC-E789CFEB1446"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Люксембург</w:t>
      </w:r>
      <w:r>
        <w:rPr>
          <w:noProof/>
        </w:rPr>
        <w:br/>
      </w:r>
      <w:r>
        <w:rPr>
          <w:noProof/>
        </w:rPr>
        <w:br/>
        <w:t>Доклад, изготвен в съответствие с член 126, параграф 3 от Договора за функционирането на Европейския съюз</w:t>
      </w:r>
    </w:p>
    <w:p>
      <w:pPr>
        <w:pStyle w:val="Sous-titreobjet"/>
        <w:rPr>
          <w:noProof/>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1.</w:t>
      </w:r>
      <w:r>
        <w:rPr>
          <w:rFonts w:ascii="Times New Roman" w:hAnsi="Times New Roman" w:cs="Times New Roman"/>
          <w:b/>
          <w:smallCaps/>
          <w:noProof/>
          <w:sz w:val="24"/>
          <w:szCs w:val="24"/>
        </w:rPr>
        <w:tab/>
        <w:t xml:space="preserve">Въведение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сериозен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Данните, които бяха предоставени от люксембургските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cs="Times New Roman"/>
          <w:noProof/>
          <w:sz w:val="24"/>
          <w:szCs w:val="24"/>
        </w:rPr>
        <w:t>, показват, че салдото по консолидирания държавен бюджет в Люксембург е достигнало излишък от 2,2 % от БВП през 2019 г., а брутният консолидиран държавен дълг е възлизал на 22,1 % от БВП. Според програмата за конвергенция за 2020 г. Люксембург предвижда дефицит от 8,5 % от БВП през 2020 г., а дългът ще достигне размер от 28,7 %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Планираният дефицит за 2020 г. предоставя </w:t>
      </w:r>
      <w:r>
        <w:rPr>
          <w:rFonts w:ascii="Times New Roman" w:hAnsi="Times New Roman" w:cs="Times New Roman"/>
          <w:i/>
          <w:iCs/>
          <w:noProof/>
          <w:sz w:val="24"/>
          <w:szCs w:val="24"/>
        </w:rPr>
        <w:t>prima facie</w:t>
      </w:r>
      <w:r>
        <w:rPr>
          <w:rFonts w:ascii="Times New Roman" w:hAnsi="Times New Roman" w:cs="Times New Roman"/>
          <w:noProof/>
          <w:sz w:val="24"/>
          <w:szCs w:val="24"/>
        </w:rPr>
        <w:t xml:space="preserve"> доказателство за наличието на прекомерен дефицит, както е определен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Поради това в този контекст Комисията изготви настоящия доклад, в който се анализира спазването от страна на Люксембург на заложения в Договора критерий за дефицита. Критерият за дълга може да се счита за изпълнен, тъй като съотношението на дълга през 2019 г. е под предвидената в Договора референтна стойност от 60 % от </w:t>
      </w:r>
      <w:r>
        <w:rPr>
          <w:rFonts w:ascii="Times New Roman" w:hAnsi="Times New Roman" w:cs="Times New Roman"/>
          <w:noProof/>
          <w:sz w:val="24"/>
          <w:szCs w:val="24"/>
        </w:rPr>
        <w:lastRenderedPageBreak/>
        <w:t xml:space="preserve">БВП.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p>
    <w:p>
      <w:pPr>
        <w:keepNext/>
        <w:spacing w:before="240" w:after="120" w:line="240" w:lineRule="auto"/>
        <w:jc w:val="center"/>
        <w:rPr>
          <w:rFonts w:ascii="Times New Roman" w:eastAsia="Times New Roman" w:hAnsi="Times New Roman" w:cs="Times New Roman"/>
          <w:noProof/>
          <w:sz w:val="24"/>
          <w:szCs w:val="24"/>
        </w:rPr>
      </w:pPr>
      <w:r>
        <w:rPr>
          <w:rFonts w:ascii="Times New Roman" w:hAnsi="Times New Roman" w:cs="Times New Roman"/>
          <w:b/>
          <w:noProof/>
          <w:sz w:val="24"/>
          <w:szCs w:val="24"/>
        </w:rPr>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cs="Times New Roman"/>
          <w:b/>
          <w:noProof/>
          <w:sz w:val="24"/>
          <w:szCs w:val="24"/>
        </w:rPr>
        <w:t xml:space="preserve">. Дефицит по консолидирания държавен бюджет и консолидиран държавен дълг (% от БВП) </w:t>
      </w:r>
    </w:p>
    <w:tbl>
      <w:tblPr>
        <w:tblStyle w:val="TableGrid"/>
        <w:tblW w:w="5000" w:type="pct"/>
        <w:tblLook w:val="04A0" w:firstRow="1" w:lastRow="0" w:firstColumn="1" w:lastColumn="0" w:noHBand="0" w:noVBand="1"/>
      </w:tblPr>
      <w:tblGrid>
        <w:gridCol w:w="1620"/>
        <w:gridCol w:w="1269"/>
        <w:gridCol w:w="1269"/>
        <w:gridCol w:w="1270"/>
        <w:gridCol w:w="1270"/>
        <w:gridCol w:w="1272"/>
        <w:gridCol w:w="1272"/>
      </w:tblGrid>
      <w:tr>
        <w:trPr>
          <w:trHeight w:val="603"/>
        </w:trPr>
        <w:tc>
          <w:tcPr>
            <w:tcW w:w="725" w:type="pct"/>
          </w:tcPr>
          <w:p>
            <w:pPr>
              <w:keepNext/>
              <w:jc w:val="center"/>
              <w:rPr>
                <w:rFonts w:ascii="Times New Roman" w:eastAsia="Times New Roman" w:hAnsi="Times New Roman" w:cs="Calibri"/>
                <w:noProof/>
                <w:sz w:val="20"/>
                <w:szCs w:val="20"/>
              </w:rPr>
            </w:pP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712"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71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71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725"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712" w:type="pct"/>
          </w:tcPr>
          <w:p>
            <w:pPr>
              <w:keepNext/>
              <w:jc w:val="center"/>
              <w:rPr>
                <w:rFonts w:ascii="Times New Roman" w:eastAsia="Times New Roman" w:hAnsi="Times New Roman" w:cs="Calibri"/>
                <w:noProof/>
                <w:sz w:val="20"/>
                <w:szCs w:val="20"/>
              </w:rPr>
            </w:pPr>
            <w:r>
              <w:rPr>
                <w:noProof/>
              </w:rPr>
              <w:t>1,8</w:t>
            </w:r>
          </w:p>
        </w:tc>
        <w:tc>
          <w:tcPr>
            <w:tcW w:w="712" w:type="pct"/>
          </w:tcPr>
          <w:p>
            <w:pPr>
              <w:keepNext/>
              <w:jc w:val="center"/>
              <w:rPr>
                <w:rFonts w:ascii="Times New Roman" w:eastAsia="Times New Roman" w:hAnsi="Times New Roman" w:cs="Calibri"/>
                <w:noProof/>
                <w:sz w:val="20"/>
                <w:szCs w:val="20"/>
              </w:rPr>
            </w:pPr>
            <w:r>
              <w:rPr>
                <w:noProof/>
              </w:rPr>
              <w:t>1,3</w:t>
            </w:r>
          </w:p>
        </w:tc>
        <w:tc>
          <w:tcPr>
            <w:tcW w:w="712" w:type="pct"/>
          </w:tcPr>
          <w:p>
            <w:pPr>
              <w:keepNext/>
              <w:jc w:val="center"/>
              <w:rPr>
                <w:rFonts w:ascii="Times New Roman" w:eastAsia="Times New Roman" w:hAnsi="Times New Roman" w:cs="Calibri"/>
                <w:noProof/>
                <w:sz w:val="20"/>
                <w:szCs w:val="20"/>
              </w:rPr>
            </w:pPr>
            <w:r>
              <w:rPr>
                <w:noProof/>
              </w:rPr>
              <w:t>3,1</w:t>
            </w:r>
          </w:p>
        </w:tc>
        <w:tc>
          <w:tcPr>
            <w:tcW w:w="712" w:type="pct"/>
          </w:tcPr>
          <w:p>
            <w:pPr>
              <w:keepNext/>
              <w:jc w:val="center"/>
              <w:rPr>
                <w:rFonts w:ascii="Times New Roman" w:eastAsia="Times New Roman" w:hAnsi="Times New Roman" w:cs="Calibri"/>
                <w:noProof/>
                <w:sz w:val="20"/>
                <w:szCs w:val="20"/>
              </w:rPr>
            </w:pPr>
            <w:r>
              <w:rPr>
                <w:noProof/>
              </w:rPr>
              <w:t>2,2</w:t>
            </w:r>
          </w:p>
        </w:tc>
        <w:tc>
          <w:tcPr>
            <w:tcW w:w="713" w:type="pct"/>
          </w:tcPr>
          <w:p>
            <w:pPr>
              <w:keepNext/>
              <w:jc w:val="center"/>
              <w:rPr>
                <w:rFonts w:ascii="Times New Roman" w:eastAsia="Times New Roman" w:hAnsi="Times New Roman" w:cs="Calibri"/>
                <w:noProof/>
                <w:sz w:val="20"/>
                <w:szCs w:val="20"/>
                <w:highlight w:val="lightGray"/>
              </w:rPr>
            </w:pPr>
            <w:r>
              <w:rPr>
                <w:noProof/>
              </w:rPr>
              <w:t>-4,8</w:t>
            </w:r>
          </w:p>
        </w:tc>
        <w:tc>
          <w:tcPr>
            <w:tcW w:w="713" w:type="pct"/>
          </w:tcPr>
          <w:p>
            <w:pPr>
              <w:keepNext/>
              <w:jc w:val="center"/>
              <w:rPr>
                <w:rFonts w:ascii="Times New Roman" w:eastAsia="Times New Roman" w:hAnsi="Times New Roman" w:cs="Calibri"/>
                <w:noProof/>
                <w:sz w:val="20"/>
                <w:szCs w:val="20"/>
                <w:highlight w:val="lightGray"/>
              </w:rPr>
            </w:pPr>
            <w:r>
              <w:rPr>
                <w:noProof/>
              </w:rPr>
              <w:t>0,1</w:t>
            </w:r>
          </w:p>
        </w:tc>
      </w:tr>
      <w:tr>
        <w:tc>
          <w:tcPr>
            <w:tcW w:w="725"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712" w:type="pct"/>
          </w:tcPr>
          <w:p>
            <w:pPr>
              <w:keepNext/>
              <w:jc w:val="center"/>
              <w:rPr>
                <w:rFonts w:ascii="Times New Roman" w:eastAsia="Times New Roman" w:hAnsi="Times New Roman" w:cs="Calibri"/>
                <w:noProof/>
                <w:sz w:val="20"/>
                <w:szCs w:val="20"/>
              </w:rPr>
            </w:pPr>
            <w:r>
              <w:rPr>
                <w:noProof/>
              </w:rPr>
              <w:t>20,1</w:t>
            </w:r>
          </w:p>
        </w:tc>
        <w:tc>
          <w:tcPr>
            <w:tcW w:w="712" w:type="pct"/>
          </w:tcPr>
          <w:p>
            <w:pPr>
              <w:keepNext/>
              <w:jc w:val="center"/>
              <w:rPr>
                <w:rFonts w:ascii="Times New Roman" w:eastAsia="Times New Roman" w:hAnsi="Times New Roman" w:cs="Calibri"/>
                <w:noProof/>
                <w:sz w:val="20"/>
                <w:szCs w:val="20"/>
              </w:rPr>
            </w:pPr>
            <w:r>
              <w:rPr>
                <w:noProof/>
              </w:rPr>
              <w:t>22,3</w:t>
            </w:r>
          </w:p>
        </w:tc>
        <w:tc>
          <w:tcPr>
            <w:tcW w:w="712" w:type="pct"/>
          </w:tcPr>
          <w:p>
            <w:pPr>
              <w:keepNext/>
              <w:jc w:val="center"/>
              <w:rPr>
                <w:rFonts w:ascii="Times New Roman" w:eastAsia="Times New Roman" w:hAnsi="Times New Roman" w:cs="Calibri"/>
                <w:noProof/>
                <w:sz w:val="20"/>
                <w:szCs w:val="20"/>
              </w:rPr>
            </w:pPr>
            <w:r>
              <w:rPr>
                <w:noProof/>
              </w:rPr>
              <w:t>21,0</w:t>
            </w:r>
          </w:p>
        </w:tc>
        <w:tc>
          <w:tcPr>
            <w:tcW w:w="712" w:type="pct"/>
          </w:tcPr>
          <w:p>
            <w:pPr>
              <w:keepNext/>
              <w:jc w:val="center"/>
              <w:rPr>
                <w:rFonts w:ascii="Times New Roman" w:eastAsia="Times New Roman" w:hAnsi="Times New Roman" w:cs="Calibri"/>
                <w:noProof/>
                <w:sz w:val="20"/>
                <w:szCs w:val="20"/>
              </w:rPr>
            </w:pPr>
            <w:r>
              <w:rPr>
                <w:noProof/>
              </w:rPr>
              <w:t>22,1</w:t>
            </w:r>
          </w:p>
        </w:tc>
        <w:tc>
          <w:tcPr>
            <w:tcW w:w="713" w:type="pct"/>
          </w:tcPr>
          <w:p>
            <w:pPr>
              <w:keepNext/>
              <w:jc w:val="center"/>
              <w:rPr>
                <w:rFonts w:ascii="Times New Roman" w:eastAsia="Times New Roman" w:hAnsi="Times New Roman" w:cs="Calibri"/>
                <w:noProof/>
                <w:sz w:val="20"/>
                <w:szCs w:val="20"/>
                <w:highlight w:val="lightGray"/>
              </w:rPr>
            </w:pPr>
            <w:r>
              <w:rPr>
                <w:noProof/>
              </w:rPr>
              <w:t>26,4</w:t>
            </w:r>
          </w:p>
        </w:tc>
        <w:tc>
          <w:tcPr>
            <w:tcW w:w="713" w:type="pct"/>
          </w:tcPr>
          <w:p>
            <w:pPr>
              <w:keepNext/>
              <w:jc w:val="center"/>
              <w:rPr>
                <w:rFonts w:ascii="Times New Roman" w:eastAsia="Times New Roman" w:hAnsi="Times New Roman" w:cs="Calibri"/>
                <w:noProof/>
                <w:sz w:val="20"/>
                <w:szCs w:val="20"/>
                <w:highlight w:val="lightGray"/>
              </w:rPr>
            </w:pPr>
            <w:r>
              <w:rPr>
                <w:noProof/>
              </w:rPr>
              <w:t>25,7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szCs w:val="24"/>
        </w:rPr>
      </w:pPr>
      <w:r>
        <w:rPr>
          <w:smallCaps w:val="0"/>
          <w:noProof/>
          <w:szCs w:val="24"/>
        </w:rPr>
        <w:t>2.</w:t>
      </w:r>
      <w:r>
        <w:rPr>
          <w:b w:val="0"/>
          <w:smallCaps w:val="0"/>
          <w:noProof/>
          <w:szCs w:val="24"/>
        </w:rPr>
        <w:tab/>
      </w:r>
      <w:r>
        <w:rPr>
          <w:noProof/>
          <w:szCs w:val="24"/>
        </w:rPr>
        <w:t xml:space="preserve">Критерий за 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планира дефицитът по консолидирания държавен бюджет на Люксембург да достигне 8,5 % от БВП през 2020 г., превишавайки референтната стойност по Договора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по Договора през 2020 г. е изключение, тъй като се дължи на сериозен икономически спад. Като се има предвид въздействието на пандемията от COVID-19, в прогнозата на Комисията от пролетта на 2020 г. се предвижда реалният БВП да се свие с 5,4 % през 2020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съгласно Договора би било временно въз основа на прогнозата на Комисията от пролетта на 2020 г., в която се предвижда дефицитът по консолидирания държавен бюджет да спадне под 3 % от БВП през 2021 г. Тези прогнози обаче са свързани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не е близък до нея. Планираното превишение се счита за извънредно, както е определено в Договора и в Пакта за стабилност и растеж, докато временният му характер се счита понастоящем за временен. Следователно анализът показва, че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за целите на Договора и на Регламент (ЕО) № 1467/97 не е изпълнен.</w:t>
      </w:r>
    </w:p>
    <w:p>
      <w:pPr>
        <w:pStyle w:val="ManualHeading1"/>
        <w:ind w:left="0" w:firstLine="0"/>
        <w:rPr>
          <w:noProof/>
          <w:szCs w:val="24"/>
        </w:rPr>
      </w:pPr>
      <w:r>
        <w:rPr>
          <w:noProof/>
          <w:szCs w:val="24"/>
        </w:rPr>
        <w:t>3.</w:t>
      </w:r>
      <w:r>
        <w:rPr>
          <w:noProof/>
          <w:szCs w:val="24"/>
        </w:rPr>
        <w:tab/>
        <w:t xml:space="preserve">Действащи фактори </w:t>
      </w:r>
    </w:p>
    <w:p>
      <w:pPr>
        <w:spacing w:before="120" w:after="120" w:line="240" w:lineRule="auto"/>
        <w:jc w:val="both"/>
        <w:rPr>
          <w:rFonts w:eastAsia="Calibri" w:cs="Times New Roman"/>
          <w:b/>
          <w:smallCaps/>
          <w:noProof/>
          <w:sz w:val="24"/>
          <w:szCs w:val="24"/>
        </w:rPr>
      </w:pPr>
      <w:r>
        <w:rPr>
          <w:rFonts w:ascii="Times New Roman" w:hAnsi="Times New Roman"/>
          <w:noProof/>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COVID-19, която се отразява в значителна степен на състоянието на бюджета и води до твърде несигурни перспективи. Пандемията също така доведе до активирането на общата клауза за дерогация.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r>
      <w:r>
        <w:rPr>
          <w:rFonts w:ascii="Times New Roman" w:hAnsi="Times New Roman"/>
          <w:b/>
          <w:noProof/>
          <w:sz w:val="24"/>
          <w:szCs w:val="24"/>
        </w:rPr>
        <w:tab/>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лица и сектори. Бяха приети и съществени мерки за подкрепа за ликвидност и други гаранции. При условие че се предостави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3.2</w:t>
      </w:r>
      <w:r>
        <w:rPr>
          <w:rFonts w:ascii="Times New Roman" w:hAnsi="Times New Roman"/>
          <w:b/>
          <w:noProof/>
          <w:sz w:val="24"/>
          <w:szCs w:val="24"/>
        </w:rPr>
        <w:tab/>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Икономическата активност е нараснала с 2,3 % през 2019 г., което бе по-слабо спрямо предходната година. Преди пандемията все още се очакваше БВП да нарасне с 2,7 %, през 2020 г. След избухването на пандемията и след приемането на здравните мерки за ограничаване на разпространението на вируса, цели икономически отрасли трябваше да спрат дейността си, докато други трябваше да работят с много по-малък капацитет. През 2020 г. се предвижда рязък спад на икономическата активност. Този смекчаващ фактор, когато се преценява спазването от страна на Люксембург на критерия за дефицит през 2020 г.</w:t>
      </w:r>
    </w:p>
    <w:p>
      <w:pPr>
        <w:spacing w:before="120" w:after="120" w:line="240" w:lineRule="auto"/>
        <w:jc w:val="both"/>
        <w:rPr>
          <w:rFonts w:ascii="Times New Roman" w:eastAsia="Times New Roman" w:hAnsi="Times New Roman" w:cs="Calibri"/>
          <w:bCs/>
          <w:noProof/>
          <w:sz w:val="24"/>
          <w:szCs w:val="24"/>
          <w:highlight w:val="cyan"/>
        </w:rPr>
      </w:pPr>
      <w:r>
        <w:rPr>
          <w:rFonts w:ascii="Times New Roman" w:hAnsi="Times New Roman"/>
          <w:noProof/>
          <w:sz w:val="24"/>
          <w:szCs w:val="24"/>
        </w:rPr>
        <w:t>Освен това несигурността, свързана с продължителността на пандемията от COVID-19 и нейното икономическо въздействие, води до изключителна степен на несигурност по отношение на макроикономическата перспектива в краткосрочен план.</w:t>
      </w:r>
      <w:r>
        <w:rPr>
          <w:rFonts w:ascii="Times New Roman" w:hAnsi="Times New Roman"/>
          <w:bCs/>
          <w:noProof/>
          <w:sz w:val="24"/>
          <w:szCs w:val="24"/>
        </w:rPr>
        <w:t xml:space="preserve"> Като малка отворена икономика, развитието на икономическата дейност в Люксембург ще зависи до голяма степен от икономическите резултати на неговите основни търговски партньори. Освен това силната зависимост на икономиката от финансовия сектор, която представлява голям дял от БВП, ще породи несигурност по отношение на размера на свиването, като тази несигурност е също резултат от големите колебания на финансовите пазари.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rFonts w:ascii="Times New Roman" w:hAnsi="Times New Roman"/>
          <w:b/>
          <w:noProof/>
          <w:sz w:val="24"/>
          <w:szCs w:val="24"/>
        </w:rPr>
        <w:tab/>
      </w:r>
      <w:r>
        <w:rPr>
          <w:rFonts w:ascii="Times New Roman" w:hAnsi="Times New Roman"/>
          <w:b/>
          <w:noProof/>
          <w:sz w:val="24"/>
          <w:szCs w:val="24"/>
        </w:rPr>
        <w:tab/>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данните за изпълнението и на прогнозата на Комисията от пролетта на 2020 г., през 2019 г. Люксембург преизпълни своята средносрочна бюджетна цел.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програмата за стабилност на Люксембург за 2020 г. се предвижда значително влошаване на публичните финанси от излишък в размер на 2,2 % от БВП през 2019 г. до дефицит от 8,5 % от БВП през 2020 г. в контекста на пандемията от COVID-19. Правителството прие всеобхватен пакет от мерки за подпомагане в размер на 5,5 % от БВП, съставен от мерки за запазване на заетостта, помощ за предприятия в затруднено положение и допълнителни разходи за здравеопазване. Според органите сумата в размер на 5,5 % от БВП включва също така възстановяване на заеми и част от отсрочените преки данъци, които биха имали пряко отражение върху бюджета. Също така е налице очакван спад в приходната част, което е отражение най-вече на спада както на косвените, така и на преките данъци. Средносрочната фискална перспектива продължава да е изложена на голяма несигурност.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На 11 май 2020 г. люксембургските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В писмото си люксембургските органи подчертаха, че техните бюджетни прогнози се основават на много предпазливи предположения както за приходите, така и за разходите. За прогнозирането на приходите са били използвани по-ниски от обичайните равнища на еластичност, за да бъде отчетена високата степен на несигурност.</w:t>
      </w:r>
    </w:p>
    <w:p>
      <w:pPr>
        <w:pStyle w:val="ManualHeading1"/>
        <w:ind w:left="0" w:firstLine="0"/>
        <w:rPr>
          <w:noProof/>
          <w:szCs w:val="24"/>
        </w:rPr>
      </w:pPr>
      <w:r>
        <w:rPr>
          <w:noProof/>
          <w:szCs w:val="24"/>
        </w:rPr>
        <w:t>4.</w:t>
      </w:r>
      <w:r>
        <w:rPr>
          <w:noProof/>
          <w:szCs w:val="24"/>
        </w:rPr>
        <w:tab/>
        <w:t>Заключения</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Съгласно програмата за стабилност е планирано номиналният дефицит по консолидирания държавен бюджет на Люксембург през 2020 г. да достигне 8,5 % от БВП, т.е. да бъде по-висок от референтната стойност по Договора от 3 % от БВП и не близък до нея. Планираното превишение на референтната стойност се счита за изключение и понастоящем се разглежда като временно отклонение.</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В съответствие с Договора и с Пакта за стабилност и растеж в настоящия доклад бяха разгледани също така и действащите фактори.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Като цяло, тъй като планираният дефицит е доста над 3 % от БВП и като се вземат предвид всички действащи фактори, анализът показва, че критерият за дефицит, определен в Договора и в Регламент (ЕО) № 1467/1997, не е изпълнен.</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B4A7F44-DA0D-4A4A-80DC-E789CFEB1446"/>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1?\u1102?\u1082?\u1089?\u1077?\u1084?\u1073?\u1091?\u1088?\u1075?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7946407">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5210-4200-4EEF-A631-44CB5834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1603</Words>
  <Characters>8755</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2019-05-13T14:09:00Z</cp:lastPrinted>
  <dcterms:created xsi:type="dcterms:W3CDTF">2020-05-18T14:49:00Z</dcterms:created>
  <dcterms:modified xsi:type="dcterms:W3CDTF">2020-06-03T14:47:00Z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