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C2766E-B03F-4EE4-9C48-FEFBE58F7119"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Дания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pacing w:val="-4"/>
          <w:sz w:val="24"/>
          <w:szCs w:val="24"/>
        </w:rPr>
      </w:pPr>
      <w:r>
        <w:rPr>
          <w:rFonts w:ascii="Times New Roman" w:hAnsi="Times New Roman"/>
          <w:noProof/>
          <w:spacing w:val="-4"/>
          <w:sz w:val="24"/>
          <w:szCs w:val="24"/>
        </w:rPr>
        <w:t>Данните, които бяха предоставени от датските органи на 5 май 2020 г. и впоследствие потвърдени от Евростат</w:t>
      </w:r>
      <w:r>
        <w:rPr>
          <w:rStyle w:val="FootnoteReference"/>
          <w:rFonts w:eastAsiaTheme="minorHAnsi"/>
          <w:noProof/>
          <w:spacing w:val="-4"/>
          <w:sz w:val="24"/>
          <w:szCs w:val="24"/>
        </w:rPr>
        <w:footnoteReference w:id="2"/>
      </w:r>
      <w:r>
        <w:rPr>
          <w:rFonts w:ascii="Times New Roman" w:hAnsi="Times New Roman"/>
          <w:noProof/>
          <w:spacing w:val="-4"/>
          <w:sz w:val="24"/>
          <w:szCs w:val="24"/>
        </w:rPr>
        <w:t>, показват, че излишъкът по консолидирания държавен бюджет в Дания е достигнал 3,7 % от БВП през 2019 г., а брутният консолидиран държавен дълг е възлизал на 33,2 % от БВП. Според програмата за конвергенция за 2020 г. Дания планира дефицит от 8 % от БВП през 2020 г. и дълг в размер на 40¾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съгласно определеното в Пакта за стабилност и растеж.</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от страна на Дания на заложения в Договора критерий за дефицита. Критерият за дълга може да се счита за изпълнен, тъй като съотношението на дълга към БВП през 2019 г. е под референтната стойност по Договора от 60 % от БВП. В него се отчитат всички </w:t>
      </w:r>
      <w:r>
        <w:rPr>
          <w:rFonts w:ascii="Times New Roman" w:hAnsi="Times New Roman"/>
          <w:noProof/>
          <w:sz w:val="24"/>
          <w:szCs w:val="24"/>
        </w:rPr>
        <w:lastRenderedPageBreak/>
        <w:t xml:space="preserve">действащи фактори и се обръща необходимото внимание на сериозното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r>
        <w:rPr>
          <w:rFonts w:ascii="Times New Roman" w:hAnsi="Times New Roman"/>
          <w:i/>
          <w:noProof/>
          <w:sz w:val="24"/>
          <w:highlight w:val="cyan"/>
        </w:rPr>
        <w:t xml:space="preserve"> </w:t>
      </w:r>
    </w:p>
    <w:tbl>
      <w:tblPr>
        <w:tblStyle w:val="TableGrid"/>
        <w:tblW w:w="0" w:type="auto"/>
        <w:jc w:val="center"/>
        <w:tblLook w:val="04A0" w:firstRow="1" w:lastRow="0" w:firstColumn="1" w:lastColumn="0" w:noHBand="0" w:noVBand="1"/>
      </w:tblPr>
      <w:tblGrid>
        <w:gridCol w:w="1561"/>
        <w:gridCol w:w="2543"/>
        <w:gridCol w:w="799"/>
        <w:gridCol w:w="799"/>
        <w:gridCol w:w="799"/>
        <w:gridCol w:w="851"/>
        <w:gridCol w:w="850"/>
        <w:gridCol w:w="826"/>
      </w:tblGrid>
      <w:tr>
        <w:trPr>
          <w:trHeight w:val="603"/>
          <w:jc w:val="center"/>
        </w:trPr>
        <w:tc>
          <w:tcPr>
            <w:tcW w:w="1561" w:type="dxa"/>
          </w:tcPr>
          <w:p>
            <w:pPr>
              <w:keepNext/>
              <w:jc w:val="center"/>
              <w:rPr>
                <w:rFonts w:ascii="Times New Roman" w:eastAsia="Times New Roman" w:hAnsi="Times New Roman" w:cs="Calibri"/>
                <w:noProof/>
                <w:sz w:val="20"/>
                <w:szCs w:val="20"/>
                <w:lang w:eastAsia="en-GB"/>
              </w:rPr>
            </w:pPr>
          </w:p>
        </w:tc>
        <w:tc>
          <w:tcPr>
            <w:tcW w:w="2543" w:type="dxa"/>
          </w:tcPr>
          <w:p>
            <w:pPr>
              <w:keepNext/>
              <w:jc w:val="center"/>
              <w:rPr>
                <w:rFonts w:ascii="Times New Roman" w:eastAsia="Times New Roman" w:hAnsi="Times New Roman" w:cs="Calibri"/>
                <w:noProof/>
                <w:sz w:val="20"/>
                <w:szCs w:val="20"/>
                <w:lang w:eastAsia="en-GB"/>
              </w:rPr>
            </w:pP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w:t>
            </w:r>
          </w:p>
        </w:tc>
        <w:tc>
          <w:tcPr>
            <w:tcW w:w="82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w:t>
            </w:r>
          </w:p>
        </w:tc>
      </w:tr>
      <w:tr>
        <w:trPr>
          <w:jc w:val="center"/>
        </w:trPr>
        <w:tc>
          <w:tcPr>
            <w:tcW w:w="156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254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851"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3,7</w:t>
            </w:r>
          </w:p>
        </w:tc>
        <w:tc>
          <w:tcPr>
            <w:tcW w:w="850"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-7,2</w:t>
            </w:r>
          </w:p>
        </w:tc>
        <w:tc>
          <w:tcPr>
            <w:tcW w:w="826"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-2,3</w:t>
            </w:r>
          </w:p>
        </w:tc>
      </w:tr>
      <w:tr>
        <w:trPr>
          <w:jc w:val="center"/>
        </w:trPr>
        <w:tc>
          <w:tcPr>
            <w:tcW w:w="156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254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37,2</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35,5</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33,9</w:t>
            </w:r>
          </w:p>
        </w:tc>
        <w:tc>
          <w:tcPr>
            <w:tcW w:w="851"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33,2</w:t>
            </w:r>
          </w:p>
        </w:tc>
        <w:tc>
          <w:tcPr>
            <w:tcW w:w="850"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44,7</w:t>
            </w:r>
          </w:p>
        </w:tc>
        <w:tc>
          <w:tcPr>
            <w:tcW w:w="826"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44,6</w:t>
            </w:r>
          </w:p>
        </w:tc>
      </w:tr>
    </w:tbl>
    <w:p>
      <w:pPr>
        <w:spacing w:after="120" w:line="240" w:lineRule="auto"/>
        <w:ind w:left="426"/>
        <w:jc w:val="both"/>
        <w:rPr>
          <w:rFonts w:ascii="Times New Roman" w:eastAsia="Calibri" w:hAnsi="Times New Roman" w:cs="Times New Roman"/>
          <w:noProof/>
          <w:sz w:val="20"/>
          <w:szCs w:val="20"/>
        </w:rPr>
      </w:pPr>
      <w:r>
        <w:rPr>
          <w:rFonts w:ascii="Times New Roman" w:hAnsi="Times New Roman"/>
          <w:noProof/>
          <w:sz w:val="20"/>
          <w:szCs w:val="20"/>
        </w:rPr>
        <w:t>Източник: Евростат, Прогноза на Комисията от пролетта на 2020 г.</w:t>
      </w:r>
    </w:p>
    <w:p>
      <w:pPr>
        <w:pStyle w:val="ManualHeading1"/>
        <w:rPr>
          <w:smallCaps w:val="0"/>
          <w:noProof/>
          <w:highlight w:val="cyan"/>
        </w:rPr>
      </w:pPr>
    </w:p>
    <w:p>
      <w:pPr>
        <w:rPr>
          <w:rFonts w:ascii="Times New Roman" w:hAnsi="Times New Roman" w:cs="Times New Roman"/>
          <w:b/>
          <w:noProof/>
          <w:sz w:val="24"/>
          <w:szCs w:val="24"/>
          <w:highlight w:val="cyan"/>
        </w:rPr>
      </w:pPr>
      <w:r>
        <w:rPr>
          <w:rFonts w:ascii="Times New Roman" w:hAnsi="Times New Roman"/>
          <w:b/>
          <w:noProof/>
          <w:sz w:val="24"/>
          <w:szCs w:val="24"/>
        </w:rPr>
        <w:t>2.</w:t>
      </w:r>
      <w:r>
        <w:rPr>
          <w:noProof/>
        </w:rPr>
        <w:tab/>
      </w:r>
      <w:r>
        <w:rPr>
          <w:rFonts w:ascii="Times New Roman" w:hAnsi="Times New Roman"/>
          <w:b/>
          <w:noProof/>
          <w:sz w:val="24"/>
          <w:szCs w:val="24"/>
        </w:rPr>
        <w:t>Критерий</w:t>
      </w:r>
      <w:r>
        <w:rPr>
          <w:rFonts w:ascii="Times New Roman" w:hAnsi="Times New Roman"/>
          <w:b/>
          <w:smallCaps/>
          <w:noProof/>
          <w:sz w:val="24"/>
        </w:rPr>
        <w:t xml:space="preserve">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конвергенция се планира през 2020 г. дефицитът по консолидирания държавен бюджет на Дания да достигне 8 % от БВП, превишавайки значително предвидената в Договора референтна стойност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на 2020 г. се предвижда свиване на реалния БВП с 5,9 % през 2020 г.</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Планираното превишение на предвидената в Договора референтна стойност ще бъде временно, съгласно прогнозата на Комисията от пролетта на 2020 г., в която се предвижда дефицитът по консолидирания държавен бюджет да спадне под 3 % от БВП през 2021 г. Тези прогнози обаче се отличават с изключително висока степен на несигурност.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обобщение планираният дефицит за 2020 г. превишава значително предвидената в Договора референтна стойност от 3 % от БВП. Планираното превишение се счита за извънредно съгласно определеното в Договора и в Пакта за стабилност и растеж, а характерът на превишението понастоящем се счита за временен. Следователно анализът показва, че</w:t>
      </w:r>
      <w:r>
        <w:rPr>
          <w:rFonts w:ascii="Times New Roman" w:hAnsi="Times New Roman"/>
          <w:noProof/>
          <w:sz w:val="24"/>
        </w:rPr>
        <w:t xml:space="preserve">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съгласно определеното в Договора и в Регламент (ЕО) № 1467/97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Действащи фактори </w:t>
      </w:r>
    </w:p>
    <w:p>
      <w:pPr>
        <w:spacing w:before="120" w:after="120" w:line="240" w:lineRule="auto"/>
        <w:jc w:val="both"/>
        <w:rPr>
          <w:noProof/>
          <w:spacing w:val="-4"/>
          <w:szCs w:val="24"/>
        </w:rPr>
      </w:pPr>
      <w:r>
        <w:rPr>
          <w:rFonts w:ascii="Times New Roman" w:hAnsi="Times New Roman"/>
          <w:noProof/>
          <w:spacing w:val="-4"/>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взема предвид дали бюджетният дефицит надвишава държавните инвестиционни разходи, както и всички останали действащи фактори, включително средносрочното икономическо и бюджетно състояние на държавата членка“. </w:t>
      </w:r>
    </w:p>
    <w:p>
      <w:pPr>
        <w:spacing w:before="120" w:after="120" w:line="240" w:lineRule="auto"/>
        <w:jc w:val="both"/>
        <w:rPr>
          <w:noProof/>
          <w:szCs w:val="24"/>
        </w:rPr>
      </w:pPr>
      <w:r>
        <w:rPr>
          <w:rFonts w:ascii="Times New Roman" w:hAnsi="Times New Roman"/>
          <w:noProof/>
          <w:sz w:val="24"/>
          <w:szCs w:val="24"/>
        </w:rPr>
        <w:t xml:space="preserve">Тези фактори са изяснени допълнително в член 2, параграф 3 от Регламент (ЕО) № 1467/97, който предвижда също,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eastAsia="Times New Roman" w:cs="Calibri"/>
          <w:bCs/>
          <w:noProof/>
        </w:rPr>
      </w:pPr>
      <w:r>
        <w:rPr>
          <w:rFonts w:ascii="Times New Roman" w:hAnsi="Times New Roman"/>
          <w:bCs/>
          <w:noProof/>
          <w:sz w:val="24"/>
        </w:rPr>
        <w:t>В настоящата ситуация основен допълнителен фактор, който трябва да се вземе под внимание по отношение на 2020 г., е икономическото въздействие на пандемията от COVID-19, което оказва значително влияние върху състоянието на бюджета и води до твърде несигурни перспективи. Пандемията също така доведе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Бяха приети също така значителни мерки за подкрепа за ликвидност, както и други гаранции. При условие че се предостави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i/>
          <w:noProof/>
          <w:sz w:val="24"/>
          <w:highlight w:val="cyan"/>
        </w:rPr>
      </w:pPr>
      <w:r>
        <w:rPr>
          <w:rFonts w:ascii="Times New Roman" w:hAnsi="Times New Roman"/>
          <w:bCs/>
          <w:noProof/>
          <w:sz w:val="24"/>
        </w:rPr>
        <w:t>Дания навлезе в кризата по отношение на COVID-19 със силни икономически основи и без сериозни макроикономически дисбаланси. Реалният БВП се увеличи с 2,4 % през 2019 г., над потенциалния му темп на растеж, с положителен принос от всички компоненти на търсенето. Тези благоприятни тенденции продължиха и през 2020 г., преди рязко да спрат в началото на март 2020 г. Поради пандемията от COVID-19, в прогнозата на Комисията от пролетта на 2020 г. се предвижда БВП да намалее с 5,9 % през 2020 г., което отразява смущенията в икономическата активност, причинени от мерките за изолация и безпрецедентен спад на външното търсене. Очаква се частното потребление да бъде сериозно засегнато поради увеличаването на безработицата, намаляването на растежа на заплатите и слабото доверие на потребителите. Очаква се също така инвестициите да спаднат значително през 2020 г., тъй като несигурността постепенно расте и много дружества отлагат или анулират инвестиционните решения. Очаква се продукцията да спадне значително през първата половина на годината, след което постепенно да се възстанови от третото тримесечие нататък. През 2021 г. се очаква БВП да нарасне поради значителното възстановяване на потреблението и инвестициите на домакинствата. Въпреки това е малко вероятно БВП да се върне на нивата от 2019 г. Освен това тази перспектива се характеризира с изключителна степен на несигурност</w:t>
      </w:r>
      <w:r>
        <w:rPr>
          <w:rStyle w:val="FootnoteReference"/>
          <w:rFonts w:eastAsiaTheme="minorHAnsi"/>
          <w:iCs/>
          <w:noProof/>
        </w:rPr>
        <w:footnoteReference w:id="3"/>
      </w:r>
      <w:r>
        <w:rPr>
          <w:rFonts w:ascii="Times New Roman" w:hAnsi="Times New Roman"/>
          <w:bCs/>
          <w:noProof/>
          <w:sz w:val="24"/>
        </w:rPr>
        <w:t>. Tова е смекчаващ фактор при оценката на спазването на критерия за дефицит от Дания през 2020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данните за изпълнението и прогнозата на Комисията от пролетта на 2020 г., Дания е спазила средносрочната бюджетна цел (СБЦ) през 2019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програмата за конвергенция е представена информация за съществени нови мерки за овладяване на пандемията и за подпомагане на икономиката. Според нея отражението на тези мерки за пряко подпомагане върху бюджета ще бъде в размер на 4,9 % от БВП през 2020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Последиците от пандемията и мерките за нейното ограничаване предполагат, че икономическата и бюджетната ситуация в Дания се характеризира с особено голяма несигурност.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 14 май 2020 г. датските органи изпратиха писмо с действащите фактори в съответствие с разпоредбите в член 2, параграф 3 от Регламент (ЕО) № 1467/97. Анализът, представен в предишните раздели, вече обхваща основните фактори, представени от органите.</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4.</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програмата за конвергенция се планира дефицитът по консолидирания държавен бюджет на Дания през 2020 г. да се увеличи до 8 % от БВП, тоест да бъде значително по-висок от предвидената в Договора референтна стойност от 3 % от БВП. Планираното превишение на референтната стойност се счита за изключение и понастоящем се счита за временно. </w:t>
      </w:r>
    </w:p>
    <w:p>
      <w:pPr>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се разглеждат също действащите фактори. </w:t>
      </w:r>
    </w:p>
    <w:p>
      <w:pPr>
        <w:jc w:val="both"/>
        <w:rPr>
          <w:noProof/>
        </w:rPr>
      </w:pPr>
      <w:r>
        <w:rPr>
          <w:rFonts w:ascii="Times New Roman" w:hAnsi="Times New Roman"/>
          <w:bCs/>
          <w:noProof/>
          <w:sz w:val="24"/>
        </w:rPr>
        <w:t>Като цяло, тъй като планираният дефицит е доста над 3 % от БВП и като се вземат предвид всички действащи фактори, анализът показва, че критерият за дефицит, определен в Договора и в Регламент (ЕО) № 1467/1997, не е изпълнен.</w:t>
      </w:r>
    </w:p>
    <w:p>
      <w:pPr>
        <w:spacing w:before="120" w:after="120" w:line="240" w:lineRule="auto"/>
        <w:jc w:val="both"/>
        <w:rPr>
          <w:rFonts w:ascii="Times New Roman" w:eastAsia="Times New Roman" w:hAnsi="Times New Roman" w:cs="Calibri"/>
          <w:bCs/>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 w:id="3">
    <w:p>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C2766E-B03F-4EE4-9C48-FEFBE58F711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4?\u1072?\u1085?\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26053982">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946934334">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3928954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82657865">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A8FC-5120-4271-AA00-4B25294A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1511</Words>
  <Characters>8269</Characters>
  <Application>Microsoft Office Word</Application>
  <DocSecurity>0</DocSecurity>
  <Lines>175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2019-05-13T14:09:00Z</cp:lastPrinted>
  <dcterms:created xsi:type="dcterms:W3CDTF">2020-05-18T14:31:00Z</dcterms:created>
  <dcterms:modified xsi:type="dcterms:W3CDTF">2020-06-03T15:38:00Z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