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EE234E-2AEC-4CF7-AC54-429C3AD85799"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Малта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 xml:space="preserve">Въведение </w:t>
      </w:r>
    </w:p>
    <w:p>
      <w:pPr>
        <w:autoSpaceDE w:val="0"/>
        <w:autoSpaceDN w:val="0"/>
        <w:adjustRightInd w:val="0"/>
        <w:spacing w:before="120" w:line="240" w:lineRule="auto"/>
        <w:jc w:val="both"/>
        <w:rPr>
          <w:rFonts w:eastAsia="Times New Roman" w:cs="Calibri"/>
          <w:noProof/>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малтийските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в Малта е достигнал 0,5 % от БВП през 2019 г., докато брутният консолидиран държавен дълг е бил 43,1 % от БВП. Според програмата за стабилност за 2020 г. Малта планира дефицит от 7,5 % от БВП през 2020 г., докато дългът се планира да бъде 54,5 %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съгласно определеното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от страна на Малта на критерия за дефицит по смисъла на Договора. Критерият за дълга може да се счита за изпълнен, тъй като съотношението на дълга към БВП е под предвидената в Договора референтна стойност от 60 % от БВП. В него се отчитат всички съответни фактори и се обръща необходимото внимание на сериозното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p>
    <w:tbl>
      <w:tblPr>
        <w:tblStyle w:val="TableGrid"/>
        <w:tblW w:w="0" w:type="auto"/>
        <w:tblLook w:val="04A0" w:firstRow="1" w:lastRow="0" w:firstColumn="1" w:lastColumn="0" w:noHBand="0" w:noVBand="1"/>
      </w:tblPr>
      <w:tblGrid>
        <w:gridCol w:w="1384"/>
        <w:gridCol w:w="2895"/>
        <w:gridCol w:w="799"/>
        <w:gridCol w:w="848"/>
        <w:gridCol w:w="848"/>
        <w:gridCol w:w="848"/>
        <w:gridCol w:w="821"/>
        <w:gridCol w:w="799"/>
      </w:tblGrid>
      <w:tr>
        <w:trPr>
          <w:trHeight w:val="603"/>
        </w:trPr>
        <w:tc>
          <w:tcPr>
            <w:tcW w:w="1384" w:type="dxa"/>
          </w:tcPr>
          <w:p>
            <w:pPr>
              <w:keepNext/>
              <w:jc w:val="center"/>
              <w:rPr>
                <w:rFonts w:ascii="Times New Roman" w:eastAsia="Times New Roman" w:hAnsi="Times New Roman" w:cs="Calibri"/>
                <w:noProof/>
                <w:sz w:val="20"/>
                <w:szCs w:val="20"/>
                <w:lang w:eastAsia="en-GB"/>
              </w:rPr>
            </w:pPr>
          </w:p>
        </w:tc>
        <w:tc>
          <w:tcPr>
            <w:tcW w:w="2895" w:type="dxa"/>
          </w:tcPr>
          <w:p>
            <w:pPr>
              <w:keepNext/>
              <w:jc w:val="center"/>
              <w:rPr>
                <w:rFonts w:ascii="Times New Roman" w:eastAsia="Times New Roman" w:hAnsi="Times New Roman" w:cs="Calibri"/>
                <w:noProof/>
                <w:sz w:val="20"/>
                <w:szCs w:val="20"/>
                <w:lang w:eastAsia="en-GB"/>
              </w:rPr>
            </w:pP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82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r>
      <w:tr>
        <w:tc>
          <w:tcPr>
            <w:tcW w:w="13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289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3.3</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82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-6,7</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r>
      <w:tr>
        <w:tc>
          <w:tcPr>
            <w:tcW w:w="13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289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55,5</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50,3</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45,6</w:t>
            </w:r>
          </w:p>
        </w:tc>
        <w:tc>
          <w:tcPr>
            <w:tcW w:w="8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43,1</w:t>
            </w:r>
          </w:p>
        </w:tc>
        <w:tc>
          <w:tcPr>
            <w:tcW w:w="82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50,7</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50,8</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Забележка: Евростат, Прогноза на Комисията от пролетта на 2020 г.</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Критерий</w:t>
      </w:r>
      <w:r>
        <w:rPr>
          <w:noProof/>
        </w:rPr>
        <w:t xml:space="preserve"> </w:t>
      </w:r>
      <w:r>
        <w:rPr>
          <w:b/>
          <w:smallCaps/>
          <w:noProof/>
        </w:rPr>
        <w:t>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се очаква дефицитът по консолидирания държавен бюджет на Малта през 2020 г. да достигне 7,5 % от БВП, което превишава значително предвидената в Договора референтна стойност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се предвижда свиване на реалния БВП с 5,8 % през 2020 г.</w:t>
      </w:r>
    </w:p>
    <w:p>
      <w:pPr>
        <w:spacing w:before="120" w:after="120" w:line="240" w:lineRule="auto"/>
        <w:jc w:val="both"/>
        <w:rPr>
          <w:rFonts w:ascii="Times New Roman" w:eastAsia="Calibri" w:hAnsi="Times New Roman" w:cs="Times New Roman"/>
          <w:noProof/>
          <w:spacing w:val="-4"/>
          <w:sz w:val="24"/>
          <w:szCs w:val="24"/>
          <w:highlight w:val="yellow"/>
        </w:rPr>
      </w:pPr>
      <w:r>
        <w:rPr>
          <w:rFonts w:ascii="Times New Roman" w:hAnsi="Times New Roman"/>
          <w:noProof/>
          <w:spacing w:val="-4"/>
          <w:sz w:val="24"/>
          <w:szCs w:val="24"/>
        </w:rPr>
        <w:t>Планираното превишение на предвидената в Договора референтна стойност ще бъде временно, съгласно прогнозата на Комисията от пролетта на 2020 г., в която се предвижда дефицитът по консолидирания държавен бюджет да спадне под 3 % от БВП през 2021 г. Тези прогнози обаче се отличават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обобщение планираният дефицит за 2020 г. превишава значително предвидената в Договора референтна стойност от 3 % от БВП. Планираното превишение се счита за извънредно съгласно определеното в Договора и в Пакта за стабилност и растеж, а характерът на превишението понастоящем се счита за временен. Следователно анализът показва, че</w:t>
      </w:r>
      <w:r>
        <w:rPr>
          <w:rFonts w:ascii="Times New Roman" w:hAnsi="Times New Roman"/>
          <w:noProof/>
          <w:sz w:val="24"/>
        </w:rPr>
        <w:t xml:space="preserve">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съгласно определеното в Договора и в Регламент (ЕО) № 1467/97 не е изпълнен.</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Действащи фактори</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взема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Тези фактори са изяснени допълнително в член 2, параграф 3 от Регламент (ЕО) № 1467/97, който предвижда също,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COVID-19, което оказва значително въздействие върху състоянието на бюджета и води до твърде несигурни перспективи. Пандемията също така доведе до активирането на общата клауза за дерогация.</w:t>
      </w:r>
    </w:p>
    <w:p>
      <w:pPr>
        <w:pStyle w:val="ListParagraph"/>
        <w:keepNext/>
        <w:numPr>
          <w:ilvl w:val="1"/>
          <w:numId w:val="45"/>
        </w:numPr>
        <w:tabs>
          <w:tab w:val="left" w:pos="850"/>
        </w:tabs>
        <w:spacing w:before="360" w:after="120"/>
        <w:jc w:val="both"/>
        <w:outlineLvl w:val="0"/>
        <w:rPr>
          <w:rFonts w:eastAsia="Times New Roman"/>
          <w:b/>
          <w:noProof/>
        </w:rPr>
      </w:pPr>
      <w:r>
        <w:rPr>
          <w:b/>
          <w:noProof/>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също така значителни мерки за подкрепа за ликвидност, както и други гаранции. При условие че се предостави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pStyle w:val="ListParagraph"/>
        <w:keepNext/>
        <w:numPr>
          <w:ilvl w:val="1"/>
          <w:numId w:val="45"/>
        </w:numPr>
        <w:tabs>
          <w:tab w:val="left" w:pos="850"/>
        </w:tabs>
        <w:spacing w:before="360" w:after="120"/>
        <w:jc w:val="both"/>
        <w:outlineLvl w:val="0"/>
        <w:rPr>
          <w:rFonts w:eastAsia="Times New Roman"/>
          <w:b/>
          <w:noProof/>
        </w:rPr>
      </w:pPr>
      <w:r>
        <w:rPr>
          <w:b/>
          <w:noProof/>
        </w:rPr>
        <w:t xml:space="preserve">Състояние на икономиката в средносрочен план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Годишният ръст на реалния БВП в Малта от 7,3 % през 2018 г. и 4,4 % през 2019 г. се дължи на вътрешното търсене, подкрепено от силно частно потребление и инвестиции. През 2020 г. икономиката на Малта ще бъде сериозно засегната от пандемията от COVID-19. В програмата за стабилност се приема, че БВП ще намалее с около 5½ % през 2020 г., преди да се възстанови до известна степен през 2021 г. Според прогнозата на Комисията от пролетта на 2020 г. се очаква БВП да се свие с около 5¾ %. Очаква се частното потребление да намалее поради въвеждането на ограничителни мерки и затварянето на предприятия, които не са от съществено значение. Очаква се също така инвестициите да намалеят, въпреки продължаването на някои широкомащабни инвестиционни проекти в областта на здравеопазването и инфраструктурата. Очаква се слабата външна среда да доведе до значителен спад на износа на услуги, което отразява и спирането на туризма. Спадът във вноса ще бъде по-нисък, което отразява главно намаляващото търсене на вътрешния пазар. Това е смекчаващ фактор за оценката на спазването от страна на Малта на критерия за дефицит през 2020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икономиката да се възстанови през 2021 г., тъй като се предвижда намаляването на общите ограничения да стимулира отново търсенето на вътрешния пазар. Въпреки това Малта е малка отворена икономика и следователно нейните икономически перспективи са много чувствителни към несигурността в световен мащаб и резултатите на нейните търговски партньори. В средносрочен план от Малта се очаква растежът да продължи и тенденцията да се прояви по-ярко от средното равнище за Съюза. Потенциалният растеж в Малта се подкрепя от увеличаването на броя на населението, натрупването на капитал и ръста на производителността. </w:t>
      </w:r>
    </w:p>
    <w:p>
      <w:pPr>
        <w:pStyle w:val="ListParagraph"/>
        <w:keepNext/>
        <w:numPr>
          <w:ilvl w:val="1"/>
          <w:numId w:val="45"/>
        </w:numPr>
        <w:tabs>
          <w:tab w:val="left" w:pos="850"/>
        </w:tabs>
        <w:spacing w:before="360" w:after="120"/>
        <w:jc w:val="both"/>
        <w:outlineLvl w:val="0"/>
        <w:rPr>
          <w:rFonts w:eastAsia="Times New Roman"/>
          <w:b/>
          <w:noProof/>
          <w:szCs w:val="24"/>
        </w:rPr>
      </w:pPr>
      <w:r>
        <w:rPr>
          <w:b/>
          <w:noProof/>
          <w:szCs w:val="24"/>
        </w:rPr>
        <w:t>Състояние на бюджета в средносрочен план</w:t>
      </w:r>
    </w:p>
    <w:p>
      <w:pPr>
        <w:spacing w:before="120" w:after="120" w:line="240" w:lineRule="auto"/>
        <w:jc w:val="both"/>
        <w:rPr>
          <w:rFonts w:ascii="Times New Roman" w:hAnsi="Times New Roman" w:cs="Times New Roman"/>
          <w:noProof/>
          <w:sz w:val="24"/>
        </w:rPr>
      </w:pPr>
      <w:bookmarkStart w:id="2" w:name="Corrective_arm"/>
      <w:r>
        <w:rPr>
          <w:rFonts w:ascii="Times New Roman" w:hAnsi="Times New Roman"/>
          <w:noProof/>
          <w:sz w:val="24"/>
          <w:szCs w:val="24"/>
        </w:rPr>
        <w:t>По отношение на Малта се прилагат предпазните мерки на Пакта за стабилност и растеж, а през 2019 г. тя трябваше да осигури непрекъснато спазване на средносрочната бюджетна цел (балансиран бюджет в структурно изражение).</w:t>
      </w:r>
      <w:bookmarkEnd w:id="2"/>
      <w:r>
        <w:rPr>
          <w:rFonts w:ascii="Times New Roman" w:hAnsi="Times New Roman"/>
          <w:noProof/>
          <w:sz w:val="24"/>
          <w:szCs w:val="24"/>
        </w:rPr>
        <w:t xml:space="preserve"> Въз основа на данните за изпълнението и прогнозата на Комисията от пролетта на 2020 г. и двата стълба сочат известно отклонение. По-конкретно нарастването на нетните публични разходи надвишаваше размера, разрешен в рамките на целевия показател за разходите, а структурното салдо през 2019 г. се влоши след разрешеното структурно влошаване. </w:t>
      </w:r>
      <w:r>
        <w:rPr>
          <w:rFonts w:ascii="Times New Roman" w:hAnsi="Times New Roman"/>
          <w:noProof/>
          <w:sz w:val="24"/>
        </w:rPr>
        <w:t>Така цялостната оценка сочи известно отклонение от изискванията на Пакта за стабилност и растеж през 2019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програмата за стабилност на Малта за 2020 г. се предвижда значително влошаване на публичните финанси от излишък от 0,5 % от БВП през 2019 г. до дефицит от 7,5 % от БВП по време на пандемията от COVID-19. Бюджетният пакет за справяне с отрицателното въздействие на пандемията се оценява на 4,1 % от БВП и е насочен предимно към надбавките за заплати, специалните социални помощи и допълнителните разходи за здравеопазване. Освен това правителството отложи плащането на данъци и предостави гаранции за около 2,8 % от БВП, по отношение на което статистическите органи трябва да проучат дали има незабавно въздействие върху бюджета от началото. Дефицитът отразява също и очакван спад в приходната част, който отразява главно спадащото потребление на домакинствата. Очаква се през 2021 г. дефицитът да намалее до 3,6 % от БВП. Тази прогноза зависи силно от предполагаемо скромното икономическо възстановяване, дължащо се главно на търсенето на вътрешния пазар, което се очаква да подкрепи постъпленията както от преките данъци, доколкото потреблението се възстановява, така и от косвените данъци, отразяващи подобренията на пазара на труда. Очаква се държавните разходи да намалеят, тъй като временната подкрепа за политиката се прекратява. В средносрочен план програмата за стабилност се ангажира да върне низходящата тенденция в съотношението на дълга към БВП и да се върне към средносрочната бюджетна цел за балансиран в структурно отношение бюджет.</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pacing w:val="-4"/>
          <w:sz w:val="24"/>
          <w:highlight w:val="yellow"/>
        </w:rPr>
      </w:pPr>
      <w:r>
        <w:rPr>
          <w:rFonts w:ascii="Times New Roman" w:hAnsi="Times New Roman"/>
          <w:bCs/>
          <w:noProof/>
          <w:spacing w:val="-4"/>
          <w:sz w:val="24"/>
        </w:rPr>
        <w:t xml:space="preserve">На 12 май 2020 г. малтийските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Допълнителните фактори, които не са споменати по-горе, са свързани с укрепването на фискалната рамка, особено институционализирането на прегледите на разходите. </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 xml:space="preserve"> 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стабилност се планира дефицитът по консолидирания държавен бюджет на Малта през 2020 г. да нарасне до 7,5 % от БВП, което превишава значително предвидената в Договора референтна стойност от 3 % от БВП. Планираното превишение на референтната стойност се счита за изключение и понастоящем се счита за временно.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действащите фактори. </w:t>
      </w:r>
      <w:r>
        <w:rPr>
          <w:rFonts w:ascii="Times New Roman" w:hAnsi="Times New Roman"/>
          <w:noProof/>
          <w:sz w:val="24"/>
        </w:rPr>
        <w:t xml:space="preserve">Като цяло, тъй като планираният дефицит е доста над 3 % от БВП и като се вземат предвид всички действащи фактори, анализът показва, че критерият за дефицит, определен в Договора и в Регламент (ЕО) № 1467/1997, не е изпълнен.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6033D"/>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935B2"/>
    <w:multiLevelType w:val="multilevel"/>
    <w:tmpl w:val="08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2837930"/>
    <w:multiLevelType w:val="hybridMultilevel"/>
    <w:tmpl w:val="9976D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A953298"/>
    <w:multiLevelType w:val="hybridMultilevel"/>
    <w:tmpl w:val="6BC4A2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8">
    <w:nsid w:val="6DC44E02"/>
    <w:multiLevelType w:val="hybridMultilevel"/>
    <w:tmpl w:val="DF56A64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nsid w:val="779607FB"/>
    <w:multiLevelType w:val="hybridMultilevel"/>
    <w:tmpl w:val="9CF4B8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8"/>
  </w:num>
  <w:num w:numId="2">
    <w:abstractNumId w:val="41"/>
  </w:num>
  <w:num w:numId="3">
    <w:abstractNumId w:val="10"/>
  </w:num>
  <w:num w:numId="4">
    <w:abstractNumId w:val="2"/>
  </w:num>
  <w:num w:numId="5">
    <w:abstractNumId w:val="1"/>
  </w:num>
  <w:num w:numId="6">
    <w:abstractNumId w:val="35"/>
  </w:num>
  <w:num w:numId="7">
    <w:abstractNumId w:val="5"/>
  </w:num>
  <w:num w:numId="8">
    <w:abstractNumId w:val="14"/>
  </w:num>
  <w:num w:numId="9">
    <w:abstractNumId w:val="45"/>
  </w:num>
  <w:num w:numId="10">
    <w:abstractNumId w:val="15"/>
  </w:num>
  <w:num w:numId="11">
    <w:abstractNumId w:val="30"/>
  </w:num>
  <w:num w:numId="12">
    <w:abstractNumId w:val="23"/>
  </w:num>
  <w:num w:numId="13">
    <w:abstractNumId w:val="40"/>
  </w:num>
  <w:num w:numId="14">
    <w:abstractNumId w:val="44"/>
  </w:num>
  <w:num w:numId="15">
    <w:abstractNumId w:val="27"/>
  </w:num>
  <w:num w:numId="16">
    <w:abstractNumId w:val="17"/>
  </w:num>
  <w:num w:numId="17">
    <w:abstractNumId w:val="34"/>
  </w:num>
  <w:num w:numId="18">
    <w:abstractNumId w:val="12"/>
  </w:num>
  <w:num w:numId="19">
    <w:abstractNumId w:val="18"/>
  </w:num>
  <w:num w:numId="20">
    <w:abstractNumId w:val="9"/>
  </w:num>
  <w:num w:numId="21">
    <w:abstractNumId w:val="32"/>
  </w:num>
  <w:num w:numId="22">
    <w:abstractNumId w:val="7"/>
  </w:num>
  <w:num w:numId="23">
    <w:abstractNumId w:val="19"/>
  </w:num>
  <w:num w:numId="24">
    <w:abstractNumId w:val="25"/>
  </w:num>
  <w:num w:numId="25">
    <w:abstractNumId w:val="26"/>
  </w:num>
  <w:num w:numId="26">
    <w:abstractNumId w:val="11"/>
  </w:num>
  <w:num w:numId="27">
    <w:abstractNumId w:val="22"/>
  </w:num>
  <w:num w:numId="28">
    <w:abstractNumId w:val="43"/>
  </w:num>
  <w:num w:numId="29">
    <w:abstractNumId w:val="0"/>
  </w:num>
  <w:num w:numId="30">
    <w:abstractNumId w:val="20"/>
  </w:num>
  <w:num w:numId="31">
    <w:abstractNumId w:val="31"/>
  </w:num>
  <w:num w:numId="32">
    <w:abstractNumId w:val="13"/>
  </w:num>
  <w:num w:numId="33">
    <w:abstractNumId w:val="24"/>
  </w:num>
  <w:num w:numId="34">
    <w:abstractNumId w:val="6"/>
  </w:num>
  <w:num w:numId="35">
    <w:abstractNumId w:val="21"/>
  </w:num>
  <w:num w:numId="36">
    <w:abstractNumId w:val="33"/>
  </w:num>
  <w:num w:numId="37">
    <w:abstractNumId w:val="15"/>
  </w:num>
  <w:num w:numId="38">
    <w:abstractNumId w:val="42"/>
  </w:num>
  <w:num w:numId="39">
    <w:abstractNumId w:val="16"/>
  </w:num>
  <w:num w:numId="40">
    <w:abstractNumId w:val="3"/>
  </w:num>
  <w:num w:numId="41">
    <w:abstractNumId w:val="4"/>
  </w:num>
  <w:num w:numId="42">
    <w:abstractNumId w:val="38"/>
  </w:num>
  <w:num w:numId="43">
    <w:abstractNumId w:val="39"/>
  </w:num>
  <w:num w:numId="44">
    <w:abstractNumId w:val="36"/>
  </w:num>
  <w:num w:numId="45">
    <w:abstractNumId w:val="8"/>
  </w:num>
  <w:num w:numId="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EE234E-2AEC-4CF7-AC54-429C3AD8579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2?\u1072?\u1083?\u1090?\u1072?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6439584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144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95A2-A8DE-4D68-B1CE-8E35EC6D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1798</Words>
  <Characters>9912</Characters>
  <Application>Microsoft Office Word</Application>
  <DocSecurity>0</DocSecurity>
  <Lines>194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2019-05-13T14:09:00Z</cp:lastPrinted>
  <dcterms:created xsi:type="dcterms:W3CDTF">2020-05-18T14:53:00Z</dcterms:created>
  <dcterms:modified xsi:type="dcterms:W3CDTF">2020-06-03T14:45:00Z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