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3450D3-8F11-462A-8936-92EDDC2EAC4E"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Кипър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jc w:val="center"/>
        <w:rPr>
          <w:b/>
          <w:noProof/>
          <w:color w:val="FF0000"/>
          <w:sz w:val="24"/>
          <w:highlight w:val="cyan"/>
        </w:rPr>
      </w:pPr>
    </w:p>
    <w:p>
      <w:pP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кипърските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xml:space="preserve"> показват, че излишъкът по консолидирания държавен бюджет в Кипър е достигнал 1,7 % от БВП през 2019 г., а брутният консолидиран държавен дълг е възлизал на 95,5 % от БВП</w:t>
      </w:r>
      <w:r>
        <w:rPr>
          <w:rStyle w:val="FootnoteReference"/>
          <w:rFonts w:eastAsiaTheme="minorHAnsi"/>
          <w:noProof/>
        </w:rPr>
        <w:footnoteReference w:id="3"/>
      </w:r>
      <w:r>
        <w:rPr>
          <w:rFonts w:ascii="Times New Roman" w:hAnsi="Times New Roman"/>
          <w:noProof/>
          <w:sz w:val="24"/>
          <w:szCs w:val="24"/>
        </w:rPr>
        <w:t>. Според програмата за стабилност за 2020 г. Кипър планира дефицит от 4,3 % от БВП през 2020 г., докато дългът се планира да бъде 116,8 %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съгласно определеното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pacing w:val="-4"/>
          <w:sz w:val="24"/>
          <w:szCs w:val="24"/>
        </w:rPr>
      </w:pPr>
      <w:r>
        <w:rPr>
          <w:rFonts w:ascii="Times New Roman" w:hAnsi="Times New Roman"/>
          <w:noProof/>
          <w:spacing w:val="-4"/>
          <w:sz w:val="24"/>
          <w:szCs w:val="24"/>
        </w:rPr>
        <w:lastRenderedPageBreak/>
        <w:t xml:space="preserve">Освен това данните за 2019 г. предполагат неспазване на целевия показател за намаляване на дълга, който също така предоставя </w:t>
      </w:r>
      <w:r>
        <w:rPr>
          <w:rFonts w:ascii="Times New Roman" w:hAnsi="Times New Roman"/>
          <w:i/>
          <w:noProof/>
          <w:spacing w:val="-4"/>
          <w:sz w:val="24"/>
          <w:szCs w:val="24"/>
        </w:rPr>
        <w:t>prima facie</w:t>
      </w:r>
      <w:r>
        <w:rPr>
          <w:rFonts w:ascii="Times New Roman" w:hAnsi="Times New Roman"/>
          <w:noProof/>
          <w:spacing w:val="-4"/>
          <w:sz w:val="24"/>
          <w:szCs w:val="24"/>
        </w:rPr>
        <w:t xml:space="preserve"> доказателство за наличието на прекомерен дефицит съгласно определеното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анализира съответствието на Кипър с критериите за дефицита и за дълга по смисъла на Договора. В него се оценяват всички съответни фактори и се обръща необходимото внимание на голямото икономическо сътресение, свързано с пандемията от COVID-19. </w:t>
      </w:r>
    </w:p>
    <w:p>
      <w:pPr>
        <w:autoSpaceDE w:val="0"/>
        <w:autoSpaceDN w:val="0"/>
        <w:adjustRightInd w:val="0"/>
        <w:spacing w:before="240" w:after="120"/>
        <w:jc w:val="both"/>
        <w:rPr>
          <w:rFonts w:ascii="Times New Roman" w:eastAsia="Times New Roman" w:hAnsi="Times New Roman" w:cs="Times New Roman"/>
          <w:b/>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292"/>
        <w:gridCol w:w="2983"/>
        <w:gridCol w:w="883"/>
        <w:gridCol w:w="799"/>
        <w:gridCol w:w="799"/>
        <w:gridCol w:w="799"/>
        <w:gridCol w:w="883"/>
        <w:gridCol w:w="804"/>
      </w:tblGrid>
      <w:tr>
        <w:trPr>
          <w:trHeight w:val="603"/>
        </w:trPr>
        <w:tc>
          <w:tcPr>
            <w:tcW w:w="1327" w:type="dxa"/>
          </w:tcPr>
          <w:p>
            <w:pPr>
              <w:keepNext/>
              <w:jc w:val="center"/>
              <w:rPr>
                <w:rFonts w:ascii="Times New Roman" w:eastAsia="Times New Roman" w:hAnsi="Times New Roman" w:cs="Calibri"/>
                <w:noProof/>
                <w:sz w:val="20"/>
                <w:szCs w:val="20"/>
                <w:lang w:eastAsia="en-GB"/>
              </w:rPr>
            </w:pPr>
          </w:p>
        </w:tc>
        <w:tc>
          <w:tcPr>
            <w:tcW w:w="3176" w:type="dxa"/>
          </w:tcPr>
          <w:p>
            <w:pPr>
              <w:keepNext/>
              <w:jc w:val="center"/>
              <w:rPr>
                <w:rFonts w:ascii="Times New Roman" w:eastAsia="Times New Roman" w:hAnsi="Times New Roman" w:cs="Calibri"/>
                <w:noProof/>
                <w:sz w:val="20"/>
                <w:szCs w:val="20"/>
                <w:lang w:eastAsia="en-GB"/>
              </w:rPr>
            </w:pPr>
          </w:p>
        </w:tc>
        <w:tc>
          <w:tcPr>
            <w:tcW w:w="6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88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w:t>
            </w:r>
          </w:p>
        </w:tc>
        <w:tc>
          <w:tcPr>
            <w:tcW w:w="80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w:t>
            </w:r>
          </w:p>
        </w:tc>
      </w:tr>
      <w:tr>
        <w:tc>
          <w:tcPr>
            <w:tcW w:w="132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317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6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0,3 %</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2 %</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-3,7</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w:t>
            </w:r>
          </w:p>
        </w:tc>
        <w:tc>
          <w:tcPr>
            <w:tcW w:w="88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-7 %</w:t>
            </w:r>
          </w:p>
        </w:tc>
        <w:tc>
          <w:tcPr>
            <w:tcW w:w="80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-1,8 %</w:t>
            </w:r>
          </w:p>
        </w:tc>
      </w:tr>
      <w:tr>
        <w:tc>
          <w:tcPr>
            <w:tcW w:w="132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317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6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103,4 %</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93,9 %</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100,6</w:t>
            </w: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95,5</w:t>
            </w:r>
          </w:p>
        </w:tc>
        <w:tc>
          <w:tcPr>
            <w:tcW w:w="88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115,7 %</w:t>
            </w:r>
          </w:p>
        </w:tc>
        <w:tc>
          <w:tcPr>
            <w:tcW w:w="80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105 %</w:t>
            </w:r>
          </w:p>
        </w:tc>
      </w:tr>
      <w:tr>
        <w:tc>
          <w:tcPr>
            <w:tcW w:w="1327" w:type="dxa"/>
          </w:tcPr>
          <w:p>
            <w:pPr>
              <w:keepNext/>
              <w:jc w:val="center"/>
              <w:rPr>
                <w:rFonts w:ascii="Times New Roman" w:eastAsia="Times New Roman" w:hAnsi="Times New Roman" w:cs="Calibri"/>
                <w:noProof/>
                <w:sz w:val="20"/>
                <w:szCs w:val="20"/>
                <w:lang w:eastAsia="en-GB"/>
              </w:rPr>
            </w:pPr>
          </w:p>
        </w:tc>
        <w:tc>
          <w:tcPr>
            <w:tcW w:w="317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Отклонение от целевия показател за намаляване на дълга</w:t>
            </w:r>
          </w:p>
        </w:tc>
        <w:tc>
          <w:tcPr>
            <w:tcW w:w="654" w:type="dxa"/>
          </w:tcPr>
          <w:p>
            <w:pPr>
              <w:keepNext/>
              <w:jc w:val="center"/>
              <w:rPr>
                <w:rFonts w:ascii="Times New Roman" w:eastAsia="Times New Roman" w:hAnsi="Times New Roman" w:cs="Calibri"/>
                <w:noProof/>
                <w:sz w:val="20"/>
                <w:szCs w:val="20"/>
                <w:lang w:eastAsia="en-GB"/>
              </w:rPr>
            </w:pPr>
          </w:p>
        </w:tc>
        <w:tc>
          <w:tcPr>
            <w:tcW w:w="799" w:type="dxa"/>
          </w:tcPr>
          <w:p>
            <w:pPr>
              <w:keepNext/>
              <w:jc w:val="center"/>
              <w:rPr>
                <w:rFonts w:ascii="Times New Roman" w:eastAsia="Times New Roman" w:hAnsi="Times New Roman" w:cs="Calibri"/>
                <w:noProof/>
                <w:sz w:val="20"/>
                <w:szCs w:val="20"/>
                <w:lang w:eastAsia="en-GB"/>
              </w:rPr>
            </w:pPr>
          </w:p>
        </w:tc>
        <w:tc>
          <w:tcPr>
            <w:tcW w:w="799" w:type="dxa"/>
          </w:tcPr>
          <w:p>
            <w:pPr>
              <w:keepNext/>
              <w:jc w:val="center"/>
              <w:rPr>
                <w:rFonts w:ascii="Times New Roman" w:eastAsia="Times New Roman" w:hAnsi="Times New Roman" w:cs="Calibri"/>
                <w:noProof/>
                <w:sz w:val="20"/>
                <w:szCs w:val="20"/>
                <w:lang w:eastAsia="en-GB"/>
              </w:rPr>
            </w:pPr>
          </w:p>
        </w:tc>
        <w:tc>
          <w:tcPr>
            <w:tcW w:w="79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88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3,0 %</w:t>
            </w:r>
          </w:p>
        </w:tc>
        <w:tc>
          <w:tcPr>
            <w:tcW w:w="80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-0,4 %</w:t>
            </w:r>
          </w:p>
        </w:tc>
      </w:tr>
    </w:tbl>
    <w:p>
      <w:pPr>
        <w:keepNext/>
        <w:spacing w:before="120" w:after="0" w:line="240" w:lineRule="auto"/>
        <w:rPr>
          <w:rFonts w:ascii="Times New Roman" w:eastAsia="Times New Roman" w:hAnsi="Times New Roman" w:cs="Calibri"/>
          <w:noProof/>
          <w:sz w:val="24"/>
        </w:rPr>
      </w:pPr>
      <w:r>
        <w:rPr>
          <w:rFonts w:ascii="Times New Roman" w:hAnsi="Times New Roman"/>
          <w:noProof/>
          <w:sz w:val="20"/>
          <w:szCs w:val="20"/>
        </w:rPr>
        <w:t>Източник на бележката: Евростат, Прогноза на Комисията от пролетта на 2020 г.</w:t>
      </w:r>
    </w:p>
    <w:p>
      <w:pPr>
        <w:pStyle w:val="ManualHeading1"/>
        <w:rPr>
          <w:noProof/>
        </w:rPr>
      </w:pPr>
      <w:r>
        <w:rPr>
          <w:smallCaps w:val="0"/>
          <w:noProof/>
        </w:rPr>
        <w:t>2.</w:t>
      </w:r>
      <w:r>
        <w:rPr>
          <w:noProof/>
        </w:rPr>
        <w:tab/>
        <w:t>Критерий за</w:t>
      </w:r>
      <w:r>
        <w:rPr>
          <w:b w:val="0"/>
          <w:smallCaps w:val="0"/>
          <w:noProof/>
        </w:rPr>
        <w:t xml:space="preserve"> </w:t>
      </w:r>
      <w:r>
        <w:rPr>
          <w:noProof/>
        </w:rPr>
        <w:t xml:space="preserve">дефицита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се очаква дефицитът по консолидирания държавен бюджет на Кипър през 2020 г. да достигне 4,3 % от БВП, което превишава значително предвидената в Договора референтна стойност от 3 % от БВП. Очаква се дефицитът да се дължи предимно на увеличаващите дефицита фискални последици от мерките, приети от правителството за борба с пандемията (оценени на 4,4 % от БВП) и на предполагаемото свиване на данъчните приходи след влошаването на макроикономическото положение.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превишение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на 2020 г. се предвижда свиване на растежа на реалния БВП със 7,4 % през 2020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предвидената в Договора референтна стойност ще бъде временно, съгласно прогнозата на Комисията от пролетта на 2020 г., в която се предвижда дефицитът да спадне под 3 % от БВП през 2021 г. Тези прогнози обаче се отличават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обобщение планираният дефицит за 2020 г. превишава значително предвидената в Договора референтна стойност от 3 % от БВП. Превишението се счита за извънредно съгласно определеното в Договора и в Пакта за стабилност и растеж, а характерът на превишението понастоящем се счита за временен. Следователно анализът показва, че</w:t>
      </w:r>
      <w:r>
        <w:rPr>
          <w:rFonts w:ascii="Times New Roman" w:hAnsi="Times New Roman"/>
          <w:noProof/>
          <w:sz w:val="24"/>
        </w:rPr>
        <w:t xml:space="preserve"> </w:t>
      </w:r>
      <w:r>
        <w:rPr>
          <w:rFonts w:ascii="Times New Roman" w:hAnsi="Times New Roman"/>
          <w:i/>
          <w:noProof/>
          <w:sz w:val="24"/>
          <w:szCs w:val="24"/>
        </w:rPr>
        <w:t>prima facie</w:t>
      </w:r>
      <w:r>
        <w:rPr>
          <w:rFonts w:ascii="Times New Roman" w:hAnsi="Times New Roman"/>
          <w:noProof/>
          <w:sz w:val="24"/>
          <w:szCs w:val="24"/>
        </w:rPr>
        <w:t xml:space="preserve"> критерият за дефицита съгласно определеното в Договора и в Регламент (ЕО) № 1467/97 не е изпълнен.</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След като намаля значително до 93,9 % от БВП през 2017 г., съотношението на държавния дълг към БВП нарасна до 100,6 % през 2018 г. Увеличението се дължеше главно на емитирането на редица държавни облигации (3,2 милиарда евро, над 15 % от БВП) за финансиране на еднократната държавна помощ за продажбата и организираното спиране на дейността на Cyprus Cooperative Bank (CCB).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Съотношението на държавния дълг спрямо БВП намаля значително до 95,5 % през 2019 г. от 100,6 % от БВП през 2018 г. Намалението на дълга се дължеше на значителен номинален бюджетен излишък, съчетан с растеж на номиналния БВП. Това беше частично компенсирано от нарастването на дълга в резултат на въздействието на увеличаващите дълга корекции наличности-потоци през 2019 г. (+ 0,4 % от БВП), което отрази увеличените парични резерви, държани от правителството.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Предоставените данни показват, че през 2019 г. Кипър не е спазил целевия показател за намаляване на дълга (вж. таблица 1), тъй като разликата спрямо показателя е 0,1 % от БВП. </w:t>
      </w:r>
    </w:p>
    <w:p>
      <w:pPr>
        <w:pStyle w:val="ListDash"/>
        <w:numPr>
          <w:ilvl w:val="0"/>
          <w:numId w:val="0"/>
        </w:numPr>
        <w:rPr>
          <w:noProof/>
        </w:rPr>
      </w:pPr>
      <w:r>
        <w:rPr>
          <w:noProof/>
        </w:rPr>
        <w:t xml:space="preserve">Следователно анализът показва, че въз основа на данните за резултатите за 2019 г. </w:t>
      </w:r>
      <w:r>
        <w:rPr>
          <w:i/>
          <w:noProof/>
        </w:rPr>
        <w:t>prima facie</w:t>
      </w:r>
      <w:r>
        <w:rPr>
          <w:noProof/>
        </w:rPr>
        <w:t xml:space="preserve"> критерият за дълга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Действащи фактори</w:t>
      </w:r>
    </w:p>
    <w:p>
      <w:pPr>
        <w:autoSpaceDE w:val="0"/>
        <w:autoSpaceDN w:val="0"/>
        <w:adjustRightInd w:val="0"/>
        <w:spacing w:before="120" w:after="0" w:line="240" w:lineRule="auto"/>
        <w:jc w:val="both"/>
        <w:rPr>
          <w:rFonts w:ascii="Times New Roman" w:eastAsia="Times New Roman" w:hAnsi="Times New Roman" w:cs="Calibri"/>
          <w:noProof/>
          <w:spacing w:val="-4"/>
          <w:sz w:val="24"/>
          <w:szCs w:val="24"/>
        </w:rPr>
      </w:pPr>
      <w:r>
        <w:rPr>
          <w:rFonts w:ascii="Times New Roman" w:hAnsi="Times New Roman"/>
          <w:noProof/>
          <w:spacing w:val="-4"/>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взема предвид дали бюджетният дефицит надвишава държавните инвестиционни разходи, както и всички останали действащи фактори, включително средносрочното икономическо и бюджетно състояние на държавата членка“.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Тези фактори са изяснени допълнително в член 2, параграф 3 от Регламент (ЕО) № 1467/97, който предвижда също,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За явното нарушение на критерия за дълга, анализът на действащите фактори е особено основателен,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при оценката на спазването на критерия за дълга се вземат предвид всички действащи фактори, независимо от размера на нарушението. </w:t>
      </w:r>
      <w:r>
        <w:rPr>
          <w:rFonts w:ascii="Times New Roman" w:hAnsi="Times New Roman"/>
          <w:noProof/>
          <w:sz w:val="24"/>
          <w:szCs w:val="24"/>
        </w:rPr>
        <w:t>В това отношение, когато се оценява спазването на критерия за дълга, трябва да се разгледат най-малко следните три основни аспекта с оглед на тяхното въздействие върху динамиката и устойчивостта на дълга: i) придържането към СБЦ или към плана за корекции за постигането ѝ, ii) изпълнението на структурните реформи и iii) преобладаващите икономически условия.</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szCs w:val="24"/>
        </w:rPr>
        <w:t xml:space="preserve">Както е посочено в член 2, параграф 4 от Регламент (ЕО) № 1467/97, що се отнася до спазването на критерия за дефицит обаче през 2020 г.,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действащи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Кипър. </w:t>
      </w:r>
      <w:r>
        <w:rPr>
          <w:rFonts w:ascii="Times New Roman" w:hAnsi="Times New Roman"/>
          <w:noProof/>
          <w:sz w:val="24"/>
        </w:rPr>
        <w:t>В настоящата ситуация основен допълнителен фактор, който трябва да се вземе под внимание по отношение на 2020 г., е икономическото въздействие на пандемията от COVID-19, което оказва значително въздействие върху състоянието на бюджета и води до твърде несигурни перспективи. Пандемията също така доведе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Бяха приети също така значителни мерки за подкрепа за ликвидност, както и други гаранции. При условие че се предостави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24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Състояние на икономиката в средносрочен план, включително структурни реформи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От 2016 г. насам растежът на реалния БВП нараства все повече над потенциалното равнище, което се дължи на потреблението. Номиналният растеж също е много силен от 2016 г. насам. Следователно не може да се твърди, че макроикономическите условия са смекчаващ фактор, обясняващ липсата на достатъчен напредък на Кипър за постигането на целевия показател за намаляване на дълга през 2019 г.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В резултат на пандемията от COVID-19 в </w:t>
      </w:r>
      <w:r>
        <w:rPr>
          <w:rFonts w:ascii="Times New Roman" w:hAnsi="Times New Roman"/>
          <w:bCs/>
          <w:noProof/>
          <w:sz w:val="24"/>
          <w:szCs w:val="24"/>
        </w:rPr>
        <w:t>прогнозата на Комисията от пролетта на 2020 г.</w:t>
      </w:r>
      <w:r>
        <w:rPr>
          <w:rFonts w:ascii="Times New Roman" w:hAnsi="Times New Roman"/>
          <w:noProof/>
          <w:sz w:val="24"/>
          <w:szCs w:val="24"/>
        </w:rPr>
        <w:t xml:space="preserve"> се предвижда БВП да намалее с почти 7½ % през 2020 г., което отразява смущенията в икономическата активност, причинени от ограниченията за пътуване и мерките за изолация, както и очакваният значителен спад на външното търсене на услуги, и по-специално в туризма. Макроикономическата перспектива се характеризира със значителна степен на несигурност, свързана с продължителността на пандемията и нейното икономическо въздействие. </w:t>
      </w:r>
      <w:r>
        <w:rPr>
          <w:rFonts w:ascii="Times New Roman" w:hAnsi="Times New Roman"/>
          <w:iCs/>
          <w:noProof/>
          <w:sz w:val="24"/>
          <w:szCs w:val="24"/>
        </w:rPr>
        <w:t>Tова е смекчаващ фактор при оценката на съответствието на Кипър с критерия за дефицит през 2020 г.</w:t>
      </w:r>
    </w:p>
    <w:p>
      <w:pPr>
        <w:spacing w:before="120" w:after="120" w:line="240" w:lineRule="auto"/>
        <w:jc w:val="both"/>
        <w:rPr>
          <w:rFonts w:ascii="Times New Roman" w:hAnsi="Times New Roman"/>
          <w:bCs/>
          <w:noProof/>
          <w:sz w:val="24"/>
        </w:rPr>
      </w:pPr>
      <w:r>
        <w:rPr>
          <w:rFonts w:ascii="Times New Roman" w:hAnsi="Times New Roman"/>
          <w:bCs/>
          <w:noProof/>
          <w:sz w:val="24"/>
        </w:rPr>
        <w:t>В своя доклад по държави от 2020 г.</w:t>
      </w:r>
      <w:r>
        <w:rPr>
          <w:rStyle w:val="FootnoteReference"/>
          <w:rFonts w:eastAsiaTheme="minorHAnsi"/>
          <w:noProof/>
          <w:sz w:val="24"/>
          <w:szCs w:val="24"/>
          <w:lang w:eastAsia="en-US"/>
        </w:rPr>
        <w:footnoteReference w:id="4"/>
      </w:r>
      <w:r>
        <w:rPr>
          <w:rFonts w:ascii="Times New Roman" w:hAnsi="Times New Roman"/>
          <w:bCs/>
          <w:noProof/>
          <w:sz w:val="24"/>
        </w:rPr>
        <w:t xml:space="preserve"> Комисията прецени, че Кипър като цяло е постигнал ограничен напредък по изпълнението на специфичните за всяка държава препоръки за 2019 г. По-конкретно Кипър е постигнал известен напредък, по-специално по отношение на подобряването на управлението на държавните предприятия; улесняването на намаляването на необслужваните кредити; укрепването на ефективността на публичните служби по заетостта и информационните дейности, предназначени за младите хора; подобряването на НИРД; улесняването на достъпа до финансиране за МСП и изпълнението на първата фаза от реформата на Националната здравноосигурителна система. Постигнат е само ограничен напредък по i) реформирането на публичната администрация и местните органи на управление; ii) насочената към инвестициите икономическа политика в областта на устойчивия транспорт, управлението на отпадъците и водите, цифровизацията и цифровите умения; iii) подобряването на ефективността на съдебната система и на дисциплината по отношение на плащанията; iv) създаването на надеждна система за емитиране и прехвърляне на права върху недвижима собственост. Не е постигнат напредък при изпълнението на приватизационни проекти.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Състояние на икономиката в средносрочен план, включително държавни инвестиции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Номиналната бюджетна позиция се подобри от дефицит от 3,7 % от БВП през 2018 г. до излишък от 1,7 % през 2019 г. Подобрението на номиналното салдо през 2019 г. в сравнение с 2018 г. отразява главно временния характер на дефицита през 2018 г., което се дължеше на еднократната подкрепа от страна на правителството за банковия сектор през 2018 г. (7,4 % от БВП). Публичните инвестиции намаляха от 5,7 % от БВП през 2018 г. на 1,7 % през 2019 г. поради еднократното въздействие върху публичните инвестиции на мерките за финансово подпомагане на ССВ през 2018 г.</w:t>
      </w:r>
    </w:p>
    <w:p>
      <w:pPr>
        <w:spacing w:before="120" w:after="120" w:line="240" w:lineRule="auto"/>
        <w:jc w:val="both"/>
        <w:rPr>
          <w:rFonts w:ascii="Times New Roman" w:eastAsia="Times New Roman" w:hAnsi="Times New Roman" w:cs="Times New Roman"/>
          <w:b/>
          <w:noProof/>
          <w:sz w:val="28"/>
        </w:rPr>
      </w:pPr>
      <w:r>
        <w:rPr>
          <w:rFonts w:ascii="Times New Roman" w:hAnsi="Times New Roman"/>
          <w:noProof/>
          <w:sz w:val="24"/>
        </w:rPr>
        <w:t xml:space="preserve">Въз основа на данните за изпълнението и прогнозата на Комисията структурното салдо на Кипър беше в излишък от 0,1 % от БВП през 2019 г., като по този начин бе постигната средносрочната бюджетна цел за балансиран структурен бюджет за 2019 г. Спазването на изискванията на предпазните мерки е смекчаващ фактор за оценката на </w:t>
      </w:r>
      <w:r>
        <w:rPr>
          <w:rFonts w:ascii="Times New Roman" w:hAnsi="Times New Roman"/>
          <w:i/>
          <w:iCs/>
          <w:noProof/>
          <w:sz w:val="24"/>
        </w:rPr>
        <w:t>prima facie</w:t>
      </w:r>
      <w:r>
        <w:rPr>
          <w:rFonts w:ascii="Times New Roman" w:hAnsi="Times New Roman"/>
          <w:noProof/>
          <w:sz w:val="24"/>
        </w:rPr>
        <w:t xml:space="preserve"> неспазване от страна на държавата членка на критерия за дълга през 2019 г.</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szCs w:val="24"/>
        </w:rPr>
        <w:t>В програмата за стабилност за 2020 г. се предоставя информация относно очакваното временно въздействие върху публичните финанси на пакета от мерки, увеличаващи дефицита, приети от правителството за борба с пандемията (оценени на 4,4 % от БВП). Средносрочните</w:t>
      </w:r>
      <w:r>
        <w:rPr>
          <w:rFonts w:ascii="Times New Roman" w:hAnsi="Times New Roman"/>
          <w:noProof/>
          <w:sz w:val="24"/>
        </w:rPr>
        <w:t xml:space="preserve"> </w:t>
      </w:r>
      <w:r>
        <w:rPr>
          <w:rFonts w:ascii="Times New Roman" w:hAnsi="Times New Roman"/>
          <w:noProof/>
          <w:sz w:val="24"/>
          <w:szCs w:val="24"/>
        </w:rPr>
        <w:t>фискални перспективи</w:t>
      </w:r>
      <w:r>
        <w:rPr>
          <w:rFonts w:ascii="Times New Roman" w:hAnsi="Times New Roman"/>
          <w:noProof/>
          <w:sz w:val="24"/>
        </w:rPr>
        <w:t xml:space="preserve"> </w:t>
      </w:r>
      <w:r>
        <w:rPr>
          <w:rFonts w:ascii="Times New Roman" w:hAnsi="Times New Roman"/>
          <w:noProof/>
          <w:sz w:val="24"/>
          <w:szCs w:val="24"/>
        </w:rPr>
        <w:t>се характеризират</w:t>
      </w:r>
      <w:r>
        <w:rPr>
          <w:rFonts w:ascii="Times New Roman" w:hAnsi="Times New Roman"/>
          <w:noProof/>
          <w:sz w:val="24"/>
        </w:rPr>
        <w:t xml:space="preserve"> с</w:t>
      </w:r>
      <w:r>
        <w:rPr>
          <w:rFonts w:ascii="Times New Roman" w:hAnsi="Times New Roman"/>
          <w:noProof/>
          <w:sz w:val="24"/>
          <w:szCs w:val="24"/>
        </w:rPr>
        <w:t xml:space="preserve"> изключителна степен на несигурност по отношение както на продължителността на пандемията, така и на икономическото ѝ въздействие</w:t>
      </w:r>
      <w:r>
        <w:rPr>
          <w:rFonts w:ascii="Times New Roman" w:hAnsi="Times New Roman"/>
          <w:noProof/>
          <w:sz w:val="24"/>
        </w:rPr>
        <w:t>.</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Равнище на държавния дълг в средносрочен план </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След като намаля значително от 103,4 % през 2016 г. до 93,9 % от БВП през 2017 г., съотношението на държавния дълг към БВП нарасна до 100,6 % от БВП през 2018 г. Това увеличение се дължи на еднократните мерки за подкрепа от страна на правителството за продажбата и организираното спиране на дейността на CCB през 2018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През 2019 г. съотношението на държавния дълг към БВП намаля значително — до 95,5 %, в резултат на значителен първичен бюджетен излишък, както и от благоприятния лавинообразен ефект. Тези фактори за намаляване на дълга бяха частично компенсирани от въздействието на увеличаващите дълга корекции наличности-потоци (+ 0,4 % от БВП).</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szCs w:val="24"/>
        </w:rPr>
        <w:t>Според прогнозата на Комисията от пролетта на 2020 г. консолидираният държавен дълг се очаква да нарасне от 95,5 % от БВП през 2019 г. на 115,7 % до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Анализът на устойчивостта на дълга беше актуализиран с прогнозата на Комисията от пролетта на 2020 г. Този анализ потвърждава, че независимо от рисковете, дълговата позиция продължава да бъде устойчива в средносрочен план, като се отчитат също така и важни смекчаващи фактори (включително профилът на дълга). По-специално, въпреки че състоянието на държавния дълг се е влошило в резултат на кризата, свързана с COVID-19, се очаква съотношението на дълга към БВП в базовия сценарий да бъде на устойчиво (намаляващо) равнище в средносрочен план</w:t>
      </w:r>
      <w:r>
        <w:rPr>
          <w:rStyle w:val="FootnoteReference"/>
          <w:rFonts w:eastAsiaTheme="minorHAnsi"/>
          <w:noProof/>
        </w:rPr>
        <w:footnoteReference w:id="5"/>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center"/>
        <w:rPr>
          <w:rFonts w:ascii="Times New Roman" w:hAnsi="Times New Roman"/>
          <w:b/>
          <w:noProof/>
          <w:sz w:val="24"/>
          <w:szCs w:val="24"/>
        </w:rPr>
      </w:pPr>
      <w:r>
        <w:rPr>
          <w:rFonts w:ascii="Times New Roman" w:hAnsi="Times New Roman"/>
          <w:b/>
          <w:noProof/>
          <w:sz w:val="24"/>
          <w:szCs w:val="24"/>
        </w:rPr>
        <w:t>Графика 1: Съотношение на държавния дълг към БВП, Кипър, в % от БВП</w:t>
      </w:r>
    </w:p>
    <w:p>
      <w:pPr>
        <w:spacing w:before="120" w:after="120" w:line="240" w:lineRule="auto"/>
        <w:jc w:val="center"/>
        <w:rPr>
          <w:rFonts w:ascii="Times New Roman" w:hAnsi="Times New Roman"/>
          <w:b/>
          <w:noProof/>
          <w:sz w:val="24"/>
          <w:szCs w:val="24"/>
        </w:rPr>
      </w:pPr>
    </w:p>
    <w:p>
      <w:pPr>
        <w:spacing w:before="120" w:after="120" w:line="240" w:lineRule="auto"/>
        <w:jc w:val="center"/>
        <w:rPr>
          <w:rFonts w:ascii="Times New Roman" w:eastAsia="Calibri" w:hAnsi="Times New Roman" w:cs="Times New Roman"/>
          <w:b/>
          <w:noProof/>
          <w:sz w:val="24"/>
          <w:szCs w:val="24"/>
        </w:rPr>
      </w:pPr>
      <w:r>
        <w:rPr>
          <w:noProof/>
          <w:lang w:val="en-GB" w:eastAsia="en-GB"/>
        </w:rPr>
        <w:drawing>
          <wp:inline distT="0" distB="0" distL="0" distR="0">
            <wp:extent cx="3884422" cy="1879379"/>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10354" cy="1891926"/>
                    </a:xfrm>
                    <a:prstGeom prst="rect">
                      <a:avLst/>
                    </a:prstGeom>
                  </pic:spPr>
                </pic:pic>
              </a:graphicData>
            </a:graphic>
          </wp:inline>
        </w:drawing>
      </w:r>
    </w:p>
    <w:p>
      <w:pPr>
        <w:spacing w:before="120" w:after="120" w:line="240" w:lineRule="auto"/>
        <w:ind w:firstLine="720"/>
        <w:jc w:val="both"/>
        <w:rPr>
          <w:rFonts w:ascii="Times New Roman" w:eastAsia="Times New Roman" w:hAnsi="Times New Roman" w:cs="Times New Roman"/>
          <w:iCs/>
          <w:noProof/>
        </w:rPr>
      </w:pPr>
      <w:r>
        <w:rPr>
          <w:rFonts w:ascii="Times New Roman" w:hAnsi="Times New Roman"/>
          <w:iCs/>
          <w:noProof/>
        </w:rPr>
        <w:t>Източник: Службите на Комисията</w:t>
      </w:r>
    </w:p>
    <w:p>
      <w:pPr>
        <w:spacing w:before="120" w:after="120" w:line="240" w:lineRule="auto"/>
        <w:jc w:val="center"/>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На 11 май 2020 г. кипърските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В писмото си кипърските власти подчертаха също така положителното развитие на публичните финанси през последните години, както е отразено в излишъците по салдото на консолидирания държавен бюджет, постигнати през последните четири години (2016—2019 г.), с изключение на еднократните въздействия, свързани със CCB. Органите отбелязват също така, че паричният резерв е отбелязал увеличение в размер на приблизително 2 % от БВП в края на 2019 г. в сравнение с 2018 г., по-специално с оглед на планираното погасяване на заема от МВФ в началото на 2020 г.</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програмата за стабилност се планира номиналният дефицит по консолидирания държавен бюджет на Кипър през 2020 г. да нарасне до 4,3 % от БВП, което превишава значително предвидената в Договора референтна стойност от 3 % от БВП. Планираното превишение на референтната стойност се счита за изключение и понастоящем се счита за временно.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Брутният консолидиран държавен дълг </w:t>
      </w:r>
      <w:r>
        <w:rPr>
          <w:rFonts w:ascii="Times New Roman" w:hAnsi="Times New Roman"/>
          <w:bCs/>
          <w:noProof/>
          <w:sz w:val="24"/>
          <w:szCs w:val="24"/>
        </w:rPr>
        <w:t xml:space="preserve">беше 95,5 % от БВП към края на 2019 г. — значително над посочената в Договора референтна стойност от 60 % от БВП. </w:t>
      </w:r>
      <w:r>
        <w:rPr>
          <w:rFonts w:ascii="Times New Roman" w:hAnsi="Times New Roman"/>
          <w:bCs/>
          <w:noProof/>
          <w:sz w:val="24"/>
        </w:rPr>
        <w:t xml:space="preserve">Кипър не е спазил целевия показател за намаляване на дълга през 2019 г. </w:t>
      </w:r>
    </w:p>
    <w:p>
      <w:pPr>
        <w:spacing w:before="120" w:after="120" w:line="240" w:lineRule="auto"/>
        <w:jc w:val="both"/>
        <w:rPr>
          <w:rFonts w:ascii="Times New Roman" w:eastAsia="Times New Roman" w:hAnsi="Times New Roman" w:cs="Calibri"/>
          <w:bCs/>
          <w:i/>
          <w:noProof/>
          <w:sz w:val="24"/>
        </w:rPr>
      </w:pPr>
      <w:r>
        <w:rPr>
          <w:rFonts w:ascii="Times New Roman" w:hAnsi="Times New Roman"/>
          <w:bCs/>
          <w:noProof/>
          <w:sz w:val="24"/>
        </w:rPr>
        <w:t xml:space="preserve">В съответствие с Договора и Пакта за стабилност и растеж в настоящия доклад се разглеждат също действащите фактори. </w:t>
      </w:r>
      <w:r>
        <w:rPr>
          <w:rFonts w:ascii="Times New Roman" w:hAnsi="Times New Roman"/>
          <w:noProof/>
          <w:sz w:val="24"/>
        </w:rPr>
        <w:t xml:space="preserve">Както е </w:t>
      </w:r>
      <w:r>
        <w:rPr>
          <w:rFonts w:ascii="Times New Roman" w:hAnsi="Times New Roman"/>
          <w:bCs/>
          <w:noProof/>
          <w:sz w:val="24"/>
        </w:rPr>
        <w:t>посочено в член 2, параграф 4 от Регламент (ЕО) № 1467/97</w:t>
      </w:r>
      <w:r>
        <w:rPr>
          <w:rFonts w:ascii="Times New Roman" w:hAnsi="Times New Roman"/>
          <w:noProof/>
          <w:sz w:val="24"/>
        </w:rPr>
        <w:t xml:space="preserve">, що се отнася до спазването на критерия за дефицит обаче през 2020 г.,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действащи фактори не могат да бъдат взети предвид при етапите, водещи до вземане на решение за наличието на прекомерен дефицит въз основа на критерия за дефицита за Кипър. Анализът показва, че критерият за дефицита, определен в Договора и в Регламент (ЕО) № 1467/1997, не е изпълнен.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По отношение на спазването на критерия за дълга през 2019 г. — действащите фактори, и по-специално (i) наблюдаваните макроикономически условия; ii) ограниченият напредък по отношение на изпълнението на структурните реформи, подобряващи растежа, през последните години, и iii) спазването на средносрочната бюджетна цел, водят до заключението, че критерият за дълга, определен в Договора и в Регламент (ЕО) № 1467/1997, е спазен. </w:t>
      </w:r>
    </w:p>
    <w:p>
      <w:pPr>
        <w:spacing w:before="120" w:after="120" w:line="240" w:lineRule="auto"/>
        <w:jc w:val="both"/>
        <w:rPr>
          <w:rFonts w:ascii="Times New Roman" w:eastAsia="Times New Roman" w:hAnsi="Times New Roman" w:cs="Calibri"/>
          <w:bCs/>
          <w:i/>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Съотношението на дълга към БВП се увеличи през 2018 г. до 100,6 % от БВП, което се дължеше на еднократни операции в подкрепа на банковия сектор.</w:t>
      </w:r>
    </w:p>
  </w:footnote>
  <w:footnote w:id="4">
    <w:p>
      <w:pPr>
        <w:pStyle w:val="FootnoteText"/>
        <w:ind w:left="142" w:hanging="142"/>
      </w:pPr>
      <w:r>
        <w:rPr>
          <w:rStyle w:val="FootnoteReference"/>
        </w:rPr>
        <w:footnoteRef/>
      </w:r>
      <w:r>
        <w:t xml:space="preserve"> Вж. Работен документ на службите на Комисията SWD(2020) 512 final, 26.2.2020 г., </w:t>
      </w:r>
      <w:r>
        <w:rPr>
          <w:i/>
          <w:iCs/>
        </w:rPr>
        <w:t>Доклад за Кипър за 2020 г.</w:t>
      </w:r>
      <w:r>
        <w:t>,</w:t>
      </w:r>
      <w:r>
        <w:rPr>
          <w:i/>
          <w:iCs/>
        </w:rPr>
        <w:t xml:space="preserve"> включващ задълбочен преглед относно предотвратяването и коригирането на макроикономическите дисбаланси.</w:t>
      </w:r>
    </w:p>
  </w:footnote>
  <w:footnote w:id="5">
    <w:p>
      <w:pPr>
        <w:pStyle w:val="FootnoteText"/>
        <w:ind w:left="0" w:firstLine="0"/>
        <w:rPr>
          <w:spacing w:val="-4"/>
        </w:rPr>
      </w:pPr>
      <w:r>
        <w:rPr>
          <w:rStyle w:val="FootnoteReference"/>
          <w:spacing w:val="-4"/>
        </w:rPr>
        <w:footnoteRef/>
      </w:r>
      <w:r>
        <w:rPr>
          <w:spacing w:val="-4"/>
        </w:rPr>
        <w:t xml:space="preserve"> Базовият сценарий се основава на прогнозата на Комисията от пролетта на 2020 г. След 2021 г. се допуска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предвижда в съответствие с т.нар.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ръст на БВП се дължи на неговия потенциален растеж и е засегнат от всяка допълнителна фискална корекция (чрез фискалния мултипликатор). Приема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неблагоприятен сценарий се приема (за целия прогнозен период) по-висок лихвен процент (с 500 базисни пункта) и по-нисък растеж на БВП (с -0,5 процентни пункта) по отношение на базовия сценарий.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5D4B78"/>
    <w:multiLevelType w:val="hybridMultilevel"/>
    <w:tmpl w:val="E15AF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5"/>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7"/>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6"/>
  </w:num>
  <w:num w:numId="35">
    <w:abstractNumId w:val="20"/>
  </w:num>
  <w:num w:numId="36">
    <w:abstractNumId w:val="31"/>
  </w:num>
  <w:num w:numId="37">
    <w:abstractNumId w:val="14"/>
  </w:num>
  <w:num w:numId="38">
    <w:abstractNumId w:val="37"/>
  </w:num>
  <w:num w:numId="39">
    <w:abstractNumId w:val="15"/>
  </w:num>
  <w:num w:numId="40">
    <w:abstractNumId w:val="4"/>
  </w:num>
  <w:num w:numId="4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3450D3-8F11-462A-8936-92EDDC2EAC4E"/>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0?\u1080?\u1087?\u1098?\u1088?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00208142">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E281-F9DF-4440-B0DF-CE22DE99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2713</Words>
  <Characters>14868</Characters>
  <Application>Microsoft Office Word</Application>
  <DocSecurity>0</DocSecurity>
  <Lines>291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31</cp:revision>
  <cp:lastPrinted>2019-05-13T14:09:00Z</cp:lastPrinted>
  <dcterms:created xsi:type="dcterms:W3CDTF">2020-05-18T14:20:00Z</dcterms:created>
  <dcterms:modified xsi:type="dcterms:W3CDTF">2020-06-03T16:54:00Z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