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C18470-C63E-475A-ACEE-2251033725EC" style="width:450.25pt;height:334.2pt">
            <v:imagedata r:id="rId12" o:title=""/>
          </v:shape>
        </w:pict>
      </w:r>
    </w:p>
    <w:bookmarkEnd w:id="0"/>
    <w:p>
      <w:pPr>
        <w:rPr>
          <w:noProof/>
          <w:lang w:val="bg-BG"/>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lang w:val="bg-BG"/>
        </w:rPr>
      </w:pPr>
      <w:bookmarkStart w:id="1" w:name="_GoBack"/>
      <w:bookmarkEnd w:id="1"/>
      <w:r>
        <w:rPr>
          <w:noProof/>
          <w:lang w:val="bg-BG"/>
        </w:rPr>
        <w:lastRenderedPageBreak/>
        <w:t>ДОКЛАД НА КОМИСИЯТА</w:t>
      </w:r>
    </w:p>
    <w:p>
      <w:pPr>
        <w:pStyle w:val="Titreobjet"/>
        <w:rPr>
          <w:noProof/>
          <w:lang w:val="bg-BG"/>
        </w:rPr>
      </w:pPr>
      <w:r>
        <w:rPr>
          <w:noProof/>
          <w:lang w:val="bg-BG"/>
        </w:rPr>
        <w:t xml:space="preserve">Хърватия </w:t>
      </w:r>
      <w:r>
        <w:rPr>
          <w:noProof/>
          <w:lang w:val="bg-BG"/>
        </w:rPr>
        <w:br/>
        <w:t xml:space="preserve"> </w:t>
      </w:r>
      <w:r>
        <w:rPr>
          <w:noProof/>
          <w:lang w:val="bg-BG"/>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1.</w:t>
      </w:r>
      <w:r>
        <w:rPr>
          <w:noProof/>
          <w:lang w:val="bg-BG"/>
        </w:rPr>
        <w:tab/>
      </w:r>
      <w:r>
        <w:rPr>
          <w:rFonts w:ascii="Times New Roman" w:hAnsi="Times New Roman"/>
          <w:b/>
          <w:smallCaps/>
          <w:noProof/>
          <w:sz w:val="24"/>
          <w:lang w:val="bg-BG"/>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lang w:val="bg-BG"/>
        </w:rPr>
      </w:pPr>
      <w:r>
        <w:rPr>
          <w:rFonts w:ascii="Times New Roman" w:hAnsi="Times New Roman"/>
          <w:noProof/>
          <w:sz w:val="24"/>
          <w:szCs w:val="24"/>
          <w:lang w:val="bg-BG"/>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 Данните, предоставени от хърватските органи на 31 март 2020 г. и впоследствие утвърдени от Евростат</w:t>
      </w:r>
      <w:r>
        <w:rPr>
          <w:rStyle w:val="FootnoteReference"/>
          <w:rFonts w:eastAsiaTheme="minorHAnsi"/>
          <w:noProof/>
          <w:sz w:val="24"/>
          <w:szCs w:val="24"/>
          <w:lang w:val="bg-BG"/>
        </w:rPr>
        <w:footnoteReference w:id="2"/>
      </w:r>
      <w:r>
        <w:rPr>
          <w:rFonts w:ascii="Times New Roman" w:hAnsi="Times New Roman"/>
          <w:noProof/>
          <w:sz w:val="24"/>
          <w:szCs w:val="24"/>
          <w:lang w:val="bg-BG"/>
        </w:rPr>
        <w:t>, показват, че салдото по консолидирания държавен бюджет на Хърватия е достигнало + 0,4 % от БВП през 2019 г., а брутният консолидиран държавен дълг е възлизал на 73,2 % от БВП. Според програмата за конвергенция за 2020 г. Хърватия планира дефицит от 6,8 % от БВП през 2020 г. и дълг в размер на 86,7 %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szCs w:val="24"/>
          <w:lang w:val="bg-BG"/>
        </w:rPr>
        <w:t xml:space="preserve">Планираният дефицит за 2020 г. предоставя </w:t>
      </w:r>
      <w:r>
        <w:rPr>
          <w:rFonts w:ascii="Times New Roman" w:hAnsi="Times New Roman"/>
          <w:i/>
          <w:noProof/>
          <w:sz w:val="24"/>
          <w:szCs w:val="24"/>
          <w:lang w:val="bg-BG"/>
        </w:rPr>
        <w:t>prima facie</w:t>
      </w:r>
      <w:r>
        <w:rPr>
          <w:rFonts w:ascii="Times New Roman" w:hAnsi="Times New Roman"/>
          <w:noProof/>
          <w:sz w:val="24"/>
          <w:szCs w:val="24"/>
          <w:lang w:val="bg-BG"/>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lang w:val="bg-BG"/>
        </w:rPr>
      </w:pPr>
      <w:r>
        <w:rPr>
          <w:rFonts w:ascii="Times New Roman" w:hAnsi="Times New Roman"/>
          <w:noProof/>
          <w:sz w:val="24"/>
          <w:szCs w:val="24"/>
          <w:lang w:val="bg-BG"/>
        </w:rPr>
        <w:t xml:space="preserve">В този контекст Комисията изготви настоящия доклад, в който се анализира спазването на критерия за дефицита, заложен в Договора, от страна на Хърватия. В доклада се отчитат всички съответни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lang w:val="bg-BG"/>
        </w:rPr>
      </w:pPr>
      <w:r>
        <w:rPr>
          <w:rFonts w:ascii="Times New Roman" w:hAnsi="Times New Roman"/>
          <w:b/>
          <w:noProof/>
          <w:sz w:val="24"/>
          <w:lang w:val="bg-BG"/>
        </w:rPr>
        <w:lastRenderedPageBreak/>
        <w:t xml:space="preserve">Таблица </w:t>
      </w:r>
      <w:r>
        <w:rPr>
          <w:rFonts w:ascii="Times New Roman" w:eastAsia="Times New Roman" w:hAnsi="Times New Roman" w:cs="Times New Roman"/>
          <w:b/>
          <w:noProof/>
          <w:sz w:val="24"/>
          <w:lang w:val="bg-BG"/>
        </w:rPr>
        <w:fldChar w:fldCharType="begin"/>
      </w:r>
      <w:r>
        <w:rPr>
          <w:rFonts w:ascii="Times New Roman" w:eastAsia="Times New Roman" w:hAnsi="Times New Roman" w:cs="Times New Roman"/>
          <w:b/>
          <w:noProof/>
          <w:sz w:val="24"/>
          <w:lang w:val="bg-BG"/>
        </w:rPr>
        <w:instrText xml:space="preserve"> SEQ Table \* ARABIC </w:instrText>
      </w:r>
      <w:r>
        <w:rPr>
          <w:rFonts w:ascii="Times New Roman" w:eastAsia="Times New Roman" w:hAnsi="Times New Roman" w:cs="Times New Roman"/>
          <w:b/>
          <w:noProof/>
          <w:sz w:val="24"/>
          <w:lang w:val="bg-BG"/>
        </w:rPr>
        <w:fldChar w:fldCharType="separate"/>
      </w:r>
      <w:r>
        <w:rPr>
          <w:rFonts w:ascii="Times New Roman" w:eastAsia="Times New Roman" w:hAnsi="Times New Roman" w:cs="Times New Roman"/>
          <w:b/>
          <w:noProof/>
          <w:sz w:val="24"/>
          <w:lang w:val="bg-BG"/>
        </w:rPr>
        <w:t>1</w:t>
      </w:r>
      <w:r>
        <w:rPr>
          <w:rFonts w:ascii="Times New Roman" w:eastAsia="Times New Roman" w:hAnsi="Times New Roman" w:cs="Times New Roman"/>
          <w:b/>
          <w:noProof/>
          <w:sz w:val="24"/>
          <w:lang w:val="bg-BG"/>
        </w:rPr>
        <w:fldChar w:fldCharType="end"/>
      </w:r>
      <w:r>
        <w:rPr>
          <w:rFonts w:ascii="Times New Roman" w:hAnsi="Times New Roman"/>
          <w:b/>
          <w:noProof/>
          <w:sz w:val="24"/>
          <w:lang w:val="bg-BG"/>
        </w:rPr>
        <w:t>. Дефицит по консолидирания държавен бюджет и консолидиран държавен дълг (% от БВП)</w:t>
      </w:r>
    </w:p>
    <w:tbl>
      <w:tblPr>
        <w:tblStyle w:val="TableGrid"/>
        <w:tblW w:w="0" w:type="auto"/>
        <w:tblLook w:val="04A0" w:firstRow="1" w:lastRow="0" w:firstColumn="1" w:lastColumn="0" w:noHBand="0" w:noVBand="1"/>
      </w:tblPr>
      <w:tblGrid>
        <w:gridCol w:w="1132"/>
        <w:gridCol w:w="1620"/>
        <w:gridCol w:w="1081"/>
        <w:gridCol w:w="1081"/>
        <w:gridCol w:w="1081"/>
        <w:gridCol w:w="1081"/>
        <w:gridCol w:w="1083"/>
        <w:gridCol w:w="1083"/>
      </w:tblGrid>
      <w:tr>
        <w:trPr>
          <w:trHeight w:val="603"/>
        </w:trPr>
        <w:tc>
          <w:tcPr>
            <w:tcW w:w="1154" w:type="dxa"/>
          </w:tcPr>
          <w:p>
            <w:pPr>
              <w:keepNext/>
              <w:jc w:val="center"/>
              <w:rPr>
                <w:rFonts w:ascii="Times New Roman" w:eastAsia="Times New Roman" w:hAnsi="Times New Roman" w:cs="Calibri"/>
                <w:noProof/>
                <w:sz w:val="20"/>
                <w:szCs w:val="20"/>
                <w:lang w:val="bg-BG" w:eastAsia="en-GB"/>
              </w:rPr>
            </w:pPr>
          </w:p>
        </w:tc>
        <w:tc>
          <w:tcPr>
            <w:tcW w:w="1172" w:type="dxa"/>
          </w:tcPr>
          <w:p>
            <w:pPr>
              <w:keepNext/>
              <w:jc w:val="center"/>
              <w:rPr>
                <w:rFonts w:ascii="Times New Roman" w:eastAsia="Times New Roman" w:hAnsi="Times New Roman" w:cs="Calibri"/>
                <w:noProof/>
                <w:sz w:val="20"/>
                <w:szCs w:val="20"/>
                <w:lang w:val="bg-BG" w:eastAsia="en-GB"/>
              </w:rPr>
            </w:pP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2016 г.</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2017 г.</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2018 г.</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2019 г.</w:t>
            </w:r>
          </w:p>
        </w:tc>
        <w:tc>
          <w:tcPr>
            <w:tcW w:w="1154"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2020 г.</w:t>
            </w:r>
          </w:p>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COM</w:t>
            </w:r>
          </w:p>
        </w:tc>
        <w:tc>
          <w:tcPr>
            <w:tcW w:w="1154"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2021 г.</w:t>
            </w:r>
          </w:p>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COM</w:t>
            </w:r>
          </w:p>
        </w:tc>
      </w:tr>
      <w:tr>
        <w:tc>
          <w:tcPr>
            <w:tcW w:w="1154"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Критерий за дефицита</w:t>
            </w:r>
          </w:p>
        </w:tc>
        <w:tc>
          <w:tcPr>
            <w:tcW w:w="117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-1,0</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0,8</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0,2</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0,4</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-7,1</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-2,2</w:t>
            </w:r>
          </w:p>
        </w:tc>
      </w:tr>
      <w:tr>
        <w:tc>
          <w:tcPr>
            <w:tcW w:w="1154"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Критерий за дълга</w:t>
            </w:r>
          </w:p>
        </w:tc>
        <w:tc>
          <w:tcPr>
            <w:tcW w:w="117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80,8 %</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77,8 %</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74,7 %</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73,2 %</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88,6 %</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83,4 %</w:t>
            </w:r>
          </w:p>
        </w:tc>
      </w:tr>
      <w:tr>
        <w:tc>
          <w:tcPr>
            <w:tcW w:w="1154" w:type="dxa"/>
          </w:tcPr>
          <w:p>
            <w:pPr>
              <w:keepNext/>
              <w:jc w:val="center"/>
              <w:rPr>
                <w:rFonts w:ascii="Times New Roman" w:eastAsia="Times New Roman" w:hAnsi="Times New Roman" w:cs="Calibri"/>
                <w:noProof/>
                <w:sz w:val="20"/>
                <w:szCs w:val="20"/>
                <w:lang w:val="bg-BG" w:eastAsia="en-GB"/>
              </w:rPr>
            </w:pPr>
          </w:p>
        </w:tc>
        <w:tc>
          <w:tcPr>
            <w:tcW w:w="117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Отклонение от целевия показател за намаляване на дълга</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-4,1</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-3,2</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-4,1</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-2,7</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3,6</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0,6</w:t>
            </w:r>
          </w:p>
        </w:tc>
      </w:tr>
      <w:tr>
        <w:tc>
          <w:tcPr>
            <w:tcW w:w="1154" w:type="dxa"/>
          </w:tcPr>
          <w:p>
            <w:pPr>
              <w:keepNext/>
              <w:jc w:val="center"/>
              <w:rPr>
                <w:rFonts w:ascii="Times New Roman" w:eastAsia="Times New Roman" w:hAnsi="Times New Roman" w:cs="Calibri"/>
                <w:noProof/>
                <w:sz w:val="20"/>
                <w:szCs w:val="20"/>
                <w:lang w:val="bg-BG" w:eastAsia="en-GB"/>
              </w:rPr>
            </w:pPr>
          </w:p>
        </w:tc>
        <w:tc>
          <w:tcPr>
            <w:tcW w:w="117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Изменение на структурното салдо</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+1,5</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+1,3</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-1,1</w:t>
            </w:r>
          </w:p>
        </w:tc>
        <w:tc>
          <w:tcPr>
            <w:tcW w:w="1152" w:type="dxa"/>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-0,3</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-3,2</w:t>
            </w:r>
          </w:p>
        </w:tc>
        <w:tc>
          <w:tcPr>
            <w:tcW w:w="1154" w:type="dxa"/>
            <w:shd w:val="clear" w:color="auto" w:fill="auto"/>
          </w:tcPr>
          <w:p>
            <w:pPr>
              <w:keepNext/>
              <w:jc w:val="center"/>
              <w:rPr>
                <w:rFonts w:ascii="Times New Roman" w:eastAsia="Times New Roman" w:hAnsi="Times New Roman" w:cs="Calibri"/>
                <w:noProof/>
                <w:sz w:val="20"/>
                <w:szCs w:val="20"/>
                <w:lang w:val="bg-BG"/>
              </w:rPr>
            </w:pPr>
            <w:r>
              <w:rPr>
                <w:rFonts w:ascii="Times New Roman" w:hAnsi="Times New Roman"/>
                <w:noProof/>
                <w:sz w:val="20"/>
                <w:szCs w:val="20"/>
                <w:lang w:val="bg-BG"/>
              </w:rPr>
              <w:t>+2,5</w:t>
            </w:r>
          </w:p>
        </w:tc>
      </w:tr>
    </w:tbl>
    <w:p>
      <w:pPr>
        <w:keepNext/>
        <w:spacing w:after="0" w:line="240" w:lineRule="auto"/>
        <w:rPr>
          <w:rFonts w:ascii="Times New Roman" w:eastAsia="Times New Roman" w:hAnsi="Times New Roman" w:cs="Calibri"/>
          <w:noProof/>
          <w:sz w:val="24"/>
          <w:lang w:val="bg-BG"/>
        </w:rPr>
      </w:pPr>
      <w:r>
        <w:rPr>
          <w:rFonts w:ascii="Times New Roman" w:hAnsi="Times New Roman"/>
          <w:noProof/>
          <w:sz w:val="20"/>
          <w:szCs w:val="20"/>
          <w:lang w:val="bg-BG"/>
        </w:rPr>
        <w:t>Източник: Евростат, Прогноза на Комисията от пролетта на 2020 г.</w:t>
      </w:r>
    </w:p>
    <w:p>
      <w:pPr>
        <w:pStyle w:val="ManualHeading1"/>
        <w:rPr>
          <w:noProof/>
          <w:lang w:val="bg-BG"/>
        </w:rPr>
      </w:pPr>
      <w:r>
        <w:rPr>
          <w:smallCaps w:val="0"/>
          <w:noProof/>
          <w:lang w:val="bg-BG"/>
        </w:rPr>
        <w:t>2.</w:t>
      </w:r>
      <w:r>
        <w:rPr>
          <w:noProof/>
          <w:lang w:val="bg-BG"/>
        </w:rPr>
        <w:tab/>
        <w:t>Критерий за дефицита</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Въз основа на програмата за конвергенция за 2020 г. се планира през 2020 г. дефицитът по консолидирания държавен бюджет на Хърватия да достигне 6,8 % от БВП,  което е над и не е близо до  референтната стойност от 3 % от БВП по Договора.</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се предвижда през 2020 г. реалният БВП да се свие със 9,1 %.</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Планираното надвишаване на референтната стойност по Договора би трябвало да е временно въз основа на прогнозата на Комисията от пролетта на 2020 г., в която се предвижда дефицитът по консолидирания държавен бюджет да спадне под 3 % от БВП през 2021 г. Тези прогнози обаче се характеризират с изключително висока степен на несигурност.</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В обобщение размерът на планирания дефицит за 2020 г. е над и не е близо до референтната стойност от 3 % от БВП по Договора. Планираното надвишаване се счита за изключение съгласно Договора и на Пакта за стабилност и растеж, като същевременно се смята, че то представлява временно отклонение. Поради това анализът сочи, че </w:t>
      </w:r>
      <w:r>
        <w:rPr>
          <w:rFonts w:ascii="Times New Roman" w:hAnsi="Times New Roman"/>
          <w:bCs/>
          <w:i/>
          <w:noProof/>
          <w:sz w:val="24"/>
          <w:lang w:val="bg-BG"/>
        </w:rPr>
        <w:t>prima facie</w:t>
      </w:r>
      <w:r>
        <w:rPr>
          <w:rFonts w:ascii="Times New Roman" w:hAnsi="Times New Roman"/>
          <w:bCs/>
          <w:noProof/>
          <w:sz w:val="24"/>
          <w:lang w:val="bg-BG"/>
        </w:rPr>
        <w:t xml:space="preserve"> </w:t>
      </w:r>
      <w:r>
        <w:rPr>
          <w:rFonts w:ascii="Times New Roman" w:hAnsi="Times New Roman"/>
          <w:noProof/>
          <w:sz w:val="24"/>
          <w:szCs w:val="24"/>
          <w:lang w:val="bg-BG"/>
        </w:rPr>
        <w:t>критерият за дефицита за целите на Договора и на Регламент (ЕО) № 1467/97 не е изпълнен.</w:t>
      </w:r>
    </w:p>
    <w:p>
      <w:pPr>
        <w:pStyle w:val="ManualHeading1"/>
        <w:rPr>
          <w:noProof/>
          <w:lang w:val="bg-BG"/>
        </w:rPr>
      </w:pPr>
      <w:r>
        <w:rPr>
          <w:noProof/>
          <w:lang w:val="bg-BG"/>
        </w:rPr>
        <w:t>3.</w:t>
      </w:r>
      <w:r>
        <w:rPr>
          <w:noProof/>
          <w:lang w:val="bg-BG"/>
        </w:rPr>
        <w:tab/>
        <w:t xml:space="preserve">Критерий за дълга </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Съотношението на държавния дълг към БВП е намаляло от 74,7 % през 2018 г. на 73,2 % през 2019 г. Намаляването на дълга се дължеше на солидния ръст на БВП и на номиналния излишък, но то бе частично компенсирано от значителна, увеличаваща брутния дълг корекция наличности-потоци, тъй като правителството емитира дълг, надхвърлящ финансовите му нужди, и използва излишъка за натрупване на депозити. </w:t>
      </w:r>
    </w:p>
    <w:p>
      <w:pPr>
        <w:spacing w:before="120" w:after="12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lastRenderedPageBreak/>
        <w:t xml:space="preserve">Данните, за които е постъпило уведомление, показват, че Хърватия е изпълнила целевия показател за намаляване на дълга през 2019 г., тъй като разликата спрямо референтния показател е </w:t>
      </w:r>
      <w:r>
        <w:rPr>
          <w:rFonts w:ascii="Times New Roman" w:hAnsi="Times New Roman"/>
          <w:noProof/>
          <w:sz w:val="24"/>
          <w:szCs w:val="24"/>
          <w:lang w:val="bg-BG"/>
        </w:rPr>
        <w:sym w:font="Symbol" w:char="F02D"/>
      </w:r>
      <w:r>
        <w:rPr>
          <w:rFonts w:ascii="Times New Roman" w:hAnsi="Times New Roman"/>
          <w:noProof/>
          <w:sz w:val="24"/>
          <w:szCs w:val="24"/>
          <w:lang w:val="bg-BG"/>
        </w:rPr>
        <w:t>2,7 % от БВП (т.е. целевият показател е надхвърлен).</w:t>
      </w:r>
    </w:p>
    <w:p>
      <w:pPr>
        <w:pStyle w:val="ListDash"/>
        <w:numPr>
          <w:ilvl w:val="0"/>
          <w:numId w:val="0"/>
        </w:numPr>
        <w:rPr>
          <w:noProof/>
          <w:lang w:val="bg-BG"/>
        </w:rPr>
      </w:pPr>
      <w:r>
        <w:rPr>
          <w:noProof/>
          <w:lang w:val="bg-BG"/>
        </w:rPr>
        <w:t>Поради това анализът сочи, че въз основа на данните за изпълнението за 2019 г. критерият за дълга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4.</w:t>
      </w:r>
      <w:r>
        <w:rPr>
          <w:noProof/>
          <w:lang w:val="bg-BG"/>
        </w:rPr>
        <w:tab/>
      </w:r>
      <w:r>
        <w:rPr>
          <w:rFonts w:ascii="Times New Roman" w:hAnsi="Times New Roman"/>
          <w:b/>
          <w:smallCaps/>
          <w:noProof/>
          <w:sz w:val="24"/>
          <w:lang w:val="bg-BG"/>
        </w:rPr>
        <w:t xml:space="preserve">Съответни фактори </w:t>
      </w:r>
    </w:p>
    <w:p>
      <w:pPr>
        <w:spacing w:before="120" w:after="120" w:line="240" w:lineRule="auto"/>
        <w:jc w:val="both"/>
        <w:rPr>
          <w:rFonts w:ascii="Times New Roman" w:eastAsia="Times New Roman" w:hAnsi="Times New Roman" w:cs="Calibri"/>
          <w:bCs/>
          <w:noProof/>
          <w:sz w:val="24"/>
          <w:lang w:val="bg-BG"/>
        </w:rPr>
      </w:pPr>
      <w:r>
        <w:rPr>
          <w:rFonts w:ascii="Times New Roman" w:hAnsi="Times New Roman"/>
          <w:bCs/>
          <w:noProof/>
          <w:sz w:val="24"/>
          <w:lang w:val="bg-BG"/>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Calibri"/>
          <w:bCs/>
          <w:noProof/>
          <w:sz w:val="24"/>
          <w:lang w:val="bg-BG"/>
        </w:rPr>
      </w:pPr>
      <w:r>
        <w:rPr>
          <w:rFonts w:ascii="Times New Roman" w:hAnsi="Times New Roman"/>
          <w:bCs/>
          <w:noProof/>
          <w:sz w:val="24"/>
          <w:lang w:val="bg-BG"/>
        </w:rPr>
        <w:t xml:space="preserve">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ascii="Times New Roman" w:eastAsia="Times New Roman" w:hAnsi="Times New Roman" w:cs="Times New Roman"/>
          <w:noProof/>
          <w:sz w:val="24"/>
          <w:lang w:val="bg-BG" w:eastAsia="en-GB"/>
        </w:rPr>
      </w:pP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Както е посочено в член 2, параграф 4 от Регламент (ЕО) № 1467/97, що се отнася до спазването на критерия за дефицита,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 тези съответни фактори не могат да бъдат взети предвид при етапите, водещи до вземане на решение за наличието на прекомерен дефицит за Хърватия. В настоящата ситуация ключов допълнителен фактор, който трябва да се вземе под внимание за 2020 г., е икономическото въздействие на пандемията от COVID-19, което се отразява съществено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val="bg-BG"/>
        </w:rPr>
      </w:pPr>
      <w:r>
        <w:rPr>
          <w:rFonts w:ascii="Times New Roman" w:hAnsi="Times New Roman"/>
          <w:b/>
          <w:noProof/>
          <w:sz w:val="24"/>
          <w:lang w:val="bg-BG"/>
        </w:rPr>
        <w:t>4.1.</w:t>
      </w:r>
      <w:r>
        <w:rPr>
          <w:noProof/>
          <w:lang w:val="bg-BG"/>
        </w:rPr>
        <w:tab/>
      </w:r>
      <w:r>
        <w:rPr>
          <w:noProof/>
          <w:lang w:val="bg-BG"/>
        </w:rPr>
        <w:tab/>
      </w:r>
      <w:r>
        <w:rPr>
          <w:rFonts w:ascii="Times New Roman" w:hAnsi="Times New Roman"/>
          <w:b/>
          <w:noProof/>
          <w:sz w:val="24"/>
          <w:lang w:val="bg-BG"/>
        </w:rPr>
        <w:t xml:space="preserve">Пандемията от COVID-19 </w:t>
      </w:r>
    </w:p>
    <w:p>
      <w:pPr>
        <w:spacing w:before="120" w:after="120" w:line="240" w:lineRule="auto"/>
        <w:jc w:val="both"/>
        <w:rPr>
          <w:rFonts w:ascii="Times New Roman" w:hAnsi="Times New Roman" w:cs="Times New Roman"/>
          <w:noProof/>
          <w:spacing w:val="-4"/>
          <w:sz w:val="24"/>
          <w:szCs w:val="24"/>
          <w:lang w:val="bg-BG"/>
        </w:rPr>
      </w:pPr>
      <w:r>
        <w:rPr>
          <w:rFonts w:ascii="Times New Roman" w:hAnsi="Times New Roman"/>
          <w:bCs/>
          <w:noProof/>
          <w:spacing w:val="-4"/>
          <w:sz w:val="24"/>
          <w:szCs w:val="24"/>
          <w:lang w:val="bg-BG"/>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pacing w:val="-4"/>
          <w:sz w:val="24"/>
          <w:szCs w:val="24"/>
          <w:lang w:val="bg-BG"/>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Освен това са приети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spacing w:before="360" w:after="120" w:line="240" w:lineRule="auto"/>
        <w:jc w:val="both"/>
        <w:rPr>
          <w:rFonts w:ascii="Times New Roman" w:eastAsia="Times New Roman" w:hAnsi="Times New Roman" w:cs="Times New Roman"/>
          <w:b/>
          <w:noProof/>
          <w:sz w:val="24"/>
          <w:lang w:val="bg-BG"/>
        </w:rPr>
      </w:pPr>
      <w:r>
        <w:rPr>
          <w:rFonts w:ascii="Times New Roman" w:hAnsi="Times New Roman"/>
          <w:b/>
          <w:noProof/>
          <w:sz w:val="24"/>
          <w:lang w:val="bg-BG"/>
        </w:rPr>
        <w:t>4.2</w:t>
      </w:r>
      <w:r>
        <w:rPr>
          <w:noProof/>
          <w:lang w:val="bg-BG"/>
        </w:rPr>
        <w:tab/>
      </w:r>
      <w:r>
        <w:rPr>
          <w:rFonts w:ascii="Times New Roman" w:hAnsi="Times New Roman"/>
          <w:b/>
          <w:noProof/>
          <w:sz w:val="24"/>
          <w:lang w:val="bg-BG"/>
        </w:rPr>
        <w:t>Състояние на икономиката в средносрочен план</w:t>
      </w:r>
    </w:p>
    <w:p>
      <w:pPr>
        <w:spacing w:before="120" w:after="120" w:line="240" w:lineRule="auto"/>
        <w:jc w:val="both"/>
        <w:rPr>
          <w:rFonts w:ascii="Times New Roman" w:eastAsia="Times New Roman" w:hAnsi="Times New Roman" w:cs="Times New Roman"/>
          <w:bCs/>
          <w:noProof/>
          <w:sz w:val="24"/>
          <w:szCs w:val="24"/>
          <w:lang w:val="bg-BG"/>
        </w:rPr>
      </w:pPr>
      <w:r>
        <w:rPr>
          <w:rFonts w:ascii="Times New Roman" w:hAnsi="Times New Roman"/>
          <w:bCs/>
          <w:noProof/>
          <w:sz w:val="24"/>
          <w:szCs w:val="24"/>
          <w:lang w:val="bg-BG"/>
        </w:rPr>
        <w:t>През 2019 г. производството в реално изражение най-после надхвърли равнището си от 2008 г., а процентът на безработица достигна рекордно ниско равнище. Макроикономическите дисбаланси (високи равнища на задлъжнялост и външни задължения) се подобриха под равнищата си от 2008 г. Въпреки че все още е относително висок, държавният дълг намаля значително, подпомогнат от три последователни години на излишъци по държавния бюджет. Освен това средният падеж и средните разходи за обслужване на публичния дълг значително се подобриха. Повишаването на разходната конкурентоспособност и присъединяването на Хърватия към Съюза подкрепиха силния растеж на износа през 2019 г.</w:t>
      </w:r>
    </w:p>
    <w:p>
      <w:pPr>
        <w:spacing w:before="120" w:after="120" w:line="240" w:lineRule="auto"/>
        <w:jc w:val="both"/>
        <w:rPr>
          <w:rFonts w:ascii="Times New Roman" w:eastAsia="Times New Roman" w:hAnsi="Times New Roman" w:cs="Calibri"/>
          <w:bCs/>
          <w:noProof/>
          <w:sz w:val="24"/>
          <w:lang w:val="bg-BG"/>
        </w:rPr>
      </w:pPr>
      <w:r>
        <w:rPr>
          <w:rFonts w:ascii="Times New Roman" w:hAnsi="Times New Roman"/>
          <w:bCs/>
          <w:noProof/>
          <w:sz w:val="24"/>
          <w:szCs w:val="24"/>
          <w:lang w:val="bg-BG"/>
        </w:rPr>
        <w:t xml:space="preserve">Очаква се икономическите последици от пандемията от COVID- 19 да бъдат особено изразени в Хърватия поради големия дял на туризма в нейната брутна добавена стойност, както и на съществената експозиция чрез основните търговски партньори. Очаква се вътрешното търсене рязко да намалее поради относително силните мерки за справяне с пандемията, които бяха въведени в средата на март и чиято постепенна отмяна започна в края на април. В същото време износът следва да пострада поради особено строгите мерки за справяне с пандемията, въведени в основните търговски партньори на Хърватия (Италия, Словения и Австрия). </w:t>
      </w:r>
      <w:r>
        <w:rPr>
          <w:rFonts w:ascii="Times New Roman" w:hAnsi="Times New Roman"/>
          <w:bCs/>
          <w:noProof/>
          <w:sz w:val="24"/>
          <w:lang w:val="bg-BG"/>
        </w:rPr>
        <w:t>Тази перспектива се характеризира с изключителна степен на несигурност по отношение на продължителността на пандемията и нейното икономическо въздействие, тъй като това зависи до голяма степен от ефективността на правителствените мерки и от това колко бързо световното търсене ще се възстанови.</w:t>
      </w:r>
    </w:p>
    <w:p>
      <w:pPr>
        <w:spacing w:before="120" w:after="120" w:line="240" w:lineRule="auto"/>
        <w:jc w:val="both"/>
        <w:rPr>
          <w:rFonts w:ascii="Times New Roman" w:eastAsia="Times New Roman" w:hAnsi="Times New Roman" w:cs="Times New Roman"/>
          <w:bCs/>
          <w:noProof/>
          <w:sz w:val="24"/>
          <w:szCs w:val="24"/>
          <w:lang w:val="bg-BG"/>
        </w:rPr>
      </w:pPr>
      <w:r>
        <w:rPr>
          <w:rFonts w:ascii="Times New Roman" w:hAnsi="Times New Roman"/>
          <w:bCs/>
          <w:noProof/>
          <w:sz w:val="24"/>
          <w:lang w:val="bg-BG"/>
        </w:rPr>
        <w:t xml:space="preserve">Прогнозираният рязък спад на БВП е смекчаващ фактор при оценяването на спазването на критерия за дефицита от страна на Хърватия през 2020 г.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val="bg-BG"/>
        </w:rPr>
      </w:pPr>
      <w:r>
        <w:rPr>
          <w:rFonts w:ascii="Times New Roman" w:hAnsi="Times New Roman"/>
          <w:b/>
          <w:noProof/>
          <w:sz w:val="24"/>
          <w:szCs w:val="24"/>
          <w:lang w:val="bg-BG"/>
        </w:rPr>
        <w:t>4.3</w:t>
      </w:r>
      <w:r>
        <w:rPr>
          <w:noProof/>
          <w:lang w:val="bg-BG"/>
        </w:rPr>
        <w:tab/>
      </w:r>
      <w:r>
        <w:rPr>
          <w:noProof/>
          <w:lang w:val="bg-BG"/>
        </w:rPr>
        <w:tab/>
      </w:r>
      <w:r>
        <w:rPr>
          <w:rFonts w:ascii="Times New Roman" w:hAnsi="Times New Roman"/>
          <w:b/>
          <w:noProof/>
          <w:sz w:val="24"/>
          <w:szCs w:val="24"/>
          <w:lang w:val="bg-BG"/>
        </w:rPr>
        <w:t>Състояние на бюджета в средносрочен план</w:t>
      </w:r>
    </w:p>
    <w:p>
      <w:pPr>
        <w:spacing w:before="120" w:after="120" w:line="240" w:lineRule="auto"/>
        <w:jc w:val="both"/>
        <w:rPr>
          <w:rFonts w:ascii="Times New Roman" w:eastAsia="Times New Roman" w:hAnsi="Times New Roman" w:cs="Times New Roman"/>
          <w:bCs/>
          <w:noProof/>
          <w:sz w:val="24"/>
          <w:szCs w:val="24"/>
          <w:lang w:val="bg-BG"/>
        </w:rPr>
      </w:pPr>
      <w:r>
        <w:rPr>
          <w:rFonts w:ascii="Times New Roman" w:hAnsi="Times New Roman"/>
          <w:noProof/>
          <w:sz w:val="24"/>
          <w:szCs w:val="24"/>
          <w:lang w:val="bg-BG"/>
        </w:rPr>
        <w:t>Въз основа на данните за изпълнението и прогнозата на Комисията от пролетта на 2020 г. Хърватия е изпълнила своята средносрочна бюджетна цел през 2019 г.</w:t>
      </w:r>
      <w:r>
        <w:rPr>
          <w:rFonts w:ascii="Times New Roman" w:hAnsi="Times New Roman"/>
          <w:bCs/>
          <w:noProof/>
          <w:sz w:val="24"/>
          <w:szCs w:val="24"/>
          <w:lang w:val="bg-BG"/>
        </w:rPr>
        <w:t xml:space="preserve">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В програмата за конвергенция за 2020 г. се предоставя информация за средносрочната стратегия в подкрепа на икономиката, която се състои в използване на фискалното пространство, създадено през последните години, за да се сведат до минимум икономическите последици от пандемията от COVID-19 чрез предоставяне на подкрепа на иначе жизнеспособните предприятия и заетост. В това отношение трите ключови мерки, които бяха предприети, са субсидията за заплатите, предоставена на предприятията, които задържат служителите си, отсрочването на данъци и отмяната на данъци за най-тежко засегнатите предприятия. Общото въздействие на тези мерки се предвижда да достигне 3,9 % от БВП, от които увеличаване на дефицита е 2,7 % от БВП, а останалото са мерки за ликвидност (отсрочени данъци). Като цяло в програмата за конвергенция се предвижда дефицит от 6,8 % от БВП през 2020 г., следван от възстановяване до 2,4 % от БВП през 2021 г.</w:t>
      </w:r>
    </w:p>
    <w:p>
      <w:pPr>
        <w:spacing w:before="360" w:after="120" w:line="240" w:lineRule="auto"/>
        <w:jc w:val="both"/>
        <w:rPr>
          <w:rFonts w:ascii="Times New Roman" w:eastAsia="Times New Roman" w:hAnsi="Times New Roman" w:cs="Times New Roman"/>
          <w:b/>
          <w:noProof/>
          <w:sz w:val="24"/>
          <w:lang w:val="bg-BG"/>
        </w:rPr>
      </w:pPr>
      <w:r>
        <w:rPr>
          <w:rFonts w:ascii="Times New Roman" w:hAnsi="Times New Roman"/>
          <w:b/>
          <w:noProof/>
          <w:sz w:val="24"/>
          <w:lang w:val="bg-BG"/>
        </w:rPr>
        <w:t>4.4.</w:t>
      </w:r>
      <w:r>
        <w:rPr>
          <w:noProof/>
          <w:lang w:val="bg-BG"/>
        </w:rPr>
        <w:tab/>
      </w:r>
      <w:r>
        <w:rPr>
          <w:rFonts w:ascii="Times New Roman" w:hAnsi="Times New Roman"/>
          <w:b/>
          <w:noProof/>
          <w:sz w:val="24"/>
          <w:lang w:val="bg-BG"/>
        </w:rPr>
        <w:t>Равнище на държавния дълг в средносрочен план</w:t>
      </w:r>
    </w:p>
    <w:p>
      <w:pPr>
        <w:spacing w:before="120" w:after="120" w:line="240" w:lineRule="auto"/>
        <w:jc w:val="both"/>
        <w:rPr>
          <w:rFonts w:ascii="Times New Roman" w:eastAsia="Times New Roman" w:hAnsi="Times New Roman" w:cs="Times New Roman"/>
          <w:iCs/>
          <w:noProof/>
          <w:sz w:val="24"/>
          <w:lang w:val="bg-BG"/>
        </w:rPr>
      </w:pPr>
      <w:r>
        <w:rPr>
          <w:rFonts w:ascii="Times New Roman" w:hAnsi="Times New Roman"/>
          <w:noProof/>
          <w:sz w:val="24"/>
          <w:lang w:val="bg-BG"/>
        </w:rPr>
        <w:t xml:space="preserve">Според прогнозата на Комисията от пролетта на 2020 г. се очаква през 2020 г. консолидираният държавен дълг да нарасне от 73,2 % от БВП през 2019 г. на 88,6% през 2020 г. </w:t>
      </w:r>
      <w:r>
        <w:rPr>
          <w:rFonts w:ascii="Times New Roman" w:hAnsi="Times New Roman"/>
          <w:iCs/>
          <w:noProof/>
          <w:sz w:val="24"/>
          <w:lang w:val="bg-BG"/>
        </w:rPr>
        <w:t>Анализът на устойчивостта на дълга е актуализиран въз основа на тази прогноза. Този анализ потвърждава, че независимо от рисковете (включително тези, свързани с големия дял на дълга, деноминиран в чуждестранна валута), дълговата позиция продължава да бъде устойчива в средносрочен план, като се има предвид и намаляването на дълга през последните години. По-специално, въпреки че равнището на държавния дълг се влоши в резултат на кризата, свързана с COVID-19, съотношението на дълга в базовия сценарий се очаква да има устойчиво (намаляващо) развитие в средносрочен план.</w:t>
      </w:r>
      <w:r>
        <w:rPr>
          <w:rStyle w:val="FootnoteReference"/>
          <w:rFonts w:eastAsiaTheme="minorHAnsi"/>
          <w:iCs/>
          <w:noProof/>
          <w:lang w:val="bg-BG"/>
        </w:rPr>
        <w:t xml:space="preserve"> </w:t>
      </w:r>
      <w:r>
        <w:rPr>
          <w:rStyle w:val="FootnoteReference"/>
          <w:rFonts w:eastAsiaTheme="minorHAnsi"/>
          <w:iCs/>
          <w:noProof/>
          <w:lang w:val="bg-BG"/>
        </w:rPr>
        <w:footnoteReference w:id="3"/>
      </w:r>
    </w:p>
    <w:p>
      <w:pPr>
        <w:keepNext/>
        <w:spacing w:before="240" w:after="120" w:line="240" w:lineRule="auto"/>
        <w:jc w:val="center"/>
        <w:rPr>
          <w:rFonts w:ascii="Times New Roman" w:eastAsia="Times New Roman" w:hAnsi="Times New Roman" w:cs="Calibri"/>
          <w:noProof/>
          <w:sz w:val="24"/>
          <w:lang w:val="bg-BG"/>
        </w:rPr>
      </w:pPr>
      <w:r>
        <w:rPr>
          <w:rFonts w:ascii="Times New Roman" w:hAnsi="Times New Roman"/>
          <w:b/>
          <w:noProof/>
          <w:sz w:val="24"/>
          <w:lang w:val="bg-BG"/>
        </w:rPr>
        <w:t>Графика</w:t>
      </w:r>
      <w:r>
        <w:rPr>
          <w:rFonts w:ascii="Times New Roman" w:hAnsi="Times New Roman"/>
          <w:b/>
          <w:noProof/>
          <w:sz w:val="24"/>
        </w:rPr>
        <w:t xml:space="preserve"> </w:t>
      </w:r>
      <w:r>
        <w:rPr>
          <w:rFonts w:ascii="Times New Roman" w:eastAsia="Times New Roman" w:hAnsi="Times New Roman" w:cs="Times New Roman"/>
          <w:b/>
          <w:noProof/>
          <w:sz w:val="24"/>
          <w:lang w:val="bg-BG"/>
        </w:rPr>
        <w:fldChar w:fldCharType="begin"/>
      </w:r>
      <w:r>
        <w:rPr>
          <w:rFonts w:ascii="Times New Roman" w:eastAsia="Times New Roman" w:hAnsi="Times New Roman" w:cs="Times New Roman"/>
          <w:b/>
          <w:noProof/>
          <w:sz w:val="24"/>
          <w:lang w:val="bg-BG"/>
        </w:rPr>
        <w:instrText xml:space="preserve"> SEQ Table \* ARABIC </w:instrText>
      </w:r>
      <w:r>
        <w:rPr>
          <w:rFonts w:ascii="Times New Roman" w:eastAsia="Times New Roman" w:hAnsi="Times New Roman" w:cs="Times New Roman"/>
          <w:b/>
          <w:noProof/>
          <w:sz w:val="24"/>
          <w:lang w:val="bg-BG"/>
        </w:rPr>
        <w:fldChar w:fldCharType="separate"/>
      </w:r>
      <w:r>
        <w:rPr>
          <w:rFonts w:ascii="Times New Roman" w:eastAsia="Times New Roman" w:hAnsi="Times New Roman" w:cs="Times New Roman"/>
          <w:b/>
          <w:noProof/>
          <w:sz w:val="24"/>
          <w:lang w:val="bg-BG"/>
        </w:rPr>
        <w:t>1</w:t>
      </w:r>
      <w:r>
        <w:rPr>
          <w:rFonts w:ascii="Times New Roman" w:eastAsia="Times New Roman" w:hAnsi="Times New Roman" w:cs="Times New Roman"/>
          <w:b/>
          <w:noProof/>
          <w:sz w:val="24"/>
          <w:lang w:val="bg-BG"/>
        </w:rPr>
        <w:fldChar w:fldCharType="end"/>
      </w:r>
      <w:r>
        <w:rPr>
          <w:rFonts w:ascii="Times New Roman" w:hAnsi="Times New Roman"/>
          <w:b/>
          <w:noProof/>
          <w:sz w:val="24"/>
          <w:lang w:val="bg-BG"/>
        </w:rPr>
        <w:t xml:space="preserve">. Консолидиран държавен дълг (% от БВП) </w:t>
      </w:r>
    </w:p>
    <w:p>
      <w:pPr>
        <w:spacing w:before="120" w:after="120" w:line="240" w:lineRule="auto"/>
        <w:jc w:val="center"/>
        <w:rPr>
          <w:rFonts w:ascii="Times New Roman" w:eastAsia="Times New Roman" w:hAnsi="Times New Roman" w:cs="Times New Roman"/>
          <w:iCs/>
          <w:noProof/>
          <w:sz w:val="24"/>
          <w:lang w:val="bg-BG"/>
        </w:rPr>
      </w:pPr>
      <w:r>
        <w:rPr>
          <w:noProof/>
          <w:lang w:eastAsia="en-GB"/>
        </w:rPr>
        <w:drawing>
          <wp:inline distT="0" distB="0" distL="0" distR="0">
            <wp:extent cx="5051834" cy="229588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67067" cy="2302804"/>
                    </a:xfrm>
                    <a:prstGeom prst="rect">
                      <a:avLst/>
                    </a:prstGeom>
                  </pic:spPr>
                </pic:pic>
              </a:graphicData>
            </a:graphic>
          </wp:inline>
        </w:drawing>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val="bg-BG"/>
        </w:rPr>
      </w:pPr>
      <w:r>
        <w:rPr>
          <w:rFonts w:ascii="Times New Roman" w:hAnsi="Times New Roman"/>
          <w:b/>
          <w:noProof/>
          <w:sz w:val="24"/>
          <w:lang w:val="bg-BG"/>
        </w:rPr>
        <w:t>4.5</w:t>
      </w:r>
      <w:r>
        <w:rPr>
          <w:noProof/>
          <w:lang w:val="bg-BG"/>
        </w:rPr>
        <w:tab/>
      </w:r>
      <w:r>
        <w:rPr>
          <w:rFonts w:ascii="Times New Roman" w:hAnsi="Times New Roman"/>
          <w:b/>
          <w:noProof/>
          <w:sz w:val="24"/>
          <w:lang w:val="bg-BG"/>
        </w:rPr>
        <w:t>Други фактори, представени от държавата членка</w:t>
      </w:r>
    </w:p>
    <w:p>
      <w:pPr>
        <w:spacing w:before="120" w:after="120" w:line="240" w:lineRule="auto"/>
        <w:jc w:val="both"/>
        <w:rPr>
          <w:rFonts w:ascii="Times New Roman" w:eastAsia="Times New Roman" w:hAnsi="Times New Roman" w:cs="Calibri"/>
          <w:bCs/>
          <w:noProof/>
          <w:sz w:val="24"/>
          <w:highlight w:val="yellow"/>
          <w:lang w:val="bg-BG"/>
        </w:rPr>
      </w:pPr>
      <w:r>
        <w:rPr>
          <w:rFonts w:ascii="Times New Roman" w:hAnsi="Times New Roman"/>
          <w:bCs/>
          <w:noProof/>
          <w:sz w:val="24"/>
          <w:lang w:val="bg-BG"/>
        </w:rPr>
        <w:t xml:space="preserve">На 11 май 2020 г. хърватските органи изпратиха писмо със съответните фактори в съответствие с разпоредбите на член 2, параграф 3 от Регламент (ЕО) № 1467/97. Анализът, представен в предишните раздели, вече обхваща в общи линии основните фактори, представени от органите. </w:t>
      </w:r>
    </w:p>
    <w:p>
      <w:pPr>
        <w:pStyle w:val="ManualHeading1"/>
        <w:rPr>
          <w:noProof/>
          <w:lang w:val="bg-BG"/>
        </w:rPr>
      </w:pPr>
      <w:r>
        <w:rPr>
          <w:noProof/>
          <w:lang w:val="bg-BG"/>
        </w:rPr>
        <w:t xml:space="preserve"> 5.</w:t>
      </w:r>
      <w:r>
        <w:rPr>
          <w:noProof/>
          <w:lang w:val="bg-BG"/>
        </w:rPr>
        <w:tab/>
        <w:t>Заключения</w:t>
      </w:r>
    </w:p>
    <w:p>
      <w:pPr>
        <w:spacing w:before="120" w:after="120" w:line="240" w:lineRule="auto"/>
        <w:jc w:val="both"/>
        <w:rPr>
          <w:rFonts w:ascii="Times New Roman" w:eastAsia="Times New Roman" w:hAnsi="Times New Roman" w:cs="Calibri"/>
          <w:bCs/>
          <w:noProof/>
          <w:sz w:val="24"/>
          <w:lang w:val="bg-BG"/>
        </w:rPr>
      </w:pPr>
      <w:r>
        <w:rPr>
          <w:rFonts w:ascii="Times New Roman" w:hAnsi="Times New Roman"/>
          <w:noProof/>
          <w:sz w:val="24"/>
          <w:lang w:val="bg-BG"/>
        </w:rPr>
        <w:t>Съгласно програмата за конвергенция се предвижда номиналният дефицит по консолидирания държавен бюджет на Хърватия през 2020 г. да достигне 6,8 % от БВП, което е над и не е близо до  референтната стойност от 3 % от БВП по Договора.</w:t>
      </w:r>
      <w:r>
        <w:rPr>
          <w:rFonts w:ascii="Times New Roman" w:hAnsi="Times New Roman"/>
          <w:bCs/>
          <w:noProof/>
          <w:sz w:val="24"/>
          <w:lang w:val="bg-BG"/>
        </w:rPr>
        <w:t xml:space="preserve"> Планираното надвишаване се счита за изключение и понастоящем се разглежда като временно.</w:t>
      </w:r>
    </w:p>
    <w:p>
      <w:pPr>
        <w:spacing w:before="120" w:after="120" w:line="240" w:lineRule="auto"/>
        <w:jc w:val="both"/>
        <w:rPr>
          <w:rFonts w:ascii="Times New Roman" w:eastAsia="Times New Roman" w:hAnsi="Times New Roman" w:cs="Calibri"/>
          <w:bCs/>
          <w:noProof/>
          <w:sz w:val="24"/>
          <w:lang w:val="bg-BG"/>
        </w:rPr>
      </w:pPr>
      <w:r>
        <w:rPr>
          <w:rFonts w:ascii="Times New Roman" w:hAnsi="Times New Roman"/>
          <w:bCs/>
          <w:noProof/>
          <w:sz w:val="24"/>
          <w:lang w:val="bg-BG"/>
        </w:rPr>
        <w:t>Брутният консолидиран държавен дълг е бил 73,2 % от БВП към края на 2019 г. — над  референтната стойност от 60 % от БВП по Договора.</w:t>
      </w:r>
      <w:r>
        <w:rPr>
          <w:rFonts w:ascii="Times New Roman" w:hAnsi="Times New Roman"/>
          <w:bCs/>
          <w:noProof/>
          <w:sz w:val="24"/>
          <w:szCs w:val="24"/>
          <w:lang w:val="bg-BG"/>
        </w:rPr>
        <w:t xml:space="preserve"> Хърватия е спазила целевия показател за намаляване на дълга през 2019 г.</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bCs/>
          <w:noProof/>
          <w:sz w:val="24"/>
          <w:lang w:val="bg-BG"/>
        </w:rPr>
        <w:t xml:space="preserve">В съответствие с Договора и Пакта за стабилност и растеж в настоящия доклад бяха разгледани и съответните фактори. </w:t>
      </w:r>
      <w:r>
        <w:rPr>
          <w:rFonts w:ascii="Times New Roman" w:hAnsi="Times New Roman"/>
          <w:noProof/>
          <w:sz w:val="24"/>
          <w:lang w:val="bg-BG"/>
        </w:rPr>
        <w:t xml:space="preserve">Както е посочено в член 2, параграф 4 от Регламент (ЕО) № 1467/97, що се отнася до спазването на критерия за дефицита, тъй като съотношението на държавния дълг към БВП надвишава референтната стойност от 60 % и двойното условие не е изпълнено — т.е. условието дефицитът да остане близо до референтната стойност и неговото превишение над референтната стойност да е временно — тези съответни фактори не могат да бъдат взети предвид при етапите, водещи до вземане на решение за наличието на прекомерен дефицит за Хърватия. </w:t>
      </w:r>
    </w:p>
    <w:p>
      <w:pPr>
        <w:spacing w:before="120" w:after="120" w:line="240" w:lineRule="auto"/>
        <w:jc w:val="both"/>
        <w:rPr>
          <w:rFonts w:ascii="Times New Roman" w:eastAsia="Times New Roman" w:hAnsi="Times New Roman" w:cs="Calibri"/>
          <w:bCs/>
          <w:noProof/>
          <w:sz w:val="24"/>
          <w:lang w:val="bg-BG" w:eastAsia="en-GB"/>
        </w:rPr>
      </w:pPr>
      <w:r>
        <w:rPr>
          <w:rFonts w:ascii="Times New Roman" w:hAnsi="Times New Roman"/>
          <w:noProof/>
          <w:sz w:val="24"/>
          <w:lang w:val="bg-BG"/>
        </w:rPr>
        <w:t>Като цяло анализът сочи, че критерият за дефицита, определен в Договора и в Регламент (ЕО) № 1467/1997, не е изпълнен.</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bg-BG"/>
        </w:rPr>
      </w:pPr>
      <w:r>
        <w:rPr>
          <w:rStyle w:val="FootnoteReference"/>
          <w:lang w:val="bg-BG"/>
        </w:rPr>
        <w:footnoteRef/>
      </w:r>
      <w:r>
        <w:rPr>
          <w:lang w:val="bg-BG"/>
        </w:rPr>
        <w:t xml:space="preserve"> https://ec.europa.eu/eurostat/documents/2995521/10294648/2-22042020-AP-EN.pdf/6c8f0ef4-6221-1094-fef7-a07764b0369f</w:t>
      </w:r>
    </w:p>
  </w:footnote>
  <w:footnote w:id="3">
    <w:p>
      <w:pPr>
        <w:pStyle w:val="FootnoteText"/>
        <w:ind w:left="0" w:firstLine="0"/>
        <w:rPr>
          <w:lang w:val="bg-BG"/>
        </w:rPr>
      </w:pPr>
      <w:r>
        <w:rPr>
          <w:rStyle w:val="FootnoteReference"/>
          <w:lang w:val="bg-BG"/>
        </w:rPr>
        <w:footnoteRef/>
      </w:r>
      <w:r>
        <w:rPr>
          <w:lang w:val="bg-BG"/>
        </w:rPr>
        <w:t xml:space="preserve"> Базовият сценарий се основава на прогнозата на Комисията от пролетта на 2020 г. След 2021 г. се предполага постепенно коригиране на фискалната политика в съответствие с рамките на ЕС за икономическа и фискална координация и наблюдение. Растежът на реалния БВП се предвижда съгласно т.нар. методика Т+10 на Комитета за икономическа политика/ Работната група за разликата между фактическия и потенциалния БВП . По-специално (реалният) действителният ръст на БВП се дължи на неговия потенциален растеж и е засегнат от всяка отчетена допълнителна бюджетна корекция (чрез фискалния мултипликатор). Допуска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неблагоприятния сценарий се допускат по-висок лихвен процент (с 500 базисни пункта) и по-нисък растеж на БВП (с -0,5 процентни пункта) по отношение на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C18470-C63E-475A-ACEE-2251033725EC"/>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61?\u1098?\u1088?\u1074?\u1072?\u1090?\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25683907">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ARES_TRANSFERRED_BY xmlns="8c142a86-6218-4657-8e10-fdc04089a95c" xsi:nil="true"/><EC_ARES_NUMBER xmlns="8c142a86-6218-4657-8e10-fdc04089a95c"><Url xsi:nil="true"></Url><Description xsi:nil="true"></Description></EC_ARES_NUMBER><EC_ARES_DATE_TRANSFERRED xmlns="8c142a86-6218-4657-8e10-fdc04089a95c" xsi:nil="true"/><EC_Collab_Status xmlns="$ListId:Shared Documents;">Not Started</EC_Collab_Status><EC_Collab_Reference xmlns="$ListId:Shared Documents;" xsi:nil="true"></EC_Collab_Reference><EC_Collab_DocumentLanguage xmlns="$ListId:Shared Documents;">EN</EC_Collab_DocumentLanguage></documentManagement></p:properties>
</file>

<file path=customXml/item2.xml><?xml version="1.0" encoding="utf-8"?><ct:contentTypeSchema ct:_="" ma:_="" ma:contentTypeName="EC Document" ma:contentTypeID="0x010100258AA79CEB83498886A3A0868112325000F84508A25D275C4799F712AE8B726482" ma:contentTypeVersion="4" ma:contentTypeDescription="Create a new document in this library." ma:contentTypeScope="" ma:versionID="117aa9363da08b0cf82a0de1a57d54a9" xmlns:ct="http://schemas.microsoft.com/office/2006/metadata/contentType" xmlns:ma="http://schemas.microsoft.com/office/2006/metadata/properties/metaAttributes">
<xsd:schema targetNamespace="http://schemas.microsoft.com/office/2006/metadata/properties" ma:root="true" ma:fieldsID="a2fa2a56fb054682c198116de18eadd2" ns3:_="" ns4:_="" xmlns:xsd="http://www.w3.org/2001/XMLSchema" xmlns:xs="http://www.w3.org/2001/XMLSchema" xmlns:p="http://schemas.microsoft.com/office/2006/metadata/properties" xmlns:ns3="$ListId:Shared Documents;" xmlns:ns4="8c142a86-6218-4657-8e10-fdc04089a95c">
<xsd:import namespace="$ListId:Shared Documents;"/>
<xsd:import namespace="8c142a86-6218-4657-8e10-fdc04089a95c"/>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8c142a86-6218-4657-8e10-fdc04089a95c"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5C6A0-1861-4E5F-9FC7-0DBFE3D32811}">
  <ds:schemaRefs>
    <ds:schemaRef ds:uri="http://schemas.microsoft.com/office/2006/documentManagement/types"/>
    <ds:schemaRef ds:uri="http://schemas.microsoft.com/office/infopath/2007/PartnerControls"/>
    <ds:schemaRef ds:uri="8c142a86-6218-4657-8e10-fdc04089a95c"/>
    <ds:schemaRef ds:uri="$ListId:Shared Document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54C0BA4-B09E-4167-AED6-C106AF729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8c142a86-6218-4657-8e10-fdc04089a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339BB-59C0-4EB2-BDC2-430B5B24F73C}">
  <ds:schemaRefs>
    <ds:schemaRef ds:uri="http://schemas.microsoft.com/sharepoint/v3/contenttype/forms"/>
  </ds:schemaRefs>
</ds:datastoreItem>
</file>

<file path=customXml/itemProps4.xml><?xml version="1.0" encoding="utf-8"?>
<ds:datastoreItem xmlns:ds="http://schemas.openxmlformats.org/officeDocument/2006/customXml" ds:itemID="{ED5852A6-EE5F-4216-98F4-4436A2D3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2059</Words>
  <Characters>11185</Characters>
  <Application>Microsoft Office Word</Application>
  <DocSecurity>0</DocSecurity>
  <Lines>243</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cp:lastPrinted>2019-05-13T14:09:00Z</cp:lastPrinted>
  <dcterms:created xsi:type="dcterms:W3CDTF">2020-06-01T17:02:00Z</dcterms:created>
  <dcterms:modified xsi:type="dcterms:W3CDTF">2020-06-03T16:53:00Z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LW_INVALIDATED__LW_INVALIDATED__LW_INVALIDATED_ContentTypeId">
    <vt:lpwstr>0x010100258AA79CEB83498886A3A0868112325000F84508A25D275C4799F712AE8B726482</vt:lpwstr>
  </property>
</Properties>
</file>