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17CD47E-6A92-4C2F-AAE4-223C437418A1" style="width:451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Естония</w:t>
      </w:r>
      <w:r>
        <w:rPr>
          <w:noProof/>
        </w:rPr>
        <w:br/>
      </w:r>
      <w:r>
        <w:rPr>
          <w:noProof/>
        </w:rPr>
        <w:br/>
        <w:t>Доклад, изготвен в съответствие с член 126, параграф 3 от Договора за функционирането на Европейския съюз</w:t>
      </w:r>
    </w:p>
    <w:p>
      <w:pPr>
        <w:pStyle w:val="Sous-titreobjet"/>
        <w:jc w:val="left"/>
        <w:rPr>
          <w:noProof/>
          <w:highlight w:val="gree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1.</w:t>
      </w:r>
      <w:r>
        <w:rPr>
          <w:rFonts w:ascii="Times New Roman" w:hAnsi="Times New Roman"/>
          <w:b/>
          <w:smallCaps/>
          <w:noProof/>
        </w:rPr>
        <w:tab/>
      </w:r>
      <w:r>
        <w:rPr>
          <w:rFonts w:ascii="Times New Roman" w:hAnsi="Times New Roman"/>
          <w:b/>
          <w:smallCaps/>
          <w:noProof/>
          <w:sz w:val="24"/>
          <w:szCs w:val="24"/>
        </w:rPr>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от Пакта за стабилност и растеж. Клаузата, както е посочено в член 5, параграф 1, член 6, параграф 3, член 9, параграф 1 и член 10, параграф 1 от Регламент (ЕО) 1466/97 и в член 3, параграф 5 и член 5, параграф 2 от Регламент (ЕО) 1467/97, улеснява координирането на бюджетните политики във времена на сериозен икономически спад. В своето съобщение Комисията споделя становището на Съвета, че предвид очаквания сериозен икономически спад в резултат на избухването на епидемията от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това не застрашава фискалната устойчивост в средносрочен план. За корективната част на ПСР Съветът може също така да реши, по препоръка от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отклоняват от бюджетните изисквания, които по принцип биха били приложими, като същевременно дава възможност на Комисията и на Съвета да предприемат необходимите мерки за координиране на политиките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които бяха предоставени от естонските органи на 31 март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 показват, че дефицитът по консолидирания държавен бюджет в Естония е достигнал 0,3 % от БВП през 2019 г., а брутният консолидиран държавен дълг е възлизал на 8,4 % от БВП</w:t>
      </w:r>
      <w:r>
        <w:rPr>
          <w:noProof/>
          <w:sz w:val="24"/>
          <w:szCs w:val="24"/>
        </w:rPr>
        <w:t>.</w:t>
      </w:r>
      <w:r>
        <w:rPr>
          <w:rFonts w:ascii="Times New Roman" w:hAnsi="Times New Roman"/>
          <w:noProof/>
          <w:sz w:val="24"/>
          <w:szCs w:val="24"/>
        </w:rPr>
        <w:t xml:space="preserve"> Според програмата за конвергенция за 2020 г. Естония предвижда дефицит от 10,1 % от БВП през 2020 г. и дълг в размер на 21,9 % от БВП. </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Планираният дефицит за 2020 г. предоставя </w:t>
      </w:r>
      <w:r>
        <w:rPr>
          <w:rFonts w:ascii="Times New Roman" w:hAnsi="Times New Roman"/>
          <w:i/>
          <w:noProof/>
          <w:sz w:val="24"/>
          <w:szCs w:val="24"/>
        </w:rPr>
        <w:t>prima facie</w:t>
      </w:r>
      <w:r>
        <w:rPr>
          <w:rFonts w:ascii="Times New Roman" w:hAnsi="Times New Roman"/>
          <w:noProof/>
          <w:sz w:val="24"/>
          <w:szCs w:val="24"/>
        </w:rPr>
        <w:t xml:space="preserve"> доказателство за наличието на прекомерен дефицит, както е определен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Поради това в този контекст Комисията изготви настоящия доклад, в който се анализира спазването от страна на Естония на заложения в Договора критерий за дефицита. Критерият за дълга може да се счита за изпълнен, тъй като съотношението на дълга е под предвидената в Договора референтна стойност от 60 % от БВП. В него </w:t>
      </w:r>
      <w:r>
        <w:rPr>
          <w:rFonts w:ascii="Times New Roman" w:hAnsi="Times New Roman"/>
          <w:noProof/>
          <w:sz w:val="24"/>
          <w:szCs w:val="24"/>
        </w:rPr>
        <w:lastRenderedPageBreak/>
        <w:t xml:space="preserve">се отчитат всички действащи фактори и се обръща необходимото внимание на голямото икономическо сътресение, свързано с пандемията от COVID-19. </w:t>
      </w:r>
    </w:p>
    <w:p>
      <w:pPr>
        <w:keepNext/>
        <w:spacing w:before="240" w:after="120" w:line="240" w:lineRule="auto"/>
        <w:jc w:val="center"/>
        <w:rPr>
          <w:rFonts w:ascii="Times New Roman" w:eastAsia="Times New Roman" w:hAnsi="Times New Roman" w:cs="Calibri"/>
          <w:noProof/>
          <w:sz w:val="24"/>
          <w:szCs w:val="24"/>
        </w:rPr>
      </w:pPr>
      <w:r>
        <w:rPr>
          <w:rFonts w:ascii="Times New Roman" w:hAnsi="Times New Roman"/>
          <w:b/>
          <w:noProof/>
          <w:sz w:val="24"/>
          <w:szCs w:val="24"/>
        </w:rPr>
        <w:t xml:space="preserve">Таблица </w:t>
      </w:r>
      <w:r>
        <w:rPr>
          <w:rFonts w:ascii="Times New Roman" w:eastAsia="Times New Roman" w:hAnsi="Times New Roman" w:cs="Times New Roman"/>
          <w:b/>
          <w:noProof/>
          <w:sz w:val="24"/>
          <w:szCs w:val="24"/>
        </w:rPr>
        <w:fldChar w:fldCharType="begin"/>
      </w:r>
      <w:r>
        <w:rPr>
          <w:rFonts w:ascii="Times New Roman" w:eastAsia="Times New Roman" w:hAnsi="Times New Roman" w:cs="Times New Roman"/>
          <w:b/>
          <w:noProof/>
          <w:sz w:val="24"/>
          <w:szCs w:val="24"/>
        </w:rPr>
        <w:instrText xml:space="preserve"> SEQ Table \* ARABIC </w:instrText>
      </w:r>
      <w:r>
        <w:rPr>
          <w:rFonts w:ascii="Times New Roman" w:eastAsia="Times New Roman" w:hAnsi="Times New Roman" w:cs="Times New Roman"/>
          <w:b/>
          <w:noProof/>
          <w:sz w:val="24"/>
          <w:szCs w:val="24"/>
        </w:rPr>
        <w:fldChar w:fldCharType="separate"/>
      </w:r>
      <w:r>
        <w:rPr>
          <w:rFonts w:ascii="Times New Roman" w:eastAsia="Times New Roman" w:hAnsi="Times New Roman" w:cs="Times New Roman"/>
          <w:b/>
          <w:noProof/>
          <w:sz w:val="24"/>
          <w:szCs w:val="24"/>
        </w:rPr>
        <w:t>1</w:t>
      </w:r>
      <w:r>
        <w:rPr>
          <w:rFonts w:ascii="Times New Roman" w:eastAsia="Times New Roman" w:hAnsi="Times New Roman" w:cs="Times New Roman"/>
          <w:b/>
          <w:noProof/>
          <w:sz w:val="24"/>
          <w:szCs w:val="24"/>
        </w:rPr>
        <w:fldChar w:fldCharType="end"/>
      </w:r>
      <w:r>
        <w:rPr>
          <w:rFonts w:ascii="Times New Roman" w:hAnsi="Times New Roman"/>
          <w:b/>
          <w:noProof/>
          <w:sz w:val="24"/>
          <w:szCs w:val="24"/>
        </w:rPr>
        <w:t xml:space="preserve">. Дефицит по консолидирания държавен бюджет и консолидиран държавен дълг (% от БВП) </w:t>
      </w:r>
    </w:p>
    <w:tbl>
      <w:tblPr>
        <w:tblStyle w:val="TableGrid"/>
        <w:tblW w:w="0" w:type="auto"/>
        <w:tblLayout w:type="fixed"/>
        <w:tblLook w:val="04A0" w:firstRow="1" w:lastRow="0" w:firstColumn="1" w:lastColumn="0" w:noHBand="0" w:noVBand="1"/>
      </w:tblPr>
      <w:tblGrid>
        <w:gridCol w:w="1384"/>
        <w:gridCol w:w="2552"/>
        <w:gridCol w:w="850"/>
        <w:gridCol w:w="851"/>
        <w:gridCol w:w="850"/>
        <w:gridCol w:w="851"/>
        <w:gridCol w:w="981"/>
        <w:gridCol w:w="923"/>
      </w:tblGrid>
      <w:tr>
        <w:trPr>
          <w:trHeight w:val="603"/>
        </w:trPr>
        <w:tc>
          <w:tcPr>
            <w:tcW w:w="1384" w:type="dxa"/>
          </w:tcPr>
          <w:p>
            <w:pPr>
              <w:keepNext/>
              <w:jc w:val="center"/>
              <w:rPr>
                <w:rFonts w:ascii="Times New Roman" w:eastAsia="Times New Roman" w:hAnsi="Times New Roman" w:cs="Calibri"/>
                <w:noProof/>
                <w:sz w:val="20"/>
                <w:szCs w:val="20"/>
              </w:rPr>
            </w:pPr>
          </w:p>
        </w:tc>
        <w:tc>
          <w:tcPr>
            <w:tcW w:w="2552" w:type="dxa"/>
          </w:tcPr>
          <w:p>
            <w:pPr>
              <w:keepNext/>
              <w:jc w:val="center"/>
              <w:rPr>
                <w:rFonts w:ascii="Times New Roman" w:eastAsia="Times New Roman" w:hAnsi="Times New Roman" w:cs="Calibri"/>
                <w:noProof/>
                <w:sz w:val="20"/>
                <w:szCs w:val="20"/>
              </w:rPr>
            </w:pPr>
          </w:p>
        </w:tc>
        <w:tc>
          <w:tcPr>
            <w:tcW w:w="850"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85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850"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85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98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92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38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25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850"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 xml:space="preserve">-0,5 </w:t>
            </w:r>
          </w:p>
        </w:tc>
        <w:tc>
          <w:tcPr>
            <w:tcW w:w="85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-0,8</w:t>
            </w:r>
          </w:p>
        </w:tc>
        <w:tc>
          <w:tcPr>
            <w:tcW w:w="850"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-0,6</w:t>
            </w:r>
          </w:p>
        </w:tc>
        <w:tc>
          <w:tcPr>
            <w:tcW w:w="85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-0,3</w:t>
            </w:r>
          </w:p>
        </w:tc>
        <w:tc>
          <w:tcPr>
            <w:tcW w:w="98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8,3</w:t>
            </w:r>
          </w:p>
        </w:tc>
        <w:tc>
          <w:tcPr>
            <w:tcW w:w="92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3,4</w:t>
            </w:r>
          </w:p>
        </w:tc>
      </w:tr>
      <w:tr>
        <w:tc>
          <w:tcPr>
            <w:tcW w:w="138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25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850"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 xml:space="preserve">10,2 </w:t>
            </w:r>
          </w:p>
        </w:tc>
        <w:tc>
          <w:tcPr>
            <w:tcW w:w="85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9,3</w:t>
            </w:r>
          </w:p>
        </w:tc>
        <w:tc>
          <w:tcPr>
            <w:tcW w:w="850"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8,4</w:t>
            </w:r>
          </w:p>
        </w:tc>
        <w:tc>
          <w:tcPr>
            <w:tcW w:w="851"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8,4</w:t>
            </w:r>
          </w:p>
        </w:tc>
        <w:tc>
          <w:tcPr>
            <w:tcW w:w="981" w:type="dxa"/>
          </w:tcPr>
          <w:p>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rPr>
              <w:t xml:space="preserve">20,7 </w:t>
            </w:r>
          </w:p>
        </w:tc>
        <w:tc>
          <w:tcPr>
            <w:tcW w:w="923" w:type="dxa"/>
          </w:tcPr>
          <w:p>
            <w:pPr>
              <w:keepNext/>
              <w:jc w:val="center"/>
              <w:rPr>
                <w:rFonts w:ascii="Times New Roman" w:eastAsia="Times New Roman" w:hAnsi="Times New Roman" w:cs="Calibri"/>
                <w:noProof/>
                <w:sz w:val="20"/>
                <w:szCs w:val="20"/>
                <w:highlight w:val="lightGray"/>
              </w:rPr>
            </w:pPr>
            <w:r>
              <w:rPr>
                <w:rFonts w:ascii="Times New Roman" w:hAnsi="Times New Roman"/>
                <w:noProof/>
                <w:sz w:val="20"/>
                <w:szCs w:val="20"/>
              </w:rPr>
              <w:t>22,6</w:t>
            </w:r>
          </w:p>
        </w:tc>
      </w:tr>
    </w:tbl>
    <w:p>
      <w:pPr>
        <w:keepNext/>
        <w:spacing w:after="0" w:line="240" w:lineRule="auto"/>
        <w:rPr>
          <w:rFonts w:ascii="Times New Roman" w:eastAsia="Times New Roman" w:hAnsi="Times New Roman" w:cs="Calibri"/>
          <w:noProof/>
          <w:sz w:val="20"/>
          <w:szCs w:val="20"/>
        </w:rPr>
      </w:pPr>
      <w:r>
        <w:rPr>
          <w:rFonts w:ascii="Times New Roman" w:hAnsi="Times New Roman"/>
          <w:noProof/>
          <w:sz w:val="20"/>
          <w:szCs w:val="20"/>
        </w:rPr>
        <w:t>Източник: Евростат, Прогноза на Комисията от пролетта на 2020 г.</w:t>
      </w:r>
    </w:p>
    <w:p>
      <w:pPr>
        <w:pStyle w:val="ManualHeading1"/>
        <w:rPr>
          <w:noProof/>
          <w:szCs w:val="24"/>
        </w:rPr>
      </w:pPr>
      <w:r>
        <w:rPr>
          <w:smallCaps w:val="0"/>
          <w:noProof/>
          <w:szCs w:val="24"/>
        </w:rPr>
        <w:t>2.</w:t>
      </w:r>
      <w:r>
        <w:rPr>
          <w:b w:val="0"/>
          <w:smallCaps w:val="0"/>
          <w:noProof/>
          <w:szCs w:val="24"/>
        </w:rPr>
        <w:tab/>
      </w:r>
      <w:r>
        <w:rPr>
          <w:noProof/>
          <w:szCs w:val="24"/>
        </w:rPr>
        <w:t xml:space="preserve">Критерий за дефицита </w:t>
      </w:r>
    </w:p>
    <w:p>
      <w:pPr>
        <w:spacing w:before="120" w:after="120" w:line="240" w:lineRule="auto"/>
        <w:jc w:val="both"/>
        <w:rPr>
          <w:rFonts w:ascii="Times New Roman" w:eastAsia="Calibri" w:hAnsi="Times New Roman" w:cs="Times New Roman"/>
          <w:noProof/>
          <w:sz w:val="24"/>
          <w:szCs w:val="24"/>
          <w:highlight w:val="yellow"/>
        </w:rPr>
      </w:pP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програмата за конвергенция за 2020 г. се очаква дефицитът по консолидирания държавен бюджет на Естония да достигне 10,1 % от БВП през 2020 г., превишавайки референтната стойност по Договора от 3 % от БВП. Рязкото покачване на дефицита отразява планираните стимули в размер на 4,3 % от БВП и последиците от икономическата криза.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Планираното превишение на референтната стойност по Договора през 2020 г. е изключение, тъй като се дължи на сериозен икономически спад. Като се има предвид въздействието на пандемията от COVID-19, в прогнозата на Комисията от пролетта на 2020 г. се предвижда реалният БВП да се свие със 6,9 % през 2020 г.</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Въз основа на прогнозата на Комисията от пролетта на 2020 г. планираното превишение на референтната стойност от 3 % от БВП не е временно. В нея се предвижда дефицитът да остане над референтната стойност през 2021 г.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обобщение размерът на планирания дефицит за 2020 г. остава по-висок от референтната стойност по Договора от 3 % от БВП и не близък до нея. Планираното превишение се счита за изключение, но не за временно отклонение, както е определено в Договора и в Пакта за стабилност и растеж. Следователно анализът предполага, че </w:t>
      </w:r>
      <w:r>
        <w:rPr>
          <w:rFonts w:ascii="Times New Roman" w:hAnsi="Times New Roman"/>
          <w:bCs/>
          <w:i/>
          <w:noProof/>
          <w:sz w:val="24"/>
          <w:szCs w:val="24"/>
        </w:rPr>
        <w:t>prima facie</w:t>
      </w:r>
      <w:r>
        <w:rPr>
          <w:rFonts w:ascii="Times New Roman" w:hAnsi="Times New Roman"/>
          <w:noProof/>
          <w:sz w:val="24"/>
          <w:szCs w:val="24"/>
        </w:rPr>
        <w:t xml:space="preserve"> критерият за дефицита, както е определен в Договора и в Регламент (ЕО) № 1467/97 не е изпълнен въз основа на прогнозата на Комисията от пролетта на 2019 г. и на програмата за стабилност.</w:t>
      </w:r>
    </w:p>
    <w:p>
      <w:pPr>
        <w:keepNext/>
        <w:tabs>
          <w:tab w:val="left" w:pos="850"/>
        </w:tabs>
        <w:spacing w:before="360" w:after="120" w:line="240" w:lineRule="auto"/>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3.</w:t>
      </w:r>
      <w:r>
        <w:rPr>
          <w:rFonts w:ascii="Times New Roman" w:hAnsi="Times New Roman"/>
          <w:b/>
          <w:smallCaps/>
          <w:noProof/>
          <w:sz w:val="24"/>
          <w:szCs w:val="24"/>
        </w:rPr>
        <w:tab/>
        <w:t xml:space="preserve">Действащи фактори </w:t>
      </w:r>
    </w:p>
    <w:p>
      <w:pPr>
        <w:spacing w:before="120" w:after="120" w:line="240" w:lineRule="auto"/>
        <w:jc w:val="both"/>
        <w:rPr>
          <w:rFonts w:ascii="Times New Roman" w:eastAsia="Times New Roman" w:hAnsi="Times New Roman" w:cs="Calibri"/>
          <w:bCs/>
          <w:noProof/>
          <w:spacing w:val="-4"/>
          <w:sz w:val="24"/>
          <w:szCs w:val="24"/>
        </w:rPr>
      </w:pPr>
      <w:r>
        <w:rPr>
          <w:rFonts w:ascii="Times New Roman" w:hAnsi="Times New Roman"/>
          <w:bCs/>
          <w:noProof/>
          <w:spacing w:val="-4"/>
          <w:sz w:val="24"/>
          <w:szCs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Докладът също трябва да вземе предвид дали бюджетният дефицит надвишава държавните инвестиционни разходи, както и всички останали действащи фактори, включително средносрочното икономическо и бюджетно състояние на държавата членка.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Тези фактори са изяснени допълнително в член 2, параграф 3 от Регламент (ЕО) № 1467/97,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w:t>
      </w:r>
    </w:p>
    <w:p>
      <w:pPr>
        <w:keepNext/>
        <w:tabs>
          <w:tab w:val="left" w:pos="850"/>
        </w:tabs>
        <w:spacing w:before="360" w:after="120" w:line="240" w:lineRule="auto"/>
        <w:ind w:left="851" w:hanging="851"/>
        <w:jc w:val="both"/>
        <w:outlineLvl w:val="1"/>
        <w:rPr>
          <w:rFonts w:ascii="Times New Roman" w:eastAsia="Times New Roman" w:hAnsi="Times New Roman" w:cs="Times New Roman"/>
          <w:noProof/>
          <w:sz w:val="24"/>
          <w:szCs w:val="24"/>
        </w:rPr>
      </w:pPr>
      <w:r>
        <w:rPr>
          <w:rFonts w:ascii="Times New Roman" w:hAnsi="Times New Roman"/>
          <w:noProof/>
          <w:sz w:val="24"/>
          <w:szCs w:val="24"/>
        </w:rPr>
        <w:t>В настоящата ситуация основен допълнителен фактор, който трябва да се вземе под внимание по отношение на 2020 г., е икономическото въздействие на пандемията от COVID- 19, която се отразява в значителна степен на състоянието на бюджета и води до твърде несигурни перспективи. Пандемията също така доведе до активирането на общата клауза за дерогация.</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3.1</w:t>
      </w:r>
      <w:r>
        <w:rPr>
          <w:rFonts w:ascii="Times New Roman" w:hAnsi="Times New Roman"/>
          <w:b/>
          <w:noProof/>
          <w:sz w:val="24"/>
          <w:szCs w:val="24"/>
        </w:rPr>
        <w:tab/>
      </w:r>
      <w:r>
        <w:rPr>
          <w:rFonts w:ascii="Times New Roman" w:hAnsi="Times New Roman"/>
          <w:b/>
          <w:noProof/>
          <w:sz w:val="24"/>
          <w:szCs w:val="24"/>
        </w:rPr>
        <w:tab/>
        <w:t xml:space="preserve">Пандемията от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които се предприемат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z w:val="24"/>
          <w:szCs w:val="24"/>
        </w:rPr>
        <w:t>Държавите вече приеха или са в процес на приемане на бюджетни мерки за увеличаване на капацитета на здравните системи и за облекчаване на положението на засегнатите в особена степен лица и сектори. Бяха приети и съществени мерки за подкрепа за ликвидност и други гаранции. При условие че се предостави по-подробна информация, компетентните статистически органи трябва да проучат дали тези мерки водят до незабавно въздействие върху салдото по консолидирания държавен бюджет или не. Заедно със спада на икономическата дейност тези мерки ще допринесат за значително повишаване на държавния дефицит и държавния дълг.</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3.2</w:t>
      </w:r>
      <w:r>
        <w:rPr>
          <w:rFonts w:ascii="Times New Roman" w:hAnsi="Times New Roman"/>
          <w:b/>
          <w:noProof/>
          <w:sz w:val="24"/>
          <w:szCs w:val="24"/>
        </w:rPr>
        <w:tab/>
        <w:t xml:space="preserve">Състояние на икономиката в средносрочен план </w:t>
      </w:r>
    </w:p>
    <w:p>
      <w:pPr>
        <w:spacing w:before="120" w:after="120" w:line="240" w:lineRule="auto"/>
        <w:jc w:val="both"/>
        <w:rPr>
          <w:rFonts w:ascii="Times New Roman" w:eastAsia="Times New Roman" w:hAnsi="Times New Roman" w:cs="Calibri"/>
          <w:bCs/>
          <w:i/>
          <w:noProof/>
          <w:sz w:val="24"/>
          <w:szCs w:val="24"/>
          <w:highlight w:val="cyan"/>
        </w:rPr>
      </w:pP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Според прогнозата на Комисията от пролетта на 2020 г. реалният БВП на Естония се очаква да спадне с около 7 %, следван от бързо възстановяване през 2021 г. В допълнение към сътресението на вътрешното търсене се очаква да бъде засегнат и износът заради намаляващото външно търсене.</w:t>
      </w:r>
      <w:r>
        <w:rPr>
          <w:noProof/>
          <w:sz w:val="24"/>
          <w:szCs w:val="24"/>
        </w:rPr>
        <w:t xml:space="preserve"> </w:t>
      </w:r>
      <w:r>
        <w:rPr>
          <w:rFonts w:ascii="Times New Roman" w:hAnsi="Times New Roman"/>
          <w:noProof/>
          <w:sz w:val="24"/>
          <w:szCs w:val="24"/>
        </w:rPr>
        <w:t>Очаква се равнището на безработицата да надхвърли 9 % през 2020 г. спрямо 4,4 % през 2019 г.</w:t>
      </w:r>
      <w:r>
        <w:rPr>
          <w:noProof/>
          <w:sz w:val="24"/>
          <w:szCs w:val="24"/>
        </w:rPr>
        <w:t xml:space="preserve"> </w:t>
      </w:r>
    </w:p>
    <w:p>
      <w:pPr>
        <w:spacing w:before="120" w:after="120" w:line="240" w:lineRule="auto"/>
        <w:jc w:val="both"/>
        <w:rPr>
          <w:rFonts w:ascii="Times New Roman" w:eastAsia="Times New Roman" w:hAnsi="Times New Roman" w:cs="Times New Roman"/>
          <w:noProof/>
          <w:spacing w:val="-4"/>
          <w:sz w:val="24"/>
          <w:szCs w:val="24"/>
        </w:rPr>
      </w:pPr>
      <w:r>
        <w:rPr>
          <w:rFonts w:ascii="Times New Roman" w:hAnsi="Times New Roman"/>
          <w:noProof/>
          <w:spacing w:val="-4"/>
          <w:sz w:val="24"/>
          <w:szCs w:val="24"/>
        </w:rPr>
        <w:t>В макроикономическите прогнози на програмите за стабилност се отбелязва голяма несигурност по отношение на продължителността на пандемията, както и несигурността, свързана с нейното икономическо въздействие. Програмата предвижда БВП да се свие с 8 % през 2020 г., но да се възстанови през 2021 г., при условие че извънредната ситуация продължи до края на май 2020 г., и че след това ще започне постепенно възстановяване на икономическата дейност. Резкият спад в БВП е смекчаващ фактор, когато се преценява спазването от страна на Естония на критерия за дефицит през 2020 г.</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rFonts w:ascii="Times New Roman" w:hAnsi="Times New Roman"/>
          <w:b/>
          <w:noProof/>
          <w:sz w:val="24"/>
          <w:szCs w:val="24"/>
        </w:rPr>
        <w:tab/>
      </w:r>
      <w:r>
        <w:rPr>
          <w:rFonts w:ascii="Times New Roman" w:hAnsi="Times New Roman"/>
          <w:b/>
          <w:noProof/>
          <w:sz w:val="24"/>
          <w:szCs w:val="24"/>
        </w:rPr>
        <w:tab/>
        <w:t>Състояние на бюджета в средносрочен план</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hAnsi="Times New Roman" w:cs="Times New Roman"/>
          <w:noProof/>
          <w:sz w:val="24"/>
          <w:szCs w:val="24"/>
          <w:highlight w:val="yellow"/>
        </w:rPr>
      </w:pPr>
      <w:r>
        <w:rPr>
          <w:rFonts w:ascii="Times New Roman" w:hAnsi="Times New Roman"/>
          <w:noProof/>
          <w:sz w:val="24"/>
          <w:szCs w:val="24"/>
        </w:rPr>
        <w:t>На 13 юли 2018 г. на Естония бе препоръчано да гарантира, че номиналният темп на растеж на нетните първични държавни разходи не надвишава 4,1 % през 2019 г. („целевия показател за разходите“), което съответства на структурна корекция от 0,6 % от БВП</w:t>
      </w:r>
      <w:r>
        <w:rPr>
          <w:rStyle w:val="FootnoteReference"/>
          <w:rFonts w:eastAsiaTheme="minorHAnsi"/>
          <w:noProof/>
          <w:sz w:val="24"/>
          <w:szCs w:val="24"/>
        </w:rPr>
        <w:footnoteReference w:id="3"/>
      </w:r>
      <w:r>
        <w:rPr>
          <w:noProof/>
          <w:sz w:val="24"/>
          <w:szCs w:val="24"/>
        </w:rPr>
        <w:t>.</w:t>
      </w:r>
      <w:r>
        <w:rPr>
          <w:rFonts w:ascii="Times New Roman" w:hAnsi="Times New Roman"/>
          <w:noProof/>
          <w:sz w:val="24"/>
          <w:szCs w:val="24"/>
        </w:rPr>
        <w:t xml:space="preserve"> Въз основа на данните за изпълнението и на прогнозата на Комисията растежът на разходите надхвърли този показател с отклонение от 1,7 % от БВП през 2019 г., което представлява значително отклонение. Това заключение се потвърждава и за годините 2018 и 2019, взети заедно. Структурното салдо остава непроменено през 2019 г., което показва известно отклонение от 0,3 % от БВП през 2019 г., като същевременно е отбелязано значително отклонение през годините 2018 и 2019, взети заедно. В общата оценка се посочва значително отклонение от препоръчания план за корекции за постигане на средносрочната бюджетна цел през 2019 г.</w:t>
      </w:r>
    </w:p>
    <w:p>
      <w:pPr>
        <w:spacing w:before="120" w:after="120" w:line="240" w:lineRule="auto"/>
        <w:jc w:val="both"/>
        <w:rPr>
          <w:noProof/>
          <w:spacing w:val="-4"/>
          <w:sz w:val="24"/>
          <w:szCs w:val="24"/>
        </w:rPr>
      </w:pPr>
      <w:r>
        <w:rPr>
          <w:rFonts w:ascii="Times New Roman" w:hAnsi="Times New Roman"/>
          <w:noProof/>
          <w:spacing w:val="-4"/>
          <w:sz w:val="24"/>
          <w:szCs w:val="24"/>
        </w:rPr>
        <w:t>В програмата за стабилност се предвижда, че дефицитът от 10,1 % от БВП през 2020 г. ще намалее през 2021 г., когато се очаква икономиката да се възстанови и по-голямата част от бюджетните мерки да приключат.</w:t>
      </w:r>
      <w:r>
        <w:rPr>
          <w:noProof/>
          <w:spacing w:val="-4"/>
          <w:sz w:val="24"/>
          <w:szCs w:val="24"/>
        </w:rPr>
        <w:t xml:space="preserve"> </w:t>
      </w:r>
      <w:r>
        <w:rPr>
          <w:rFonts w:ascii="Times New Roman" w:hAnsi="Times New Roman"/>
          <w:noProof/>
          <w:spacing w:val="-4"/>
          <w:sz w:val="24"/>
          <w:szCs w:val="24"/>
        </w:rPr>
        <w:t>Очаква се структурното бюджетно салдо да се подобри от дефицит от 5,2 % през 2020 г. на дефицит от 0,8 % от БВП през 2021 г.</w:t>
      </w:r>
      <w:r>
        <w:rPr>
          <w:rStyle w:val="FootnoteReference"/>
          <w:rFonts w:eastAsiaTheme="minorHAnsi"/>
          <w:noProof/>
          <w:spacing w:val="-4"/>
          <w:sz w:val="24"/>
          <w:szCs w:val="24"/>
        </w:rPr>
        <w:footnoteReference w:id="4"/>
      </w:r>
      <w:r>
        <w:rPr>
          <w:rFonts w:ascii="Times New Roman" w:hAnsi="Times New Roman"/>
          <w:noProof/>
          <w:spacing w:val="-4"/>
          <w:sz w:val="24"/>
          <w:szCs w:val="24"/>
        </w:rPr>
        <w:t>. В програмата за стабилност се предоставя информация относно съществени мерки за ограничаване на пандемията и за подпомагане на икономиката. В него отражението върху бюджета на тези преки мерки за подпомагане е оценено на 4,3 % от БВП през 2020 г. Средносрочната фискална перспектива продължава да е изложена на голяма несигурност.</w:t>
      </w:r>
    </w:p>
    <w:p>
      <w:pPr>
        <w:spacing w:before="120" w:after="120" w:line="240" w:lineRule="auto"/>
        <w:jc w:val="both"/>
        <w:rPr>
          <w:rFonts w:ascii="Times New Roman" w:eastAsia="Times New Roman" w:hAnsi="Times New Roman" w:cs="Times New Roman"/>
          <w:noProof/>
          <w:sz w:val="24"/>
          <w:szCs w:val="24"/>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3.4</w:t>
      </w:r>
      <w:r>
        <w:rPr>
          <w:rFonts w:ascii="Times New Roman" w:hAnsi="Times New Roman"/>
          <w:b/>
          <w:noProof/>
          <w:sz w:val="24"/>
          <w:szCs w:val="24"/>
        </w:rPr>
        <w:tab/>
        <w:t xml:space="preserve">Други фактори, изтъкнати от държавата членка </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 xml:space="preserve">На 12 май 2020 г. естонските органи изпратиха писмо с действащите фактори в съответствие с разпоредбите в член 2, параграф 3 от Регламент (ЕО) № 1467/97. Анализът, представен в предходните раздели, вече обхваща в голяма степен основните фактори, изложени от органите. </w:t>
      </w:r>
    </w:p>
    <w:p>
      <w:pPr>
        <w:spacing w:before="120" w:after="120" w:line="240" w:lineRule="auto"/>
        <w:jc w:val="both"/>
        <w:rPr>
          <w:rFonts w:ascii="Times New Roman" w:eastAsia="Times New Roman" w:hAnsi="Times New Roman" w:cs="Calibri"/>
          <w:bCs/>
          <w:noProof/>
          <w:sz w:val="24"/>
          <w:szCs w:val="24"/>
          <w:highlight w:val="yellow"/>
        </w:rPr>
      </w:pPr>
    </w:p>
    <w:p>
      <w:pPr>
        <w:keepNext/>
        <w:tabs>
          <w:tab w:val="left" w:pos="850"/>
        </w:tabs>
        <w:spacing w:before="360" w:after="120" w:line="240" w:lineRule="auto"/>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 xml:space="preserve"> 4.</w:t>
      </w:r>
      <w:r>
        <w:rPr>
          <w:rFonts w:ascii="Times New Roman" w:hAnsi="Times New Roman"/>
          <w:b/>
          <w:smallCaps/>
          <w:noProof/>
          <w:sz w:val="24"/>
          <w:szCs w:val="24"/>
        </w:rPr>
        <w:tab/>
        <w:t>Заключения</w:t>
      </w:r>
    </w:p>
    <w:p>
      <w:pPr>
        <w:spacing w:before="120" w:after="120" w:line="240" w:lineRule="auto"/>
        <w:jc w:val="both"/>
        <w:rPr>
          <w:rFonts w:ascii="Times New Roman" w:eastAsia="Times New Roman" w:hAnsi="Times New Roman" w:cs="Calibri"/>
          <w:bCs/>
          <w:noProof/>
          <w:sz w:val="24"/>
          <w:szCs w:val="24"/>
          <w:highlight w:val="yellow"/>
        </w:rPr>
      </w:pPr>
      <w:r>
        <w:rPr>
          <w:rFonts w:ascii="Times New Roman" w:hAnsi="Times New Roman"/>
          <w:bCs/>
          <w:noProof/>
          <w:sz w:val="24"/>
          <w:szCs w:val="24"/>
        </w:rPr>
        <w:t xml:space="preserve">Съгласно програмата за стабилност е планирано номиналният дефицит по консолидирания държавен бюджет на Естония през 2020 г. да се увеличи до 10,1 % от БВП, т.е. да бъде по-висок от референтната стойност по Договора от 3 % от БВП и не близък до нея. Планираното превишение на референтната стойност се счита за изключение, но не и за временно отклонение. </w:t>
      </w:r>
    </w:p>
    <w:p>
      <w:pPr>
        <w:spacing w:before="120" w:after="120" w:line="240" w:lineRule="auto"/>
        <w:jc w:val="both"/>
        <w:rPr>
          <w:rFonts w:ascii="Times New Roman" w:eastAsia="Times New Roman" w:hAnsi="Times New Roman" w:cs="Calibri"/>
          <w:bCs/>
          <w:noProof/>
          <w:sz w:val="24"/>
          <w:szCs w:val="24"/>
        </w:rPr>
      </w:pPr>
      <w:r>
        <w:rPr>
          <w:rFonts w:ascii="Times New Roman" w:hAnsi="Times New Roman"/>
          <w:bCs/>
          <w:noProof/>
          <w:sz w:val="24"/>
          <w:szCs w:val="24"/>
        </w:rPr>
        <w:t xml:space="preserve">В съответствие с Договора и с Пакта за стабилност и растеж в настоящия доклад бяха разгледани също така и действащите фактори. </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szCs w:val="24"/>
        </w:rPr>
        <w:t>Като цяло, тъй като планираният дефицит е доста над 3 % от БВП, превишението не е временно и като се вземат предвид всички действащи фактори, анализът показва, че критерият за дефицит, определен в Договора и в Регламент (ЕО) № 1467/1997, не е изпълнен.</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pPr>
      <w:r>
        <w:rPr>
          <w:rStyle w:val="FootnoteReference"/>
        </w:rPr>
        <w:footnoteRef/>
      </w:r>
      <w:r>
        <w:t xml:space="preserve"> </w:t>
      </w:r>
      <w:r>
        <w:rPr>
          <w:spacing w:val="-4"/>
        </w:rPr>
        <w:t>Препоръка на Съвета от 13 юли 2018 г. относно Националната програма за реформи на Естония за 2018 г. и съдържаща становище на Съвета относно Програмата за стабилност на Естония за 2018 г. (ОВ C 320, 10.9.2018 г., стр. 24).</w:t>
      </w:r>
    </w:p>
  </w:footnote>
  <w:footnote w:id="4">
    <w:p>
      <w:pPr>
        <w:pStyle w:val="FootnoteText"/>
      </w:pPr>
      <w:r>
        <w:rPr>
          <w:rStyle w:val="FootnoteReference"/>
        </w:rPr>
        <w:footnoteRef/>
      </w:r>
      <w:r>
        <w:t xml:space="preserve"> Според изчислението, направено от естонските органи.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17CD47E-6A92-4C2F-AAE4-223C437418A1"/>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5?\u1089?\u1090?\u1086?\u1085?\u1080?\u1103?_x000b_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EA9E5-2BC7-4FDA-8587-9EE921CB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1637</Words>
  <Characters>8679</Characters>
  <Application>Microsoft Office Word</Application>
  <DocSecurity>0</DocSecurity>
  <Lines>184</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27</cp:revision>
  <cp:lastPrinted>2019-05-13T14:09:00Z</cp:lastPrinted>
  <dcterms:created xsi:type="dcterms:W3CDTF">2020-05-18T14:34:00Z</dcterms:created>
  <dcterms:modified xsi:type="dcterms:W3CDTF">2020-06-03T16:50:00Z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