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BBDEB5E-7E7A-479C-ABB3-1B66A18C4223" style="width:450.8pt;height:338.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Литва за 2020 г. и съдържаща становище на Съвета относно програмата за стабилност на Литва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също прие Доклада за механизма за предупреждение, в който Литва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Литва за 2020 г.</w:t>
      </w:r>
      <w:r>
        <w:rPr>
          <w:rStyle w:val="FootnoteReference"/>
          <w:noProof/>
        </w:rPr>
        <w:footnoteReference w:id="3"/>
      </w:r>
      <w:r>
        <w:rPr>
          <w:noProof/>
        </w:rPr>
        <w:t xml:space="preserve"> беше публикуван на 26 февруари 2020 г. В него бе оценен напредъкът на Литва в изпълнението на специфичните за държавата </w:t>
      </w:r>
      <w:r>
        <w:rPr>
          <w:noProof/>
        </w:rPr>
        <w:lastRenderedPageBreak/>
        <w:t>препоръки, приети от Съвета на 9 юли 2019 г.</w:t>
      </w:r>
      <w:r>
        <w:rPr>
          <w:rStyle w:val="FootnoteReference"/>
          <w:noProof/>
        </w:rPr>
        <w:footnoteReference w:id="4"/>
      </w:r>
      <w:r>
        <w:rPr>
          <w:noProof/>
        </w:rPr>
        <w:t xml:space="preserve">, последващите действия във връзка с препоръките, отправени към Литва през предходните години, както и напредъкът на страната по националните ѝ цели по стратегията „Европа 2020“. </w:t>
      </w:r>
    </w:p>
    <w:p>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сериозен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i/>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w:t>
      </w:r>
      <w:r>
        <w:rPr>
          <w:noProof/>
        </w:rPr>
        <w:lastRenderedPageBreak/>
        <w:t>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интегрирайки наред с другото зеления преход и цифровата трансформация и вадейки всички поуки от кризата.</w:t>
      </w:r>
    </w:p>
    <w:p>
      <w:pPr>
        <w:pStyle w:val="ManualConsidrant"/>
        <w:rPr>
          <w:noProof/>
        </w:rPr>
      </w:pPr>
      <w:r>
        <w:rPr>
          <w:noProof/>
        </w:rPr>
        <w:t>(7)</w:t>
      </w:r>
      <w:r>
        <w:rPr>
          <w:noProof/>
        </w:rPr>
        <w:tab/>
        <w:t xml:space="preserve">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здравния сектор, като тази готовност включва по-специално подобрени стратегии за покупка,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 </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Литва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Възможно е разпространението на социално-икономическите последици от пандемията да бъде неравномерно в различните сектори и региони на Литва поради различните модели на специализация. Това води до риск от задълбочаване на различията в Литва.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15 май 2020 г. Литва представи своята национална програма за реформи за 2020 г., а на 30 април 2020 г. своята програма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lastRenderedPageBreak/>
        <w:t>(11)</w:t>
      </w:r>
      <w:r>
        <w:rPr>
          <w:noProof/>
        </w:rPr>
        <w:tab/>
        <w:t>Понастоящем спрямо Литва се прилагат предпазните мерки на Пакта за стабилност и растеж.</w:t>
      </w:r>
    </w:p>
    <w:p>
      <w:pPr>
        <w:pStyle w:val="ManualConsidrant"/>
        <w:rPr>
          <w:noProof/>
        </w:rPr>
      </w:pPr>
      <w:r>
        <w:rPr>
          <w:noProof/>
        </w:rPr>
        <w:t>(12)</w:t>
      </w:r>
      <w:r>
        <w:rPr>
          <w:noProof/>
        </w:rPr>
        <w:tab/>
        <w:t>В своята програма за стабилност за 2020 г. правителството планира номиналното салдо да се влоши, преминавайки от излишък в размер на 0,3 % от БВП през 2019 г. към дефицит от 11,4 % от БВП през 2020 г. Предвижда се дефицитът да намалее до 3,9 % от БВП през 2021 г. След увеличение до 36,3 % от БВП през 2019 г., съгласно програмата за стабилност за 2020 г. се очаква през 2020 г. съотношението на консолидирания държавен дълг към БВП да нарасне до 50,6 %. Макроикономическата и фискалната перспектива се характеризират с високата степен на несигурност, породена от пандемията от COVID-19.</w:t>
      </w:r>
    </w:p>
    <w:p>
      <w:pPr>
        <w:pStyle w:val="ManualConsidrant"/>
        <w:rPr>
          <w:noProof/>
        </w:rPr>
      </w:pPr>
      <w:r>
        <w:rPr>
          <w:noProof/>
        </w:rPr>
        <w:t>(13)</w:t>
      </w:r>
      <w:r>
        <w:rPr>
          <w:noProof/>
        </w:rPr>
        <w:tab/>
        <w:t>В отговор на пандемията от COVID-19 и в рамките на координирания подход на Съюза Литва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Съгласно програмата за стабилност за 2020 г. тези бюджетни мерки възлизат на 6,8 % от БВП. Мерките включват отсрочване на данъци, допълнително финансиране за закупуване на медицински материали, субсидии за поддържане на работните места и социални помощи за самостоятелно заетите лица и служителите, засегнати от вируса на COVID-19. Тъй като анализът на Комисията на планирането и прилагането на някои мерки сочи относително слабо потенциално разпространение, Комисията предположи по-слабо въздействие на държавните мерки върху публичните финанси. Освен това Литва обяви дискреционни мерки, които, макар и да нямат пряко отражение върху бюджета, ще допринесат за отговора на кризата, включително подпомагане на ликвидността на предприятията. Според програмата за стабилност за 2020 г. те се оценяват на 3,8 % от БВП. Тези мерки включват гаранции по заеми (2,9 % от БВП). Като цяло предприетите от Литва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w:t>
      </w:r>
    </w:p>
    <w:p>
      <w:pPr>
        <w:pStyle w:val="ManualConsidrant"/>
        <w:rPr>
          <w:noProof/>
        </w:rPr>
      </w:pPr>
      <w:r>
        <w:rPr>
          <w:noProof/>
        </w:rPr>
        <w:t>(14)</w:t>
      </w:r>
      <w:r>
        <w:rPr>
          <w:noProof/>
        </w:rPr>
        <w:tab/>
        <w:t>Въз основа на прогнозата на Комисията от пролетта на 2020 г. при непромененa политикa се предвижда салдото на Литва по консолидирания държавен бюджет да бъде -6,9 % от БВП през 2020 г. и -2,7 % през 2021 г. Съотношението на консолидирания държавен дълг към БВП се очаква да остане под 60 % от БВП през 2020 г. и 2021 г.</w:t>
      </w:r>
    </w:p>
    <w:p>
      <w:pPr>
        <w:pStyle w:val="ManualConsidrant"/>
        <w:rPr>
          <w:noProof/>
        </w:rPr>
      </w:pPr>
      <w:r>
        <w:rPr>
          <w:noProof/>
        </w:rPr>
        <w:t>(15)</w:t>
      </w:r>
      <w:r>
        <w:rPr>
          <w:noProof/>
        </w:rPr>
        <w:tab/>
        <w:t xml:space="preserve">На 20 май 2020 г. Комисията представи доклад, изготвен в съответствие с член 126, параграф 3 от Договора, вследствие на планираното от Литва нарушение на прага на дефицита в размер на 3 % от БВП през 2020 г. Като цяло, в анализа се предполага, че критерият за дефицита, определен в Договора и в Регламент (ЕО) № 1467/1997, не е изпълнен.    </w:t>
      </w:r>
    </w:p>
    <w:p>
      <w:pPr>
        <w:pStyle w:val="ManualConsidrant"/>
        <w:rPr>
          <w:noProof/>
        </w:rPr>
      </w:pPr>
      <w:r>
        <w:rPr>
          <w:noProof/>
        </w:rPr>
        <w:t>(16)</w:t>
      </w:r>
      <w:r>
        <w:rPr>
          <w:noProof/>
        </w:rPr>
        <w:tab/>
        <w:t xml:space="preserve">Според прогнозата на Комисията от пролетта на 2020 г. БВП на Литва се очаква да се свие с 8 %, което се очаква да бъде последвано от бързо възстановяване от 7,5 % през 2021 г. За да се реагира на разпространението на COVID-19 и да се смекчат икономическите последици, на 16 март Литва представи „План за икономическо стимулиране и смекчаване на последиците от заразата с COVID-19“. Планът е в размер на 2,5 милиарда евро или 6,3 % от брутния вътрешен </w:t>
      </w:r>
      <w:r>
        <w:rPr>
          <w:noProof/>
        </w:rPr>
        <w:lastRenderedPageBreak/>
        <w:t>продукт (БВП) на страната и включва средства до 500 милиона евро или 1,3 % от БВП, за да се осигурят необходимите ресурси за здравната система. Други 500 милиона евро бяха отпуснати за защита на работните места и доходите. Капацитетът на държавните гаранционни фондове беше увеличен с 500 милиона евро и бяха одобрени допълнителни държавни гаранции в размер до 500 милиона евро за стимулиране на икономиката. През април Европейската комисия одобри няколко литовски схеми за помощ в подкрепа на литовската икономика в контекста на разпространението на COVID-19. Тези схеми имат за цел да помогнат на предприятията да покрият непосредствените нужди от оборотен капитал и да продължат дейностите си по време на пандемията и след нея. Освен това Литовската национална банка облекчи някои капиталови изисквания за търговските банки, за да се увеличи отпускането на заеми за реалната икономика.</w:t>
      </w:r>
    </w:p>
    <w:p>
      <w:pPr>
        <w:pStyle w:val="ManualConsidrant"/>
        <w:rPr>
          <w:noProof/>
        </w:rPr>
      </w:pPr>
      <w:r>
        <w:rPr>
          <w:noProof/>
        </w:rPr>
        <w:t>(17)</w:t>
      </w:r>
      <w:r>
        <w:rPr>
          <w:noProof/>
        </w:rPr>
        <w:tab/>
        <w:t xml:space="preserve">Резултатите в областта на здравето в Литва постоянно изостават в сравнение тези в други държави членки, което се дължи отчасти на неоптималната ефективност на здравната система, която страда от ниско равнище на финансиране. Сегашната пандемия подложи системата на допълнителен натиск и подчерта допълнителни структурни предизвикателства, които включват бавен напредък в подобряването на качеството на услугите, недостатъчни инвестиции в първично здравеопазване и липса на напредък при адаптирането на болничната мрежа, така че тя да стане по-ефикасна и да отговаря на нуждите.  Освен това кризата, свързана с COVID-19, разкрива също така неравнопоставеността в здравеопазването, свързана с недостига на работна сила и географските несъответствия между услугите и нуждите. Литва трябва да мобилизира необходимите ресурси за справяне с текущата криза и да подобри устойчивостта на своите здравни системи в бъдеще. Предприети бяха незабавни действия за укрепване на капацитета по отношение на здравните работници, критичните медицински материали и оборудване с цел спасяване на човешки живот по време на пандемията, но дългосрочните инвестиции следва да бъдат увеличени, за да се подобри устойчивостта на системата на здравеопазването, така че тя да може да поддържа дейностите си, да възобнови оптималното си функциониране и да се подготви за нови сътресения. Това ще изисква заделяне на достатъчно ресурси за подобряване на достъпността, ефективността и качеството на здравната система, така че тя да може по-добре да отговори на предизвикателствата на нарастващите хронични заболявания, застаряването на населението и постоянно съществуващите неравенства в областта на здравеопазването. Първичните грижи и развитието на електронното здравеопазване играят централна роля в това отношение. Литва следва също така да гарантира запазването на неотдавнашните подобрения в достъпността на здравното обслужване. На последно място, бъдещата устойчивост ще изисква също така подобряване на способността на системата да намалява нездравословния начин на живот (един от другите важни фактори зад неблагоприятните здравни резултати в Литва) и по-големи усилия за подготовка на сектора на дългосрочните грижи за справяне със застаряването на населението. </w:t>
      </w:r>
    </w:p>
    <w:p>
      <w:pPr>
        <w:pStyle w:val="ManualConsidrant"/>
        <w:rPr>
          <w:noProof/>
        </w:rPr>
      </w:pPr>
      <w:r>
        <w:rPr>
          <w:noProof/>
        </w:rPr>
        <w:t>(18)</w:t>
      </w:r>
      <w:r>
        <w:rPr>
          <w:noProof/>
        </w:rPr>
        <w:tab/>
        <w:t xml:space="preserve">Преди пандемията на COVID-19 участието на пазара на труда беше високо и безработицата беше ниска, но тази криза създаде нови предизвикателства. С помощта на финансирането от Съюза Литва въведе схема за работа на непълно работно време с цел смекчаване на последиците от пандемията за заетостта и въведе редица други мерки за смекчаване на отрицателното въздействие върху </w:t>
      </w:r>
      <w:r>
        <w:rPr>
          <w:noProof/>
        </w:rPr>
        <w:lastRenderedPageBreak/>
        <w:t>предприятията и самостоятелно заетите лица. Преди кризата обхватът на активните мерки на пазара на труда намаляваше, а участието в дейностите по учене за възрастни оставаше ниско. За да се помогне на безработните да се върнат на пазара на труда възможно най-рано обаче, ще е необходим по-голям обхват на активните мерки на пазара на труда и на другите мерки за преквалификация и повишаване на квалификацията на работната сила. Укрепването на капацитета на социалните партньори е важно, за да се гарантира тяхното пълноценно и своевременно участие в планирането на процеса на излизане от кризата и възстановяване от нея.</w:t>
      </w:r>
    </w:p>
    <w:p>
      <w:pPr>
        <w:pStyle w:val="ManualConsidrant"/>
        <w:rPr>
          <w:noProof/>
        </w:rPr>
      </w:pPr>
      <w:r>
        <w:rPr>
          <w:noProof/>
        </w:rPr>
        <w:t>(19)</w:t>
      </w:r>
      <w:r>
        <w:rPr>
          <w:noProof/>
        </w:rPr>
        <w:tab/>
        <w:t>Докато преди кризата бяха предприети стъпки за справяне с риска от бедност и социално изключване, например чрез увеличаване на универсалните детски надбавки и пенсии, бедността и неравенството по отношение на доходите все още са сред най-високите в ЕС. Литва има сравнително ниски публични разходи за социална закрила и въздействието на социалните трансфери върху намаляването на бедността е слабо и се оценява като критично по отношение на набора от социални показатели. Ниската прогресивност и способност за преразпределяне на данъчната и осигурителната система ограничава способността на страната да финансира обществени блага и услуги и да намали бедността и неравенството по отношение на доходите.  Отрицателното въздействие на пандемията от COVID-19 върху заетостта и доходите на домакинствата вероятно ще влоши тези проблеми. Може да са необходими временни мерки, като преразглеждане на правилата за допустимост, на размера и продължителността на някои помощи, за да не се влоши положението на най-засегнатите от пандемията. Мрежата за социална закрила следва да бъде разширена, за да включва всички групи, включително самостоятелно заетите лица, нетипичните работници и най-уязвимите хора. Предоставянето на основните социални услуги и социални жилища трябва да бъде засилено, така че да бъдат подкрепени нуждаещите се.</w:t>
      </w:r>
    </w:p>
    <w:p>
      <w:pPr>
        <w:pStyle w:val="ManualConsidrant"/>
        <w:rPr>
          <w:i/>
          <w:noProof/>
        </w:rPr>
      </w:pPr>
      <w:r>
        <w:rPr>
          <w:noProof/>
        </w:rPr>
        <w:t>(20)</w:t>
      </w:r>
      <w:r>
        <w:rPr>
          <w:noProof/>
        </w:rPr>
        <w:tab/>
        <w:t>От първостепенно значение бе подкрепата за осигуряване на ликвидност на предприятията чрез заеми и гаранции от публичния сектор, с акцент върху малките и средните предприятия (МСП), но разпределението на подкрепата за ликвидността на предприятията трябва да бъде ефективно и бързо приложено от посредниците, като условията за кредитиране трябва да отчитат кризисната ситуация. При разработването и прилагането на тези мерки трябва да се вземе предвид устойчивостта на банковия сектор. Разрешаването на разсрочени плащания на данъци и социалноосигурителни вноски и ускоряването на договорните плащания от страна на публичните органи също могат да спомогнат за подобряване на паричните потоци на МСП. Стартиращите и разрастващите се предприятия могат да се нуждаят от специална подкрепа, например под формата на дялове от публични институции и стимули за това фондовете за рисков капитал да увеличат инвестициите си в тези предприятия. Следва да се запазят усилията за намаляване на ненужната регулаторна и административна тежест и за предлагане на ефективни цифрови обществени услуги за гражданите и предприятията.</w:t>
      </w:r>
    </w:p>
    <w:p>
      <w:pPr>
        <w:pStyle w:val="ManualConsidrant"/>
        <w:rPr>
          <w:noProof/>
        </w:rPr>
      </w:pPr>
      <w:r>
        <w:rPr>
          <w:noProof/>
        </w:rPr>
        <w:t>(21)</w:t>
      </w:r>
      <w:r>
        <w:rPr>
          <w:noProof/>
        </w:rPr>
        <w:tab/>
        <w:t xml:space="preserve">Литва следва да гарантира, че мерките ѝ за насърчаване на икономическото възстановяване са насочени към бъдещето и улесняват цифровия и зеления преход, където са налице редица предизвикателства, които трябва да бъдат преодолени. Що се отнася до цифровия преход, уменията в областта на цифровите технологии са под средните за ЕС, като МСП съобщават за </w:t>
      </w:r>
      <w:r>
        <w:rPr>
          <w:noProof/>
        </w:rPr>
        <w:lastRenderedPageBreak/>
        <w:t xml:space="preserve">значителни трудности при наемането на работа за свободните работни места в областта на ИКТ. Въпреки че разгръщането на оптични кабели е над средното за ЕС равнище,  покритието с фиксиран широколентов достъп и използването му от потребителите са много малки както за градските, така и за селските райони, и продължават да съществуват големи различия между градовете и селските райони. </w:t>
      </w:r>
    </w:p>
    <w:p>
      <w:pPr>
        <w:pStyle w:val="ManualConsidrant"/>
        <w:rPr>
          <w:rFonts w:ascii="Calibri" w:hAnsi="Calibri" w:cs="Calibri"/>
          <w:noProof/>
          <w:szCs w:val="24"/>
        </w:rPr>
      </w:pPr>
      <w:r>
        <w:rPr>
          <w:noProof/>
        </w:rPr>
        <w:t>(22)</w:t>
      </w:r>
      <w:r>
        <w:rPr>
          <w:noProof/>
        </w:rPr>
        <w:tab/>
        <w:t>За да се стимулира икономическото възстановяване, ще бъде важно да се даде приоритет на готови за  изпълнение публични инвестиционни проекти, както и да се стимулират частните инвестиции, включително чрез съответни реформи.</w:t>
      </w:r>
      <w:r>
        <w:rPr>
          <w:rFonts w:ascii="Calibri" w:hAnsi="Calibri"/>
          <w:noProof/>
          <w:szCs w:val="24"/>
        </w:rPr>
        <w:t xml:space="preserve"> </w:t>
      </w:r>
      <w:r>
        <w:rPr>
          <w:noProof/>
        </w:rPr>
        <w:t>Що се отнася до зеления преход, общите емисии на парникови газове в Литва остават до голяма степен непроменени от 2010 г. насам. Производителността на ресурсите на Литва е една от най-ниските в ЕС и използването на кръгови (вторични) материали е доста под средното за ЕС. В съответствие с националния план в областта на енергетиката и климата на Литва, подобряването на енергийните характеристики на сградите благодарение на решения за енергийна ефективност и възобновяеми енергийни източници, модернизирането на отоплителните системи и подобряването на устойчивостта на транспортния сектор биха допринесли значително за намаляване на въглеродните емисии на икономиката. Целенасочените публични и частни инвестиции, насочени към решаването на тези и други въпроси, със значително въздействие върху околната среда и здравето, могат да стимулират растежа и устойчивостта и да спомогнат за осигуряването на устойчиво възстановяване от кризата. Инвестиции, които вече са планирани, дават възможност за бързо определяне на проекти, които могат да бъдат реализирани в началото на периода и да допринесат за икономическото възстановяване, например в областта на санирането на сгради и възобновяемите енергийни източници. Подготвителната работа за средносрочните мерки за възстановяване може да се основе на националните планове в областта на енергетиката и климата на държавите членки, на списъка с проекти от общ интерес и на плановете за развитие на инфраструктурата. Освен това проектът „Rail Baltica“ и проектите за енергийна взаимосвързаност са основните инвестиционни приоритети на Литва, насочени към подобряване на нейната безопасност и интеграция в единния пазар на ЕС.</w:t>
      </w:r>
      <w:r>
        <w:rPr>
          <w:b/>
          <w:noProof/>
          <w:szCs w:val="20"/>
        </w:rPr>
        <w:t xml:space="preserve"> </w:t>
      </w:r>
      <w:r>
        <w:rPr>
          <w:noProof/>
        </w:rPr>
        <w:t>Програмирането на Фонда за справедлив преход за периода 2021—2027 г. би могло да помогне на Литва за посрещането на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 Това ще позволи на Литва да използва този фонд по най-добрия начин.</w:t>
      </w:r>
    </w:p>
    <w:p>
      <w:pPr>
        <w:pStyle w:val="ManualConsidrant"/>
        <w:rPr>
          <w:noProof/>
        </w:rPr>
      </w:pPr>
      <w:r>
        <w:rPr>
          <w:noProof/>
        </w:rPr>
        <w:t>(23)</w:t>
      </w:r>
      <w:r>
        <w:rPr>
          <w:noProof/>
        </w:rPr>
        <w:tab/>
        <w:t>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семестър през следващата година. Това се отнася и за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rPr>
      </w:pPr>
      <w:r>
        <w:rPr>
          <w:noProof/>
        </w:rPr>
        <w:lastRenderedPageBreak/>
        <w:t>(24)</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Литва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(25)</w:t>
      </w:r>
      <w:r>
        <w:rPr>
          <w:noProof/>
        </w:rPr>
        <w:tab/>
        <w:t xml:space="preserve">Тясната координация между икономиките в икономическия и паричен съюз е от ключово значение за бързото възстановяване от икономическите последици от COVID-19. Литва следва, като държава членка, чиято парична единица е еврото, и като се вземат предвид политическите насоки на Еврогрупата, да гарантира, че политиките ѝ са в съответствие с препоръките за еврозоната и координирани с тези на останалите държави членки от еврозоната. </w:t>
      </w:r>
    </w:p>
    <w:p>
      <w:pPr>
        <w:pStyle w:val="ManualConsidrant"/>
        <w:rPr>
          <w:noProof/>
        </w:rPr>
      </w:pPr>
      <w:r>
        <w:rPr>
          <w:noProof/>
        </w:rPr>
        <w:t>(26)</w:t>
      </w:r>
      <w:r>
        <w:rPr>
          <w:noProof/>
        </w:rPr>
        <w:tab/>
        <w:t xml:space="preserve">В рамките на европейския семестър за 2020 г. Комисията направи цялостен анализ на икономическата политика на Литва и го публикува в доклада за страната за 2020 г. Освен това Комисията направи оценка на програмата за стабилност за 2020 г., националната програма за реформи за 2020 г. и последващите действия във връзка с препоръките, отправени към Литва през предходните години. Комисията взе предвид не само тяхното значение за провеждането на устойчива фискална и социално-икономическа политика в Литва,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t>(27)</w:t>
      </w:r>
      <w:r>
        <w:rPr>
          <w:noProof/>
        </w:rPr>
        <w:tab/>
        <w:t>С оглед на тази оценка Съветът разгледа програмата за конвергенция за 2020 г., като становището му</w:t>
      </w:r>
      <w:r>
        <w:rPr>
          <w:rStyle w:val="FootnoteReference"/>
          <w:noProof/>
        </w:rPr>
        <w:footnoteReference w:id="8"/>
      </w:r>
      <w:r>
        <w:rPr>
          <w:noProof/>
        </w:rPr>
        <w:t xml:space="preserve"> е изразено по-специално в препоръка 1 по-долу,</w:t>
      </w:r>
    </w:p>
    <w:p>
      <w:pPr>
        <w:pStyle w:val="Formuledadoption"/>
        <w:rPr>
          <w:noProof/>
        </w:rPr>
      </w:pPr>
      <w:r>
        <w:rPr>
          <w:noProof/>
        </w:rPr>
        <w:t>ПРЕПОРЪЧВА на Литва да предприеме следните действия в периода 2020—2021 г.:</w:t>
      </w:r>
    </w:p>
    <w:p>
      <w:pPr>
        <w:pStyle w:val="ManualNumPar1"/>
        <w:rPr>
          <w:noProof/>
          <w:szCs w:val="24"/>
        </w:rPr>
      </w:pPr>
      <w:bookmarkStart w:id="1" w:name="_CopyToNewDocument_"/>
      <w:bookmarkEnd w:id="1"/>
      <w:r>
        <w:rPr>
          <w:noProof/>
        </w:rPr>
        <w:t>1.</w:t>
      </w:r>
      <w:r>
        <w:rPr>
          <w:noProof/>
        </w:rPr>
        <w:tab/>
        <w:t>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насочени към постигане на благоразумни средносрочни фискални позиции и гарантиране на устойчивостта на дълга, като същевременно засили инвестициите.</w:t>
      </w:r>
      <w:r>
        <w:rPr>
          <w:noProof/>
          <w:sz w:val="22"/>
        </w:rPr>
        <w:t xml:space="preserve"> </w:t>
      </w:r>
      <w:r>
        <w:rPr>
          <w:noProof/>
        </w:rPr>
        <w:t>Да укрепи устойчивостта на системата на здравеопазването, включително чрез мобилизиране на подходящо финансиране и преодоляване на недостига на работна сила в здравния сектор и на медицински продукти от критично значение. Да подобри достъпността и качеството на здравните услуги.</w:t>
      </w:r>
    </w:p>
    <w:p>
      <w:pPr>
        <w:pStyle w:val="ManualNumPar1"/>
        <w:rPr>
          <w:noProof/>
        </w:rPr>
      </w:pPr>
      <w:r>
        <w:rPr>
          <w:noProof/>
        </w:rPr>
        <w:t>2.</w:t>
      </w:r>
      <w:r>
        <w:rPr>
          <w:noProof/>
        </w:rPr>
        <w:tab/>
        <w:t>Да смекчи въздействието на кризата върху заетостта. Да увеличи финансирането и обхвата на активните мерки на пазара на труда и да насърчава уменията. Да гарантира обхвата и адекватността на мрежата за социална закрила и да подобри ефективността на данъчната система и системата за социална сигурност, за да защитават срещу бедността.</w:t>
      </w:r>
    </w:p>
    <w:p>
      <w:pPr>
        <w:pStyle w:val="ManualNumPar1"/>
        <w:rPr>
          <w:noProof/>
        </w:rPr>
      </w:pPr>
      <w:r>
        <w:rPr>
          <w:noProof/>
        </w:rPr>
        <w:t>3.</w:t>
      </w:r>
      <w:r>
        <w:rPr>
          <w:noProof/>
        </w:rPr>
        <w:tab/>
        <w:t xml:space="preserve">Да подкрепи ликвидността на предприятията, особено на малките и средните предприятия и експортно ориентираните сектори. Да даде приоритет на готови </w:t>
      </w:r>
      <w:r>
        <w:rPr>
          <w:noProof/>
        </w:rPr>
        <w:lastRenderedPageBreak/>
        <w:t>за изпълнение публични инвестиционни проекти и да стимулира частните инвестиции, за да се ускори икономическото възстановяване. Да съсредоточи инвестициите върху зеления и цифровия преход, по-специално върху покритието и използването от потребителите на широколентов достъп с много голям капацитет, върху чисто и ефективно производство и използване на енергия и устойчивия транспорт. Да насърчава технологичните иновации в малките и средните предприятия.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OB L 306, 23.11.2011 г., стр. 25.</w:t>
      </w:r>
    </w:p>
  </w:footnote>
  <w:footnote w:id="3">
    <w:p>
      <w:pPr>
        <w:pStyle w:val="FootnoteText"/>
      </w:pPr>
      <w:r>
        <w:rPr>
          <w:rStyle w:val="FootnoteReference"/>
        </w:rPr>
        <w:footnoteRef/>
      </w:r>
      <w:r>
        <w:tab/>
        <w:t>SWD(2020) 514 final.</w:t>
      </w:r>
    </w:p>
  </w:footnote>
  <w:footnote w:id="4">
    <w:p>
      <w:pPr>
        <w:pStyle w:val="FootnoteText"/>
        <w:rPr>
          <w:rStyle w:val="FootnoteReference"/>
        </w:rPr>
      </w:pPr>
      <w:r>
        <w:rPr>
          <w:rStyle w:val="FootnoteReference"/>
        </w:rPr>
        <w:footnoteRef/>
      </w:r>
      <w:r>
        <w:tab/>
        <w:t>ОВ C 301, 5.9.2019 г., стр. 117.</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COM(2020) 123 final.</w:t>
      </w:r>
    </w:p>
  </w:footnote>
  <w:footnote w:id="7">
    <w:p>
      <w:pPr>
        <w:rPr>
          <w:sz w:val="20"/>
          <w:szCs w:val="20"/>
        </w:rPr>
      </w:pPr>
      <w:r>
        <w:rPr>
          <w:rStyle w:val="FootnoteReference"/>
        </w:rPr>
        <w:footnoteRef/>
      </w:r>
      <w:r>
        <w:rPr>
          <w:sz w:val="20"/>
          <w:szCs w:val="20"/>
        </w:rPr>
        <w:tab/>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8">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20:39: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BBDEB5E-7E7A-479C-ABB3-1B66A18C4223"/>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51?\u1080?\u1090?\u1074?\u1072?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1?\u1080?\u1090?\u1074?\u1072? \u1079?\u1072? 2020 \u1075?."/>
    <w:docVar w:name="LW_TITRE.OBJ.CP" w:val="\u1086?\u1090?\u1085?\u1086?\u1089?\u1085?\u1086? \u1085?\u1072?\u1094?\u1080?\u1086?\u1085?\u1072?\u1083?\u1085?\u1072?\u1090?\u1072? \u1087?\u1088?\u1086?\u1075?\u1088?\u1072?\u1084?\u1072? \u1079?\u1072? \u1088?\u1077?\u1092?\u1086?\u1088?\u1084?\u1080? \u1085?\u1072? \u1051?\u1080?\u1090?\u1074?\u1072?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1?\u1080?\u1090?\u1074?\u1072? \u1079?\u1072? 2020 \u1075?."/>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0687">
      <w:bodyDiv w:val="1"/>
      <w:marLeft w:val="0"/>
      <w:marRight w:val="0"/>
      <w:marTop w:val="0"/>
      <w:marBottom w:val="0"/>
      <w:divBdr>
        <w:top w:val="none" w:sz="0" w:space="0" w:color="auto"/>
        <w:left w:val="none" w:sz="0" w:space="0" w:color="auto"/>
        <w:bottom w:val="none" w:sz="0" w:space="0" w:color="auto"/>
        <w:right w:val="none" w:sz="0" w:space="0" w:color="auto"/>
      </w:divBdr>
    </w:div>
    <w:div w:id="142813032">
      <w:bodyDiv w:val="1"/>
      <w:marLeft w:val="0"/>
      <w:marRight w:val="0"/>
      <w:marTop w:val="0"/>
      <w:marBottom w:val="0"/>
      <w:divBdr>
        <w:top w:val="none" w:sz="0" w:space="0" w:color="auto"/>
        <w:left w:val="none" w:sz="0" w:space="0" w:color="auto"/>
        <w:bottom w:val="none" w:sz="0" w:space="0" w:color="auto"/>
        <w:right w:val="none" w:sz="0" w:space="0" w:color="auto"/>
      </w:divBdr>
    </w:div>
    <w:div w:id="413626606">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18929384">
      <w:bodyDiv w:val="1"/>
      <w:marLeft w:val="0"/>
      <w:marRight w:val="0"/>
      <w:marTop w:val="0"/>
      <w:marBottom w:val="0"/>
      <w:divBdr>
        <w:top w:val="none" w:sz="0" w:space="0" w:color="auto"/>
        <w:left w:val="none" w:sz="0" w:space="0" w:color="auto"/>
        <w:bottom w:val="none" w:sz="0" w:space="0" w:color="auto"/>
        <w:right w:val="none" w:sz="0" w:space="0" w:color="auto"/>
      </w:divBdr>
    </w:div>
    <w:div w:id="535502985">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1043212062">
      <w:bodyDiv w:val="1"/>
      <w:marLeft w:val="0"/>
      <w:marRight w:val="0"/>
      <w:marTop w:val="0"/>
      <w:marBottom w:val="0"/>
      <w:divBdr>
        <w:top w:val="none" w:sz="0" w:space="0" w:color="auto"/>
        <w:left w:val="none" w:sz="0" w:space="0" w:color="auto"/>
        <w:bottom w:val="none" w:sz="0" w:space="0" w:color="auto"/>
        <w:right w:val="none" w:sz="0" w:space="0" w:color="auto"/>
      </w:divBdr>
    </w:div>
    <w:div w:id="1043796636">
      <w:bodyDiv w:val="1"/>
      <w:marLeft w:val="0"/>
      <w:marRight w:val="0"/>
      <w:marTop w:val="0"/>
      <w:marBottom w:val="0"/>
      <w:divBdr>
        <w:top w:val="none" w:sz="0" w:space="0" w:color="auto"/>
        <w:left w:val="none" w:sz="0" w:space="0" w:color="auto"/>
        <w:bottom w:val="none" w:sz="0" w:space="0" w:color="auto"/>
        <w:right w:val="none" w:sz="0" w:space="0" w:color="auto"/>
      </w:divBdr>
    </w:div>
    <w:div w:id="1604074487">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642151451">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1432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F92D26-27DE-4707-8EAB-D1D614B5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3741</Words>
  <Characters>21698</Characters>
  <Application>Microsoft Office Word</Application>
  <DocSecurity>0</DocSecurity>
  <Lines>374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2020-05-29T10:43:00Z</dcterms:created>
  <dcterms:modified xsi:type="dcterms:W3CDTF">2020-06-03T18:39:00Z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