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28C3749-C6D6-4903-A895-31A5F6904C77"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Полша за 2020 г. и съдържаща становище на Съвета относно програмата за конвергенция на Полша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 xml:space="preserve">На </w:t>
      </w:r>
      <w:r>
        <w:rPr>
          <w:noProof/>
          <w:color w:val="000000" w:themeColor="text1"/>
        </w:rPr>
        <w:t xml:space="preserve">17 декември 2019 г. Комисията прие годишната стратегия за устойчив растеж, с което постави началото на европейския </w:t>
      </w:r>
      <w:r>
        <w:rPr>
          <w:noProof/>
        </w:rPr>
        <w:t>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22 ноември 2018 г. Комисията прие и доклада за механизма за предупреждение, в който Полша не е посочена като държава членка, за която ще се извърши задълбочен преглед..</w:t>
      </w:r>
    </w:p>
    <w:p>
      <w:pPr>
        <w:pStyle w:val="ManualConsidrant"/>
        <w:rPr>
          <w:noProof/>
        </w:rPr>
      </w:pPr>
      <w:r>
        <w:rPr>
          <w:noProof/>
        </w:rPr>
        <w:t>(2)</w:t>
      </w:r>
      <w:r>
        <w:rPr>
          <w:noProof/>
        </w:rPr>
        <w:tab/>
        <w:t>Докладът за Полша за 2020 г.</w:t>
      </w:r>
      <w:r>
        <w:rPr>
          <w:rStyle w:val="FootnoteReference"/>
          <w:noProof/>
        </w:rPr>
        <w:footnoteReference w:id="2"/>
      </w:r>
      <w:r>
        <w:rPr>
          <w:noProof/>
        </w:rPr>
        <w:t xml:space="preserve"> беше публикуван на 26 февруари 2020 г. В него бе оценен напредъкът на Полша в изпълнението на специфичните за страната препоръки, приети от Съвета на</w:t>
      </w:r>
      <w:r>
        <w:rPr>
          <w:noProof/>
          <w:color w:val="FF0000"/>
        </w:rPr>
        <w:t xml:space="preserve"> </w:t>
      </w:r>
      <w:r>
        <w:rPr>
          <w:noProof/>
        </w:rPr>
        <w:t>9 юли 2019 г.</w:t>
      </w:r>
      <w:r>
        <w:rPr>
          <w:rStyle w:val="FootnoteReference"/>
          <w:noProof/>
        </w:rPr>
        <w:footnoteReference w:id="3"/>
      </w:r>
      <w:r>
        <w:rPr>
          <w:noProof/>
        </w:rPr>
        <w:t xml:space="preserve">, последващите действия във връзка с препоръките, отправени през предходните години, както и напредъкът на страната по националните ѝ цели по стратегията „Европа 2020“. </w:t>
      </w:r>
    </w:p>
    <w:p>
      <w:pPr>
        <w:pStyle w:val="ManualConsidrant"/>
        <w:rPr>
          <w:noProof/>
        </w:rPr>
      </w:pPr>
      <w:r>
        <w:rPr>
          <w:noProof/>
        </w:rPr>
        <w:t>(3)</w:t>
      </w:r>
      <w:r>
        <w:rPr>
          <w:noProof/>
        </w:rPr>
        <w:tab/>
        <w:t xml:space="preserve">На 11 март 2020 г. Световната здравна организация обяви официално световна пандемия от COVID-19. Това е тежка извънредна ситуация в областта на </w:t>
      </w:r>
      <w:r>
        <w:rPr>
          <w:noProof/>
        </w:rPr>
        <w:lastRenderedPageBreak/>
        <w:t>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дружествата.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5"/>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w:t>
      </w:r>
      <w:r>
        <w:rPr>
          <w:noProof/>
        </w:rPr>
        <w:lastRenderedPageBreak/>
        <w:t>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здравната система,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Полша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региони поради различните модели на специализация. Това води до риск от разширяване на териториалните различия в Полша.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29 април 2020 г. Полша представи националната си програма за реформи за 2020 г., а на 30 април 2020 г. — своята програма за конвергенция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Полша понастоящем се прилагат предпазните мерки на Пакта за стабилност и растеж. </w:t>
      </w:r>
    </w:p>
    <w:p>
      <w:pPr>
        <w:pStyle w:val="ManualConsidrant"/>
        <w:rPr>
          <w:noProof/>
        </w:rPr>
      </w:pPr>
      <w:r>
        <w:rPr>
          <w:noProof/>
        </w:rPr>
        <w:t>(12)</w:t>
      </w:r>
      <w:r>
        <w:rPr>
          <w:noProof/>
        </w:rPr>
        <w:tab/>
        <w:t>На 13 юли 2018 г. Съветът препоръча на Полша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4,2 % </w:t>
      </w:r>
      <w:r>
        <w:rPr>
          <w:noProof/>
        </w:rPr>
        <w:lastRenderedPageBreak/>
        <w:t xml:space="preserve">през 2019 г., което съответства на годишна корекция на структурното салдо от 0,6 % от БВП. Цялостната оценка на Комисията потвърждава значително отклонение от препоръчания план за корекции за постигане на средносрочната бюджетна цел през 2019 г., както и през 2018 г. и 2019 г., взети заедно. С оглед на активирането на общата клауза за дерогация обаче не е оправдано предприемането на по-нататъшни стъпки по процедурата за значително отклонение за Полша. </w:t>
      </w:r>
    </w:p>
    <w:p>
      <w:pPr>
        <w:pStyle w:val="ManualConsidrant"/>
        <w:rPr>
          <w:noProof/>
        </w:rPr>
      </w:pPr>
      <w:r>
        <w:rPr>
          <w:noProof/>
        </w:rPr>
        <w:t>(13)</w:t>
      </w:r>
      <w:r>
        <w:rPr>
          <w:noProof/>
        </w:rPr>
        <w:tab/>
        <w:t>В своята програма за конвергенция за 2020 г. правителството планира влошаване в номиналното салдо от дефицит в размер на 0,7 % от БВП през 2019 г. на дефицит от 8,4 % от БВП през 2020 г. След спад до 46,0 % от БВП през 2019 г. съотношението на консолидирания държавен дълг към БВП се очаква да нарасне до 55,2 % през 2020 г.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(14)</w:t>
      </w:r>
      <w:r>
        <w:rPr>
          <w:noProof/>
        </w:rPr>
        <w:tab/>
        <w:t>В отговор на пандемията от COVID-19 и в рамките на координирания подход на Съюза Полша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конвергенция за 2020 г. тези бюджетни мерки възлизат на около 3,2 % от БВП, като включват помощи за самостоятелно заетите лица и лицата, наети на нестандартни трудови договори, освобождаване на дружествата от социалноосигурителни вноски (тези вноски се плащат от държавата) и субсидии за заплати на определени дружества. Освен това Полша обяви мерки, които, без да имат пряко отражение върху бюджета, ще допринесат за подпомагане на ликвидността на предприятията, като например кредитни гаранции за предприятията. Фискалното въздействие на бюджетните мерки, предвидени в програмата за конвергенция, се различава основно поради третирането на заемите за дружествата. В съответствие с обявеното от полските органи прогнозата на Комисията се основава на допускането, че кредитите, равняващи се на около 2¾ процентни пункта от БВП, ще бъдат преобразувани в субсидии и по този начин ще бъдат отчетени като разходи през 2020 г. Като цяло предприетите от Полша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постигането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t>(15)</w:t>
      </w:r>
      <w:r>
        <w:rPr>
          <w:noProof/>
        </w:rPr>
        <w:tab/>
        <w:t>Въз основа на прогнозата на Комисията от пролетта на 2020 г. при непромененa политика се предвижда салдото на консолидирания държавен бюджет на Полша да бъде -9,5 % от БВП през 2020 г. и -3,8 % през 2021 г. Съотношението на консолидирания държавен дълг към БВП се очаква да остане под 60 % от БВП през 2020 г. и 2021 г.</w:t>
      </w:r>
    </w:p>
    <w:p>
      <w:pPr>
        <w:pStyle w:val="ManualConsidrant"/>
        <w:rPr>
          <w:noProof/>
        </w:rPr>
      </w:pPr>
      <w:r>
        <w:rPr>
          <w:noProof/>
        </w:rPr>
        <w:lastRenderedPageBreak/>
        <w:t>(16)</w:t>
      </w:r>
      <w:r>
        <w:rPr>
          <w:noProof/>
        </w:rPr>
        <w:tab/>
        <w:t>На 20 май 2020 г. Комисията представи доклад, изготвен в съответствие с член 126, параграф 3 от Договора, вследствие на планираното от Полша нарушение на прага на дефицита в размер на 3 % от БВП през 2020 г. Като цяло анализът сочи, че критерият за дефицита, определен в Договора и в Регламент (ЕО) № 1467/1997, не е изпълнен.</w:t>
      </w:r>
    </w:p>
    <w:p>
      <w:pPr>
        <w:pStyle w:val="ManualConsidrant"/>
        <w:rPr>
          <w:noProof/>
        </w:rPr>
      </w:pPr>
      <w:r>
        <w:rPr>
          <w:noProof/>
        </w:rPr>
        <w:t>(17)</w:t>
      </w:r>
      <w:r>
        <w:rPr>
          <w:noProof/>
        </w:rPr>
        <w:tab/>
        <w:t xml:space="preserve">Избухването на пандемията от COVID-19 вкара Полша в нова социална и икономическа ситуация. За първи път от почти три десетилетия се прогнозира рецесия за 2020 г. Според предоставените от правителството данни въздействието на пандемията върху здравето на населението е сравнително слабо, включително поради бързото приемане на безпрецедентни мерки, като строга карантина и социално дистанциране. Досега най-отрицателните последици се наблюдават в сектора на услугите (включително транспорт, търговия и отдих на дребно и на едро), както и в производството вследствие на прекъсването на веригите на доставки. За да компенсира икономическото въздействие на наложените ограничения, правителството даде ход на набор от мерки на стойност около 9 % от БВП на Полша (съчетание на мерки, увеличаващи дефицита, и мерки за ликвидност), който включва финансиране от Съюза. Това се подкрепя и от мерките за осигуряване на ликвидност, предприети от националната банка на Полша. Подкрепата на правителството е съсредоточена върху стабилизирането на икономиката в краткосрочен план чрез подкрепа за доходите на служителите, осигуряване на финансиране за предприятията, изправени пред спад в приходите, засилване на устойчивостта и способността за реагиране на сектора на здравеопазването, както и укрепване на финансовата система. Тя включва също така инвестиционна програма за подкрепа на икономическото възстановяване в средносрочен план. Публичният отклик на мерките на политиките, включително чрез освобождаване от вноски за социално осигуряване, обезщетения за работниците и служителите в дружества, които са спрели дейността си, както и достъп до заеми за микропредприятия, е силен. Очаква се пандемията от COVID-19 да допринесе за спада на БВП с 4,3 % през 2020 г., последван от възстановяване с 4,1 % през 2021 г. </w:t>
      </w:r>
    </w:p>
    <w:p>
      <w:pPr>
        <w:pStyle w:val="ManualConsidrant"/>
        <w:rPr>
          <w:noProof/>
        </w:rPr>
      </w:pPr>
      <w:r>
        <w:rPr>
          <w:noProof/>
        </w:rPr>
        <w:t>(18)</w:t>
      </w:r>
      <w:r>
        <w:rPr>
          <w:noProof/>
        </w:rPr>
        <w:tab/>
        <w:t xml:space="preserve">Пандемията на COVID-19 направи необходимо въвеждането на безпрецедентни мерки в здравната система. Бяха направени значителни разходи, като закупуване на здравно оборудване и консумативи, увеличаване на болничния и лабораторния капацитет, както и укрепване на кадровия капацитет. Отпускането на допълнителни средства е необходимо и за компенсирането на други здравни услуги и инвестиции, които бяха отложени или пренасочени. Преди избухването на пандемията от COVID-19 публичните разходи в системата на здравеопазването бяха 4,8 % от БВП, което е под средното за ЕС равнище от 7 % от БВП през 2018 г. Това, заедно с неоптималното разпределение на средствата, възпрепятства функционирането на системата за здравеопазване и достъпа до нея. През 2018 г. делът на полското население, което съобщава за неудовлетворени потребности от медицински прегледи, възлиза на 4,2 %, което е значително над 2 % на равнището на Съюза. Броят на практикуващите лекари и сестри спрямо населението продължава да е сред най-ниските в ЕС и разпределението в страната на работната сила в здравеопазването е неравномерно. Общественото здравеопазване, електронното здравеопазване и първичната медицинска помощ, които са от решаващо значение за подобряване на превенцията и достъпа, както и за подсигуряване на устойчивостта на системата спрямо бъдещи предизвикателства, продължават да бъдат </w:t>
      </w:r>
      <w:r>
        <w:rPr>
          <w:noProof/>
        </w:rPr>
        <w:lastRenderedPageBreak/>
        <w:t>недостатъчно развити. Пандемията засегна заведенията за дългосрочни грижи, в които много от обгрижваните представляват група с висок риск.</w:t>
      </w:r>
      <w:r>
        <w:rPr>
          <w:rFonts w:ascii="Calibri" w:hAnsi="Calibri"/>
          <w:noProof/>
          <w:color w:val="1F497D"/>
          <w:sz w:val="22"/>
        </w:rPr>
        <w:t xml:space="preserve"> </w:t>
      </w:r>
    </w:p>
    <w:p>
      <w:pPr>
        <w:pStyle w:val="ManualConsidrant"/>
        <w:rPr>
          <w:i/>
          <w:noProof/>
        </w:rPr>
      </w:pPr>
      <w:r>
        <w:rPr>
          <w:noProof/>
        </w:rPr>
        <w:t>(19)</w:t>
      </w:r>
      <w:r>
        <w:rPr>
          <w:noProof/>
        </w:rPr>
        <w:tab/>
        <w:t xml:space="preserve">Пандемията от COVID-19 ще окаже значително въздействие върху пазара на труда, като доведе до обрат в спада на безработицата през последните години. Очаква се равнището на безработица да нарасне от 3,3 % през 2019 г. на около 7,5 % през 2020 г. и леко да се възстанови до 5,3 % през 2021 г. Има опасност това краткосрочно въздействие да придобие средносрочно по-изявен структурен характер, особено за уязвимите групи. Временният режим на работа при непълно работно време може да служи като ефективен инструмент за запазване на работни места, ако са налице достатъчно стимули за неговото възприемане от страна на дружествата. В същото време, въпреки благоприятното развитие преди кризата с COVID-19, участието на пазара на труда на някои групи от работната сила, особено на жените, нискоквалифицираните, по-възрастните хора и хората с увреждания и лицата, полагащи грижи за тях, остава ниско. Миграцията от държави извън ЕС спомогна за смекчаване на недостига на работна ръка, но постигането на постоянен приток на работници мигранти може да бъде трудно. Увеличаването на гъвкавите начини на работа, включително схеми за дистанционна работа и за гъвкаво работно време, особено при постоянни форми на заетост, може следователно да допринесе както за справянето с кризата, така и за подпомагането на групи с по-ниски равнища на активност при намирането на постоянна работа. Това би подкрепило и устойчивостта на пазара на труда при бъдещи периоди на икономически спад. </w:t>
      </w:r>
    </w:p>
    <w:p>
      <w:pPr>
        <w:pStyle w:val="ManualConsidrant"/>
        <w:rPr>
          <w:noProof/>
        </w:rPr>
      </w:pPr>
      <w:r>
        <w:rPr>
          <w:noProof/>
        </w:rPr>
        <w:t>(20)</w:t>
      </w:r>
      <w:r>
        <w:rPr>
          <w:noProof/>
        </w:rPr>
        <w:tab/>
        <w:t xml:space="preserve">За да се смекчат социалните последици от пандемията от COVID-19, да се запази социалното сближаване и да се подкрепи икономическото възстановяване са необходими солидни защитни мрежи. През последните години Полша стартира широкообхватна програма за социални трансфери, включително всеобщата детска надбавка и допълнителната еднократна сума, която се изплаща всяка година на пенсионерите, на стойност близо 2,5 % от БВП годишно. Тези мерки не са обвързани с условия за имуществено състояние и има възможност за по-доброто им насочване. В същото време покритието на социалните помощи е ниско за хората с най-ниски доходи. Най-голямото увеличение на крайната бедност, за което се съобщава през 2019 г. в проучването на бюджета на домакинствата, засяга хората или семействата, които живеят на обезщетения (различни от пенсии и пенсии за инвалидност), и е показателно за слабостите в системата за социална сигурност. Освен това не всички трудови договори осигуряват достъп до социална закрила, като например адекватни обезщетения за безработица, за майчинство, за болест и за инвалидност. Това прави по-уязвими някои от работниците, засегнати от извънредните мерки, и ги излага на риск от изпадане в бедност. В допълнение равнището на обезщетенията за минимален доход е под средното за ЕС. </w:t>
      </w:r>
    </w:p>
    <w:p>
      <w:pPr>
        <w:pStyle w:val="ManualConsidrant"/>
        <w:rPr>
          <w:noProof/>
        </w:rPr>
      </w:pPr>
      <w:r>
        <w:rPr>
          <w:noProof/>
        </w:rPr>
        <w:t>(21)</w:t>
      </w:r>
      <w:r>
        <w:rPr>
          <w:noProof/>
        </w:rPr>
        <w:tab/>
        <w:t xml:space="preserve">Внезапното прекратяване на учебните занятия на всички образователни равнища постави предизвикателства пред образователната система във връзка с предоставянето на дистанционно обучение. За да се предотврати нарастващото неравенство, е от решаващо значение да се гарантира, че всички учащи, по-специално произхождащите от среда в неравностойно положение, могат да имат достъп до дистанционно обучение. При все това през 2018 г. домакинствата на почти 330 000 ученици не са били оборудвани с компютър с достъп до интернет. Значителна част от учителите не притежават уменията за предоставяне на цифрово обучение. Същевременно много родители се затруднени при </w:t>
      </w:r>
      <w:r>
        <w:rPr>
          <w:noProof/>
        </w:rPr>
        <w:lastRenderedPageBreak/>
        <w:t>оказването на подкрепа при цифрово обучение и образование в домашни условия. Продължаването на мерките за оборудване на училищата и учителите с цифрова инфраструктура и онлайн учебни материали би допринесло за решаването на някои от тези проблеми и ще гарантира качеството. Кризата, свързана с COVID-19, изважда наяве цялостното структурно предизвикателство по отношение на придобиването на цифрови умения, тъй като почти половината от възрастното население не разполага с основни цифрови умения, а общото участие на възрастните в учебни процеси е много по-ниско от средното за Съюза. Неотдавнашните реформи в професионалното образование не са стимулирали достатъчно работодатели да участват в него, а обучението в процеса на работа не се използва достатъчно. Очертаващият се недостиг на учители показва необходимостта от повишаване на привлекателността на учителската професия.</w:t>
      </w:r>
    </w:p>
    <w:p>
      <w:pPr>
        <w:pStyle w:val="ManualConsidrant"/>
        <w:rPr>
          <w:noProof/>
        </w:rPr>
      </w:pPr>
      <w:r>
        <w:rPr>
          <w:noProof/>
        </w:rPr>
        <w:t>(22)</w:t>
      </w:r>
      <w:r>
        <w:rPr>
          <w:noProof/>
        </w:rPr>
        <w:tab/>
        <w:t xml:space="preserve">Пандемията от COVID-19 сериозно засегна условията на труд на предприятията, по-специално на малките и средните предприятия (МСП) и микропредприятията. Предлагането на условия за дистанционна работа представлява предизвикателство, като само една десета от полските предприятия са достатъчно цифровизирани, за да дадат възможност за бързо приспособяване към нови условия. Една от основните пречки пред цифровизацията на МСП са ниските равнища на цифрова грамотност сред собствениците, управителите и служителите. Използването на цифрови технологии в публичната администрация е ключов елемент за гарантиране на предоставянето на публичните услуги, както и за насочването на мерките, необходими за наблюдение и управление на кризата. Освен това ефикасните електронни публични услуги водят до намаляване на ненужната регулаторна и административна тежест, което може да бъде от решаващо значение във фазата на възстановяване. </w:t>
      </w:r>
    </w:p>
    <w:p>
      <w:pPr>
        <w:pStyle w:val="ManualConsidrant"/>
        <w:rPr>
          <w:noProof/>
        </w:rPr>
      </w:pPr>
      <w:r>
        <w:rPr>
          <w:noProof/>
        </w:rPr>
        <w:t>(23)</w:t>
      </w:r>
      <w:r>
        <w:rPr>
          <w:noProof/>
        </w:rPr>
        <w:tab/>
        <w:t xml:space="preserve">За да смекчи въздействието на кризата, полското правителство предлага на засегнатите дружества, с акцент върху МСП и микропредприятията, значителна ликвидна подкрепа чрез гаранции, заеми и условна безвъзмездна финансова помощ. Държавните мерки се подкрепят от националната банка на Полша, включително от програмата за закупуване на съкровищни облигации на вторичния пазар и от значителни намаления на лихвените проценти. Ефективното и бързо прилагане на тези мерки и ефикасното им по-нататъшно изпълнение от страна на посредниците е от съществено значение, за да се помогне на стопанския сектор да продължи дейността си и за да се улесни възстановяването. В процеса на разработване и прилагане на тези мерки трябва да се вземе под внимание устойчивостта на банковия сектор и да се наблюдава стабилността на финансовата система. Възможността за отсрочване на плащането на данъци и социалноосигурителни вноски и за ускоряване на договорните плащания от страна на публичните органи също спомага за подобряване на паричните потоци на засегнатите дружества. </w:t>
      </w:r>
    </w:p>
    <w:p>
      <w:pPr>
        <w:pStyle w:val="ManualConsidrant"/>
        <w:rPr>
          <w:noProof/>
        </w:rPr>
      </w:pPr>
      <w:r>
        <w:rPr>
          <w:noProof/>
        </w:rPr>
        <w:t>(24)</w:t>
      </w:r>
      <w:r>
        <w:rPr>
          <w:noProof/>
        </w:rPr>
        <w:tab/>
        <w:t xml:space="preserve">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 Полската икономика е с висок въглероден интензитет и качеството на въздуха в Полша е сред най-ниските в ЕС, което поражда сериозни опасения по отношение на околната среда и здравето. Ето защо от съществено значение е да се планират и приемат амбициозни мерки, насочени към своевременен преход към чиста </w:t>
      </w:r>
      <w:r>
        <w:rPr>
          <w:noProof/>
        </w:rPr>
        <w:lastRenderedPageBreak/>
        <w:t>енергия в съответствие с Европейския зелен пакт и националния план в областта на енергетиката и климата. Разполагането на оптични мрежи в Полша е над средното за ЕС и през предходните години бе постигнат значителен напредък по отношение на включването в свръхвисокоскоростни и мобилни широколентови мрежи, но Полша продължава да е далеко от целите, които си е поставила по отношение на свързаността. Възстановяването може да бъде допълнително подкрепено от значителни инвестиции в устойчива транспортна инфраструктура, за да се подобри свързаността между периферните зони и центровете на икономическа дейност. Полша ще разчита все повече на науката и иновациите, за да гарантира дългосрочен устойчив икономически растеж и конкурентоспособност. Общите разходи за научноизследователска и развойна дейност спрямо БВП остават под средните за ЕС и въпреки видимия напредък в много компоненти на съвкупността от политики на иновационната екосистема на страната, сътрудничеството между науката и предприятията продължава да бъде основна пречка пред засилването на иновациите в Полша. Програмирането на Фонда за справедлив преход за периода 2021—2027 г. би могло да помогне на Полша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8"/>
      </w:r>
      <w:r>
        <w:rPr>
          <w:noProof/>
        </w:rPr>
        <w:t>. Това ще позволи на Полша да използва този фонд по най-добрия начин.</w:t>
      </w:r>
    </w:p>
    <w:p>
      <w:pPr>
        <w:pStyle w:val="ManualConsidrant"/>
        <w:rPr>
          <w:noProof/>
        </w:rPr>
      </w:pPr>
      <w:r>
        <w:rPr>
          <w:noProof/>
        </w:rPr>
        <w:t>(25)</w:t>
      </w:r>
      <w:r>
        <w:rPr>
          <w:noProof/>
        </w:rPr>
        <w:tab/>
        <w:t xml:space="preserve">Стабилната и предвидима стопанска среда и благоприятният инвестиционен климат играят важна роля за икономическото възстановяване след пандемията. Независимостта, ефективността и качеството на правосъдната система са основни компоненти в това отношение. Правната сигурност, включително достъпът до независими съдилища, и доверието в качеството и предвидимостта на регулаторните политики и институции също са ключови фактори за функционирането на единния пазар и за запазването на позицията на Полша в европейските вериги за доставки в ситуацията след пандемията. В допълнение към отдавнашните опасения относно принципите на правовата държава в Полша, повдигнати от Комисията, някои от които вече бяха разгледани в решения на Съда на Европейския съюз, последните събития пораждат допълнителни опасения, излагайки на риск функционирането на правния ред на Полша и на Съюза. </w:t>
      </w:r>
    </w:p>
    <w:p>
      <w:pPr>
        <w:pStyle w:val="ManualConsidrant"/>
        <w:rPr>
          <w:noProof/>
        </w:rPr>
      </w:pPr>
      <w:r>
        <w:rPr>
          <w:noProof/>
        </w:rPr>
        <w:t>(26)</w:t>
      </w:r>
      <w:r>
        <w:rPr>
          <w:noProof/>
        </w:rPr>
        <w:tab/>
        <w:t xml:space="preserve">Надеждната и стабилна регулаторна среда е основата за поддържане на икономическия растеж и частните инвестиции. Липсата на адекватни консултации с обществеността и социалните партньори оказва отрицателно въздействие върху стабилността и устойчивостта на стопанската среда, а също и върху качеството на законодателството. Обществените консултации бяха направени задължителни за проектозаконите, предложени от Министерския съвет, но те или не се извършват, или консултациите не са задължителни за предложенията, които използват алтернативни пътища, например представяне от членове на парламента. Това несъответствие натежава допълнително на качеството на произтичащото от това законодателство. Освен това качеството на социалния диалог се е влошило през последните години, по-специално поради </w:t>
      </w:r>
      <w:r>
        <w:rPr>
          <w:noProof/>
          <w:color w:val="000000" w:themeColor="text1"/>
        </w:rPr>
        <w:t xml:space="preserve">липсата на консултации или много кратките консултации в процеса на изготвяне на политиките. Осигуряването на достатъчно време за консултации, повишеното отчитане на становищата на заинтересованите страни, събрани по време на процеса, както и максималното ограничаване на броя на законите без </w:t>
      </w:r>
      <w:r>
        <w:rPr>
          <w:noProof/>
          <w:color w:val="000000" w:themeColor="text1"/>
        </w:rPr>
        <w:lastRenderedPageBreak/>
        <w:t xml:space="preserve">предвидени консултации би засилило участието на социалните партньори и спомогнало за подобряване на качеството на законотворчеството. Съветът за социален диалог представлява институционална рамка за тристранен социален диалог. Приетите обаче през април 2020 г. правни разпоредби отслабват автономността на социалните партньори в Съвета за социален диалог и рискуват допълнително влошаване на ефективността на социалния диалог в страната. </w:t>
      </w:r>
    </w:p>
    <w:p>
      <w:pPr>
        <w:pStyle w:val="ManualConsidrant"/>
        <w:rPr>
          <w:i/>
          <w:noProof/>
        </w:rPr>
      </w:pPr>
      <w:r>
        <w:rPr>
          <w:noProof/>
        </w:rPr>
        <w:t>(27)</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до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(28)</w:t>
      </w:r>
      <w:r>
        <w:rPr>
          <w:noProof/>
        </w:rPr>
        <w:tab/>
        <w:t>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Полша ще допринесе за напредъка към постигането на ЦУР и за общите усилия за осигуряване на конкурентоспособна устойчивост в Съюза.</w:t>
      </w:r>
    </w:p>
    <w:p>
      <w:pPr>
        <w:pStyle w:val="ManualConsidrant"/>
        <w:rPr>
          <w:noProof/>
        </w:rPr>
      </w:pPr>
      <w:r>
        <w:rPr>
          <w:noProof/>
        </w:rPr>
        <w:t>(29)</w:t>
      </w:r>
      <w:r>
        <w:rPr>
          <w:noProof/>
        </w:rPr>
        <w:tab/>
        <w:t xml:space="preserve">В рамките на европейския семестър за 2020 г. Комисията направи цялостен анализ на икономическата политика на Полша и го публикува в доклада за страната за 2020 г. Тя извърши и оценка на програмата за конвергенция за 2020 г., на националната програма за реформи за 2020 г. и на последващите действия във връзка с препоръките, отправени към Полша през предходните години. Комисията взе предвид не само тяхното значение за провеждането на устойчива бюджетна и социално-икономическа политика в Полша,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rPr>
          <w:noProof/>
        </w:rPr>
        <w:t>(30)</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9"/>
      </w:r>
      <w:r>
        <w:rPr>
          <w:noProof/>
        </w:rPr>
        <w:t xml:space="preserve"> е изразено по-специално в препоръка 1 по-долу, </w:t>
      </w:r>
    </w:p>
    <w:p>
      <w:pPr>
        <w:rPr>
          <w:noProof/>
        </w:rPr>
      </w:pPr>
    </w:p>
    <w:p>
      <w:pPr>
        <w:pStyle w:val="Formuledadoption"/>
        <w:rPr>
          <w:noProof/>
        </w:rPr>
      </w:pPr>
      <w:r>
        <w:rPr>
          <w:noProof/>
        </w:rPr>
        <w:t>ПРЕПОРЪЧВА на Полша да предприеме следните действия през 2020 г. и 2021 г.:</w:t>
      </w:r>
    </w:p>
    <w:p>
      <w:pPr>
        <w:pStyle w:val="ManualNumPar1"/>
        <w:rPr>
          <w:noProof/>
          <w:szCs w:val="24"/>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оказване на подкрепа за последващото възстановяване. Когато икономическите условия позволяват това, да провежда фискални политики, насочени към постигане на разумни средносрочни фискални позиции и </w:t>
      </w:r>
      <w:r>
        <w:rPr>
          <w:noProof/>
        </w:rPr>
        <w:lastRenderedPageBreak/>
        <w:t>гарантиране на устойчивост на дълга, като същевременно засилва инвестициите</w:t>
      </w:r>
      <w:r>
        <w:rPr>
          <w:i/>
          <w:noProof/>
          <w:szCs w:val="24"/>
        </w:rPr>
        <w:t>.</w:t>
      </w:r>
      <w:r>
        <w:rPr>
          <w:noProof/>
        </w:rPr>
        <w:t xml:space="preserve"> Да подобри устойчивостта, достъпността и ефективността на здравната система, включително чрез предоставяне на достатъчно ресурси и ускоряване на внедряването на услугите на електронното здравеопазване. </w:t>
      </w:r>
    </w:p>
    <w:p>
      <w:pPr>
        <w:pStyle w:val="ManualNumPar1"/>
        <w:rPr>
          <w:noProof/>
          <w:szCs w:val="24"/>
        </w:rPr>
      </w:pPr>
      <w:r>
        <w:rPr>
          <w:noProof/>
        </w:rPr>
        <w:t>2.</w:t>
      </w:r>
      <w:r>
        <w:rPr>
          <w:noProof/>
        </w:rPr>
        <w:tab/>
        <w:t xml:space="preserve">Да смекчи въздействието на кризата върху заетостта, по-специално чрез засилване на гъвкавите режими на работа и работата с намалено работно време. Да извърши по-добро насочване на социалните обезщетения и осигуряване на достъп на нуждаещите се. Да подобри цифровите умения. Да продължи да насърчава цифровата трансформация на дружествата и публичната администрация. </w:t>
      </w:r>
    </w:p>
    <w:p>
      <w:pPr>
        <w:pStyle w:val="ManualNumPar1"/>
        <w:rPr>
          <w:noProof/>
          <w:szCs w:val="24"/>
        </w:rPr>
      </w:pPr>
      <w:r>
        <w:rPr>
          <w:noProof/>
        </w:rPr>
        <w:t>3.</w:t>
      </w:r>
      <w:r>
        <w:rPr>
          <w:noProof/>
        </w:rPr>
        <w:tab/>
        <w:t xml:space="preserve">Да продължи с усилията за осигуряване на достъп до финансиране и ликвидност за дружествата. Да даде приоритет на готови за изпълнение публични инвестиционни проекти и да насърчава частните инвестиции за стимулиране на икономическото възстановяване. Да съсредоточи инвестициите върху екологичния и цифровия преход, по-специално върху цифровата инфраструктура, чистото и ефективно производство и използване на енергия, както и устойчивия транспорт, като допринася за постепенната декарбонизацията на икономиката, включително във въгледобивните райони. </w:t>
      </w:r>
    </w:p>
    <w:p>
      <w:pPr>
        <w:pStyle w:val="ManualNumPar1"/>
        <w:rPr>
          <w:noProof/>
          <w:szCs w:val="24"/>
        </w:rPr>
      </w:pPr>
      <w:r>
        <w:rPr>
          <w:noProof/>
        </w:rPr>
        <w:t>4.</w:t>
      </w:r>
      <w:r>
        <w:rPr>
          <w:noProof/>
        </w:rPr>
        <w:tab/>
        <w:t>Да подобри инвестиционния климат, по-специално чрез гарантиране на независимостта на съдебната власт. Да гарантира ефективни обществени консултации и участие на социалните партньори в процеса на изготвяне на политики.</w:t>
      </w:r>
    </w:p>
    <w:p>
      <w:pPr>
        <w:pStyle w:val="Text1"/>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520 final.</w:t>
      </w:r>
    </w:p>
  </w:footnote>
  <w:footnote w:id="3">
    <w:p>
      <w:pPr>
        <w:pStyle w:val="FootnoteText"/>
      </w:pPr>
      <w:r>
        <w:rPr>
          <w:rStyle w:val="FootnoteReference"/>
        </w:rPr>
        <w:footnoteRef/>
      </w:r>
      <w:r>
        <w:tab/>
        <w:t>OВ C 301, 5.9.2019 г., стр. 117</w:t>
      </w:r>
    </w:p>
  </w:footnote>
  <w:footnote w:id="4">
    <w:p>
      <w:pPr>
        <w:pStyle w:val="FootnoteText"/>
      </w:pPr>
      <w:r>
        <w:rPr>
          <w:rStyle w:val="FootnoteReference"/>
        </w:rPr>
        <w:footnoteRef/>
      </w:r>
      <w:r>
        <w:tab/>
        <w:t>COM(2020) 112 final.</w:t>
      </w:r>
    </w:p>
  </w:footnote>
  <w:footnote w:id="5">
    <w:p>
      <w:pPr>
        <w:pStyle w:val="FootnoteText"/>
      </w:pPr>
      <w:r>
        <w:rPr>
          <w:rStyle w:val="FootnoteReference"/>
        </w:rPr>
        <w:footnoteRef/>
      </w:r>
      <w:r>
        <w:tab/>
        <w:t>COM(2020) 123 final.</w:t>
      </w:r>
    </w:p>
  </w:footnote>
  <w:footnote w:id="6">
    <w:p>
      <w:r>
        <w:rPr>
          <w:rStyle w:val="FootnoteReference"/>
        </w:rPr>
        <w:footnoteRef/>
      </w:r>
      <w:r>
        <w:tab/>
      </w:r>
      <w:r>
        <w:rPr>
          <w:sz w:val="20"/>
          <w:szCs w:val="20"/>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7">
    <w:p>
      <w:pPr>
        <w:pStyle w:val="FootnoteText"/>
        <w:ind w:left="0" w:firstLine="0"/>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SWD(2020) 520 final.</w:t>
      </w:r>
    </w:p>
  </w:footnote>
  <w:footnote w:id="9">
    <w:p>
      <w:pPr>
        <w:pStyle w:val="FootnoteText"/>
      </w:pPr>
      <w:r>
        <w:rPr>
          <w:rStyle w:val="FootnoteReference"/>
        </w:rPr>
        <w:footnoteRef/>
      </w:r>
      <w:r>
        <w:tab/>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20:49: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28C3749-C6D6-4903-A895-31A5F6904C77"/>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5?\u1086?\u1083?\u1096?\u1072?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5?\u1086?\u1083?\u1096?\u1072? \u1079?\u1072? 2020 \u1075?."/>
    <w:docVar w:name="LW_TITRE.OBJ.CP" w:val="\u1086?\u1090?\u1085?\u1086?\u1089?\u1085?\u1086? \u1085?\u1072?\u1094?\u1080?\u1086?\u1085?\u1072?\u1083?\u1085?\u1072?\u1090?\u1072? \u1087?\u1088?\u1086?\u1075?\u1088?\u1072?\u1084?\u1072? \u1079?\u1072? \u1088?\u1077?\u1092?\u1086?\u1088?\u1084?\u1080? \u1085?\u1072? \u1055?\u1086?\u1083?\u1096?\u1072?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5?\u1086?\u1083?\u1096?\u1072?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276">
      <w:bodyDiv w:val="1"/>
      <w:marLeft w:val="0"/>
      <w:marRight w:val="0"/>
      <w:marTop w:val="0"/>
      <w:marBottom w:val="0"/>
      <w:divBdr>
        <w:top w:val="none" w:sz="0" w:space="0" w:color="auto"/>
        <w:left w:val="none" w:sz="0" w:space="0" w:color="auto"/>
        <w:bottom w:val="none" w:sz="0" w:space="0" w:color="auto"/>
        <w:right w:val="none" w:sz="0" w:space="0" w:color="auto"/>
      </w:divBdr>
    </w:div>
    <w:div w:id="53089958">
      <w:bodyDiv w:val="1"/>
      <w:marLeft w:val="0"/>
      <w:marRight w:val="0"/>
      <w:marTop w:val="0"/>
      <w:marBottom w:val="0"/>
      <w:divBdr>
        <w:top w:val="none" w:sz="0" w:space="0" w:color="auto"/>
        <w:left w:val="none" w:sz="0" w:space="0" w:color="auto"/>
        <w:bottom w:val="none" w:sz="0" w:space="0" w:color="auto"/>
        <w:right w:val="none" w:sz="0" w:space="0" w:color="auto"/>
      </w:divBdr>
    </w:div>
    <w:div w:id="112988133">
      <w:bodyDiv w:val="1"/>
      <w:marLeft w:val="0"/>
      <w:marRight w:val="0"/>
      <w:marTop w:val="0"/>
      <w:marBottom w:val="0"/>
      <w:divBdr>
        <w:top w:val="none" w:sz="0" w:space="0" w:color="auto"/>
        <w:left w:val="none" w:sz="0" w:space="0" w:color="auto"/>
        <w:bottom w:val="none" w:sz="0" w:space="0" w:color="auto"/>
        <w:right w:val="none" w:sz="0" w:space="0" w:color="auto"/>
      </w:divBdr>
    </w:div>
    <w:div w:id="146165641">
      <w:bodyDiv w:val="1"/>
      <w:marLeft w:val="0"/>
      <w:marRight w:val="0"/>
      <w:marTop w:val="0"/>
      <w:marBottom w:val="0"/>
      <w:divBdr>
        <w:top w:val="none" w:sz="0" w:space="0" w:color="auto"/>
        <w:left w:val="none" w:sz="0" w:space="0" w:color="auto"/>
        <w:bottom w:val="none" w:sz="0" w:space="0" w:color="auto"/>
        <w:right w:val="none" w:sz="0" w:space="0" w:color="auto"/>
      </w:divBdr>
    </w:div>
    <w:div w:id="353726392">
      <w:bodyDiv w:val="1"/>
      <w:marLeft w:val="0"/>
      <w:marRight w:val="0"/>
      <w:marTop w:val="0"/>
      <w:marBottom w:val="0"/>
      <w:divBdr>
        <w:top w:val="none" w:sz="0" w:space="0" w:color="auto"/>
        <w:left w:val="none" w:sz="0" w:space="0" w:color="auto"/>
        <w:bottom w:val="none" w:sz="0" w:space="0" w:color="auto"/>
        <w:right w:val="none" w:sz="0" w:space="0" w:color="auto"/>
      </w:divBdr>
    </w:div>
    <w:div w:id="360517661">
      <w:bodyDiv w:val="1"/>
      <w:marLeft w:val="0"/>
      <w:marRight w:val="0"/>
      <w:marTop w:val="0"/>
      <w:marBottom w:val="0"/>
      <w:divBdr>
        <w:top w:val="none" w:sz="0" w:space="0" w:color="auto"/>
        <w:left w:val="none" w:sz="0" w:space="0" w:color="auto"/>
        <w:bottom w:val="none" w:sz="0" w:space="0" w:color="auto"/>
        <w:right w:val="none" w:sz="0" w:space="0" w:color="auto"/>
      </w:divBdr>
    </w:div>
    <w:div w:id="382412827">
      <w:bodyDiv w:val="1"/>
      <w:marLeft w:val="0"/>
      <w:marRight w:val="0"/>
      <w:marTop w:val="0"/>
      <w:marBottom w:val="0"/>
      <w:divBdr>
        <w:top w:val="none" w:sz="0" w:space="0" w:color="auto"/>
        <w:left w:val="none" w:sz="0" w:space="0" w:color="auto"/>
        <w:bottom w:val="none" w:sz="0" w:space="0" w:color="auto"/>
        <w:right w:val="none" w:sz="0" w:space="0" w:color="auto"/>
      </w:divBdr>
    </w:div>
    <w:div w:id="426078739">
      <w:bodyDiv w:val="1"/>
      <w:marLeft w:val="0"/>
      <w:marRight w:val="0"/>
      <w:marTop w:val="0"/>
      <w:marBottom w:val="0"/>
      <w:divBdr>
        <w:top w:val="none" w:sz="0" w:space="0" w:color="auto"/>
        <w:left w:val="none" w:sz="0" w:space="0" w:color="auto"/>
        <w:bottom w:val="none" w:sz="0" w:space="0" w:color="auto"/>
        <w:right w:val="none" w:sz="0" w:space="0" w:color="auto"/>
      </w:divBdr>
    </w:div>
    <w:div w:id="537744653">
      <w:bodyDiv w:val="1"/>
      <w:marLeft w:val="0"/>
      <w:marRight w:val="0"/>
      <w:marTop w:val="0"/>
      <w:marBottom w:val="0"/>
      <w:divBdr>
        <w:top w:val="none" w:sz="0" w:space="0" w:color="auto"/>
        <w:left w:val="none" w:sz="0" w:space="0" w:color="auto"/>
        <w:bottom w:val="none" w:sz="0" w:space="0" w:color="auto"/>
        <w:right w:val="none" w:sz="0" w:space="0" w:color="auto"/>
      </w:divBdr>
    </w:div>
    <w:div w:id="599528434">
      <w:bodyDiv w:val="1"/>
      <w:marLeft w:val="0"/>
      <w:marRight w:val="0"/>
      <w:marTop w:val="0"/>
      <w:marBottom w:val="0"/>
      <w:divBdr>
        <w:top w:val="none" w:sz="0" w:space="0" w:color="auto"/>
        <w:left w:val="none" w:sz="0" w:space="0" w:color="auto"/>
        <w:bottom w:val="none" w:sz="0" w:space="0" w:color="auto"/>
        <w:right w:val="none" w:sz="0" w:space="0" w:color="auto"/>
      </w:divBdr>
    </w:div>
    <w:div w:id="925651714">
      <w:bodyDiv w:val="1"/>
      <w:marLeft w:val="0"/>
      <w:marRight w:val="0"/>
      <w:marTop w:val="0"/>
      <w:marBottom w:val="0"/>
      <w:divBdr>
        <w:top w:val="none" w:sz="0" w:space="0" w:color="auto"/>
        <w:left w:val="none" w:sz="0" w:space="0" w:color="auto"/>
        <w:bottom w:val="none" w:sz="0" w:space="0" w:color="auto"/>
        <w:right w:val="none" w:sz="0" w:space="0" w:color="auto"/>
      </w:divBdr>
    </w:div>
    <w:div w:id="1002004832">
      <w:bodyDiv w:val="1"/>
      <w:marLeft w:val="0"/>
      <w:marRight w:val="0"/>
      <w:marTop w:val="0"/>
      <w:marBottom w:val="0"/>
      <w:divBdr>
        <w:top w:val="none" w:sz="0" w:space="0" w:color="auto"/>
        <w:left w:val="none" w:sz="0" w:space="0" w:color="auto"/>
        <w:bottom w:val="none" w:sz="0" w:space="0" w:color="auto"/>
        <w:right w:val="none" w:sz="0" w:space="0" w:color="auto"/>
      </w:divBdr>
    </w:div>
    <w:div w:id="1173841943">
      <w:bodyDiv w:val="1"/>
      <w:marLeft w:val="0"/>
      <w:marRight w:val="0"/>
      <w:marTop w:val="0"/>
      <w:marBottom w:val="0"/>
      <w:divBdr>
        <w:top w:val="none" w:sz="0" w:space="0" w:color="auto"/>
        <w:left w:val="none" w:sz="0" w:space="0" w:color="auto"/>
        <w:bottom w:val="none" w:sz="0" w:space="0" w:color="auto"/>
        <w:right w:val="none" w:sz="0" w:space="0" w:color="auto"/>
      </w:divBdr>
    </w:div>
    <w:div w:id="1174035175">
      <w:bodyDiv w:val="1"/>
      <w:marLeft w:val="0"/>
      <w:marRight w:val="0"/>
      <w:marTop w:val="0"/>
      <w:marBottom w:val="0"/>
      <w:divBdr>
        <w:top w:val="none" w:sz="0" w:space="0" w:color="auto"/>
        <w:left w:val="none" w:sz="0" w:space="0" w:color="auto"/>
        <w:bottom w:val="none" w:sz="0" w:space="0" w:color="auto"/>
        <w:right w:val="none" w:sz="0" w:space="0" w:color="auto"/>
      </w:divBdr>
    </w:div>
    <w:div w:id="1207912467">
      <w:bodyDiv w:val="1"/>
      <w:marLeft w:val="0"/>
      <w:marRight w:val="0"/>
      <w:marTop w:val="0"/>
      <w:marBottom w:val="0"/>
      <w:divBdr>
        <w:top w:val="none" w:sz="0" w:space="0" w:color="auto"/>
        <w:left w:val="none" w:sz="0" w:space="0" w:color="auto"/>
        <w:bottom w:val="none" w:sz="0" w:space="0" w:color="auto"/>
        <w:right w:val="none" w:sz="0" w:space="0" w:color="auto"/>
      </w:divBdr>
    </w:div>
    <w:div w:id="1251935898">
      <w:bodyDiv w:val="1"/>
      <w:marLeft w:val="0"/>
      <w:marRight w:val="0"/>
      <w:marTop w:val="0"/>
      <w:marBottom w:val="0"/>
      <w:divBdr>
        <w:top w:val="none" w:sz="0" w:space="0" w:color="auto"/>
        <w:left w:val="none" w:sz="0" w:space="0" w:color="auto"/>
        <w:bottom w:val="none" w:sz="0" w:space="0" w:color="auto"/>
        <w:right w:val="none" w:sz="0" w:space="0" w:color="auto"/>
      </w:divBdr>
    </w:div>
    <w:div w:id="1312907347">
      <w:bodyDiv w:val="1"/>
      <w:marLeft w:val="0"/>
      <w:marRight w:val="0"/>
      <w:marTop w:val="0"/>
      <w:marBottom w:val="0"/>
      <w:divBdr>
        <w:top w:val="none" w:sz="0" w:space="0" w:color="auto"/>
        <w:left w:val="none" w:sz="0" w:space="0" w:color="auto"/>
        <w:bottom w:val="none" w:sz="0" w:space="0" w:color="auto"/>
        <w:right w:val="none" w:sz="0" w:space="0" w:color="auto"/>
      </w:divBdr>
    </w:div>
    <w:div w:id="1340505642">
      <w:bodyDiv w:val="1"/>
      <w:marLeft w:val="0"/>
      <w:marRight w:val="0"/>
      <w:marTop w:val="0"/>
      <w:marBottom w:val="0"/>
      <w:divBdr>
        <w:top w:val="none" w:sz="0" w:space="0" w:color="auto"/>
        <w:left w:val="none" w:sz="0" w:space="0" w:color="auto"/>
        <w:bottom w:val="none" w:sz="0" w:space="0" w:color="auto"/>
        <w:right w:val="none" w:sz="0" w:space="0" w:color="auto"/>
      </w:divBdr>
    </w:div>
    <w:div w:id="1364869647">
      <w:bodyDiv w:val="1"/>
      <w:marLeft w:val="0"/>
      <w:marRight w:val="0"/>
      <w:marTop w:val="0"/>
      <w:marBottom w:val="0"/>
      <w:divBdr>
        <w:top w:val="none" w:sz="0" w:space="0" w:color="auto"/>
        <w:left w:val="none" w:sz="0" w:space="0" w:color="auto"/>
        <w:bottom w:val="none" w:sz="0" w:space="0" w:color="auto"/>
        <w:right w:val="none" w:sz="0" w:space="0" w:color="auto"/>
      </w:divBdr>
    </w:div>
    <w:div w:id="1421484135">
      <w:bodyDiv w:val="1"/>
      <w:marLeft w:val="0"/>
      <w:marRight w:val="0"/>
      <w:marTop w:val="0"/>
      <w:marBottom w:val="0"/>
      <w:divBdr>
        <w:top w:val="none" w:sz="0" w:space="0" w:color="auto"/>
        <w:left w:val="none" w:sz="0" w:space="0" w:color="auto"/>
        <w:bottom w:val="none" w:sz="0" w:space="0" w:color="auto"/>
        <w:right w:val="none" w:sz="0" w:space="0" w:color="auto"/>
      </w:divBdr>
    </w:div>
    <w:div w:id="20310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BEE9-B976-4525-86A8-54DD7F78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4231</Words>
  <Characters>25006</Characters>
  <Application>Microsoft Office Word</Application>
  <DocSecurity>0</DocSecurity>
  <Lines>431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2020-06-03T07:06:00Z</dcterms:created>
  <dcterms:modified xsi:type="dcterms:W3CDTF">2020-06-03T18:49:00Z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