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426CBDA-8661-4022-80E6-921E90D3479A"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Малта за 2020 г. и съдържаща становище на Съвета относно програмата за стабилност на Малта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и Доклад за механизма за предупреждение, в който Малта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Малта за 2020 г.</w:t>
      </w:r>
      <w:r>
        <w:rPr>
          <w:rStyle w:val="FootnoteReference"/>
          <w:noProof/>
        </w:rPr>
        <w:footnoteReference w:id="2"/>
      </w:r>
      <w:r>
        <w:rPr>
          <w:noProof/>
        </w:rPr>
        <w:t xml:space="preserve"> беше публикуван на 26 февруари 2020 г. В него бе оценен напредъкът на Малта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xml:space="preserve">, последващите действия във връзка с препоръките, отправени през предходните години, както и напредъкът на страната по националните ѝ цели по стратегията „Европа 2020“. </w:t>
      </w:r>
    </w:p>
    <w:p>
      <w:pPr>
        <w:pStyle w:val="ManualConsidrant"/>
        <w:rPr>
          <w:noProof/>
        </w:rPr>
      </w:pPr>
      <w:r>
        <w:rPr>
          <w:noProof/>
        </w:rPr>
        <w:lastRenderedPageBreak/>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w:t>
      </w:r>
      <w:r>
        <w:rPr>
          <w:noProof/>
        </w:rPr>
        <w:lastRenderedPageBreak/>
        <w:t>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 xml:space="preserve">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 </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Малта се насърчава да използва пълноценно тези възможности, за да помогне на хората и секторите, които са най-силно засегнати от предизвикателствата.</w:t>
      </w:r>
    </w:p>
    <w:p>
      <w:pPr>
        <w:pStyle w:val="ManualConsidrant"/>
        <w:rPr>
          <w:noProof/>
        </w:rPr>
      </w:pPr>
      <w:r>
        <w:rPr>
          <w:noProof/>
        </w:rPr>
        <w:t>(9)</w:t>
      </w:r>
      <w:r>
        <w:rPr>
          <w:noProof/>
        </w:rPr>
        <w:tab/>
        <w:t>На 30 април 2020 г. Малта представи своята национална програма за реформи за 2020 г., а на 2 май 2020 г.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(10)</w:t>
      </w:r>
      <w:r>
        <w:rPr>
          <w:noProof/>
        </w:rPr>
        <w:tab/>
        <w:t>Спрямо Малта понастоящем се прилагат предпазните мерки на Пакта за стабилност и растеж.</w:t>
      </w:r>
    </w:p>
    <w:p>
      <w:pPr>
        <w:pStyle w:val="ManualConsidrant"/>
        <w:rPr>
          <w:noProof/>
        </w:rPr>
      </w:pPr>
      <w:r>
        <w:rPr>
          <w:noProof/>
        </w:rPr>
        <w:t>(11)</w:t>
      </w:r>
      <w:r>
        <w:rPr>
          <w:noProof/>
        </w:rPr>
        <w:tab/>
        <w:t>В своята програма за стабилност за 2020 г. правителството планира влошаване на номиналното салдо от излишък в размер на 0,5 % от БВП през 2019 г. до дефицит от 7,5 % от БВП през 2020 г. Предвижда се дефицитът да намалее до 3,6 % от БВП през 2021 г. След като намаля до около 43,1 % от БВП през 2019 г., съотношението на консолидирания държавен дълг към БВП се очаква да се повиши до 54,5 % през 2020 г. съгласно програмата за стабилност за 2020 г.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lastRenderedPageBreak/>
        <w:t>(12)</w:t>
      </w:r>
      <w:r>
        <w:rPr>
          <w:noProof/>
        </w:rPr>
        <w:tab/>
        <w:t xml:space="preserve">В отговор на пандемията от COVID-19 и в рамките на координирания подход на Съюза Малта прие бюджетни мерки за увеличаване на капацитета на здравната си система, за ограничаване на пандемията и за облекчаване на положението на засегнатите в особена степен хора и сектори. Съгласно програмите за стабилност за 2020 г. тези бюджетни мерки възлизаха на 4,1 % от БВП. Мерките включват допълнителни възнаграждения за сектори в затруднено положение, повишаване на капацитета за здравеопазване и социални мерки, свързани с COVID-19. Освен това Малта обяви мерки, които, макар и да нямат пряко отражение върху бюджета, ще допринесат за подкрепа на ликвидността на предприятията. Според прогнозите в програмата за стабилност за 2020 г. държавните гаранции ще позволят на банките да мобилизират портфейла от нови заеми за дружествата с до 6,1 % от БВП. Тези мерки включват гаранции по заеми. В програмата за стабилност за 2020 г. се потвърждава също така заявеното по-рано отсрочване на данъци върху доходите на физическите лица и корпоративни данъци, данъка върху добавената стойност и социалноосигурителните вноски. Като цяло мерките, предприети от Малта, са в съответствие с насоките, изложени в съобщението на Комисията относно координиран икономически отговор на разпространението на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(13)</w:t>
      </w:r>
      <w:r>
        <w:rPr>
          <w:noProof/>
        </w:rPr>
        <w:tab/>
        <w:t>Въз основа на прогнозата на Комисията от пролетта на 2020 г. при непроменени политики салдото на консолидирания държавен бюджет на Малта се очаква да бъде -6,7 % от БВП през 2020 г. и -2,5 % през 2021 г. Съотношението на консолидирания държавен дълг към БВП се очаква да остане под 60 % от БВП през 2020 г. и 2021 г.</w:t>
      </w:r>
    </w:p>
    <w:p>
      <w:pPr>
        <w:pStyle w:val="ManualConsidrant"/>
        <w:rPr>
          <w:noProof/>
        </w:rPr>
      </w:pPr>
      <w:r>
        <w:rPr>
          <w:noProof/>
        </w:rPr>
        <w:t>(14)</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Малта нарушение на прага на дефицита в размер на 3 % от БВП през 2020 г. Като цяло анализът показва, че критерият за дефицит, както е определен в Договора и в Регламент (ЕО) № 1467/1997, не е изпълнен. </w:t>
      </w:r>
    </w:p>
    <w:p>
      <w:pPr>
        <w:pStyle w:val="ManualConsidrant"/>
        <w:rPr>
          <w:noProof/>
        </w:rPr>
      </w:pPr>
      <w:r>
        <w:rPr>
          <w:noProof/>
        </w:rPr>
        <w:t>(15)</w:t>
      </w:r>
      <w:r>
        <w:rPr>
          <w:noProof/>
        </w:rPr>
        <w:tab/>
        <w:t xml:space="preserve">В отговор на пандемията от COVID-19 Малта предприе противоепидемични мерки чрез ефективна комуникационна кампания в областта на здравето, като въведе мерки за физическа изолация и карантина, наблюдение и високо равнище на тестване и проследяване на контактни лица. Малтийските органи също така работят за увеличаване на капацитета на болниците, включително на тези, предназначени за отделения за интензивно лечение. Прякото придобиване на лични предпазни средства се извършва на национално равнище. Малта също се присъедини към съвместния процес на Съюза за възлагане на обществени поръчки за лични предпазни средства, лабораторни реактиви и тестове и апарати за вентилация. По отношение на лекарствата и активните съставки Малта следи активно ситуацията, за да установи и предвиди евентуален недостиг и да предприеме незабавни корективни действия, особено в случай на затваряне на граници от държавите, които обикновено доставят лекарствата или активните съставки. На 12 май 2020 г. Комисията одобри схема в размер на 11,5 милиона евро в подкрепа на инвестициите в производството на продукти, свързани с COVID-19, включително лекарствени продукти като ваксини, болнична и медицинска апаратура, включително апарати за вентилация, както и защитно </w:t>
      </w:r>
      <w:r>
        <w:rPr>
          <w:noProof/>
        </w:rPr>
        <w:lastRenderedPageBreak/>
        <w:t xml:space="preserve">облекло и оборудване. Налице е също така ефективно пренасочване и преквалификация на медицински персонал. Специалистите в областта на общественото здравеопазване, които заемаха различни длъжности в рамките на регулаторните органи и министерствата, получиха нови задачи и бяха изцяло пренасочени и преразпределени, за да помогнат в отговор на пандемията. </w:t>
      </w:r>
    </w:p>
    <w:p>
      <w:pPr>
        <w:pStyle w:val="ManualConsidrant"/>
        <w:rPr>
          <w:noProof/>
        </w:rPr>
      </w:pPr>
      <w:r>
        <w:rPr>
          <w:noProof/>
        </w:rPr>
        <w:t>(16)</w:t>
      </w:r>
      <w:r>
        <w:rPr>
          <w:noProof/>
        </w:rPr>
        <w:tab/>
        <w:t>Малтийското правителство подпомагаше предприятията чрез финансова подкрепа за дистанционна работа и субсидиране на работниците при задължителното поставяне под карантина. Правителството също така предостави гаранции и отлагане на данъци за предприятия, включително за самостоятелно заети лица. Наетите лица на пълно работно време в предприятия, извършващи дейност в сектори като търговията на дребно, търговията на едро, туризма и хотелиерството, които пострадаха драстично поради пандемията от COVID-19 или секторите, които трябваше временно да спрат работа по разпореждане на Главната инспекция по обществено здраве, ще имат право на възнаграждение за не повече от пет дни на седмица, въз основа на заплата от 800 евро на месец. Служителите в по-слабо засегнатите сектори имат право на възнаграждение за не повече от един-два дни на седмица, въз основа на заплата от 800 евро на месец. Правителството обяви също подкрепа за хора с увреждания, семейства с деца, където двамата родители са заети лица и нито един от тях не може да работи дистанционно, работници, които са загубили работата си поради настоящата криза, и безработните, живеещи в жилища под наем. На последно място, правителството ще финансира до 2,5 процентни пункта от лихвените проценти по банкови заеми, взети от предприятията, засегнати от пандемията на COVID-19.</w:t>
      </w:r>
    </w:p>
    <w:p>
      <w:pPr>
        <w:pStyle w:val="ManualConsidrant"/>
        <w:rPr>
          <w:rFonts w:eastAsiaTheme="minorEastAsia"/>
          <w:noProof/>
          <w:szCs w:val="24"/>
        </w:rPr>
      </w:pPr>
      <w:r>
        <w:rPr>
          <w:noProof/>
        </w:rPr>
        <w:t>(17)</w:t>
      </w:r>
      <w:r>
        <w:rPr>
          <w:noProof/>
        </w:rPr>
        <w:tab/>
        <w:t>Малтийската здравна система постига добри резултати в областта на здравеопазването. Въпреки това избухването на пандемията от COVID-19 подложи малтийската система на обществено здравеопазване под безпрецедентни нива на натиск. Усилията, които се съсредоточават върху изграждането на капацитета на системата на здравеопазването да реагира ефективно на кризисни ситуации в случай на пандемия, като COVID-19, биха подобрили устойчивостта му. Следните области се нуждаят от специално наблюдение: i) нарастващата зависимост от медицински сестри с мигрантски произход в областта на активното лечение и дългосрочните грижи и застаряването на общопрактикуващите лекари от частния сектор може да породят предизвикателства; ii) трудностите при осигуряването на нови и иновативни лекарства; iii) високи преки разходи за първични и извънболнични грижи и за някои лекарства; iv) в последно време списъците с чакащи за специализирани извънболнични грижи са трайно дълги и продължават да се удължават. Преориентирането на предоставянето на услуги от болниците към първични здравни грижи продължава да бъде основен приоритет.</w:t>
      </w:r>
    </w:p>
    <w:p>
      <w:pPr>
        <w:pStyle w:val="ManualConsidrant"/>
        <w:rPr>
          <w:rFonts w:eastAsiaTheme="minorEastAsia"/>
          <w:noProof/>
          <w:szCs w:val="24"/>
        </w:rPr>
      </w:pPr>
      <w:r>
        <w:rPr>
          <w:noProof/>
        </w:rPr>
        <w:t>(18)</w:t>
      </w:r>
      <w:r>
        <w:rPr>
          <w:noProof/>
        </w:rPr>
        <w:tab/>
        <w:t xml:space="preserve">Според прогнозата на Комисията безработицата се очаква да нарасне до 5,9 % през 2020 г., а през 2021 г. да спадне до предходните 4,4 % За да смекчи сериозното въздействие на кризата върху заетостта, Малта предприе спешни мерки, като се консултира със социалните партньори, за да предотврати съкращения, като даде предимство на работата при непълно работно време. С приемането на мерки за работа на непълно работно време на по-постоянна основа ще бъдат защитени и работните места при прехода към икономическо възстановяване. От решаващо значение са осигуряването на подходяща подкрепа и достъп до социална закрила за всички работници, включително </w:t>
      </w:r>
      <w:r>
        <w:rPr>
          <w:noProof/>
        </w:rPr>
        <w:lastRenderedPageBreak/>
        <w:t xml:space="preserve">самостоятелно заетите лица, и отчитането на евентуалното удължаване на периода на безработицата. Системата за социална закрила на Малта също така трябва да гарантира, че на чуждестранните работници се предоставя адекватна подкрепа за намиране на алтернативна заетост; запазване на разрешителните за работа, когато е възможно, и достъп до други социални услуги. Делът на нискоквалифицираните възрастни е сравнително висок, което се дължи и на високия дял на преждевременно напускащите училище. Настоящата криза може да увеличи недостига на умения в някои сектори и да предефинира нуждите от умения в други. Това прави картографирането на уменията и преквалификацията на работниците още по-важни, по-специално по отношение на цифровите и зелените умения. Наскоро Малта постигна напредък в областта на образованието и обучението, но продължават да съществуват значителни предизвикателства, включително висок дял на учениците с недостатъчни основни умения. </w:t>
      </w:r>
    </w:p>
    <w:p>
      <w:pPr>
        <w:pStyle w:val="ManualConsidrant"/>
        <w:rPr>
          <w:noProof/>
        </w:rPr>
      </w:pPr>
      <w:r>
        <w:rPr>
          <w:noProof/>
        </w:rPr>
        <w:t>(19)</w:t>
      </w:r>
      <w:r>
        <w:rPr>
          <w:noProof/>
        </w:rPr>
        <w:tab/>
        <w:t>По време на кризата, свързана с емисиите на COVID-19, бързото предоставяне на подкрепа за ликвидност на предприятията е спешен приоритет за Малта. Гарантирането на постоянен кредитен поток и достъп до финансиране е от съществено значение, особено за малките и средните предприятия в най-засегнатите сектори. Банковата система играе важна роля за ефективното прилагане на мерките за ликвидност чрез предоставяне на заеми и насочване на публичните гаранции, като по този начин се преодолява консервативният подход към кредитните практики, използван преди кризата. При разработването и прилагането на тези мерки трябва да се вземе предвид устойчивостта на банковия сектор.</w:t>
      </w:r>
    </w:p>
    <w:p>
      <w:pPr>
        <w:pStyle w:val="ManualConsidrant"/>
        <w:rPr>
          <w:noProof/>
        </w:rPr>
      </w:pPr>
      <w:r>
        <w:rPr>
          <w:noProof/>
        </w:rPr>
        <w:t>(20)</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 Инвестициите в подкрепа на възстановяването представляват възможност за ориентиране на икономиката на Малта в по-устойчива посока. Преходът на Малта към неутрална по отношение на климата икономика ще изисква значителни частни и публични инвестиции за продължителен период от време. Инвестициите за намаляване на емисиите на парникови газове, описани в нейния национален план в областта на енергетиката и климата, и за справяне с други отрицателни външни фактори в областта на околната среда, по-специално в сектори като строителството и транспорта, могат да спомогнат за постигането на двойната цел за икономическо възстановяване и устойчивост. Подпомагането на санирането на съществуващия сграден фонд и на целевите схеми за обучение ще спомогне за подобряване на енергийните характеристики на сградите. Допълнителните инвестиции в устойчив транспорт могат да осигурят реални алтернативи на използването на лични автомобили. Програмирането на Фонда за справедлив преход за периода 2021—2027 г. би могло да помогне на Малта да преодолее някои от предизвикателствата, свързани с прехода към неутрална по отношение на климата икономика, представени в приложение Г към доклада за страната</w:t>
      </w:r>
      <w:r>
        <w:rPr>
          <w:rStyle w:val="FootnoteReference"/>
          <w:noProof/>
        </w:rPr>
        <w:footnoteReference w:id="7"/>
      </w:r>
      <w:r>
        <w:rPr>
          <w:noProof/>
        </w:rPr>
        <w:t xml:space="preserve">. Това ще позволи на Малта да използва този фонд възможно най-пълноценно. </w:t>
      </w:r>
    </w:p>
    <w:p>
      <w:pPr>
        <w:pStyle w:val="ManualConsidrant"/>
        <w:rPr>
          <w:noProof/>
        </w:rPr>
      </w:pPr>
      <w:r>
        <w:rPr>
          <w:noProof/>
        </w:rPr>
        <w:t>(21)</w:t>
      </w:r>
      <w:r>
        <w:rPr>
          <w:noProof/>
        </w:rPr>
        <w:tab/>
        <w:t xml:space="preserve">Отдаването на по-голямо значение на научните изследвания и иновациите и по-доброто им включване в бизнес средата ще подпомогнат устойчивостта на икономическия модел на Малта, основан на знания. Малта е разработила услуги </w:t>
      </w:r>
      <w:r>
        <w:rPr>
          <w:noProof/>
        </w:rPr>
        <w:lastRenderedPageBreak/>
        <w:t xml:space="preserve">за електронно управление за гражданите и предприятията, включително редица мобилни приложения. Въпреки това използването им от обществеността продължава да бъде ниско. За да се улесни преходът към цифровата икономика, от съществено значение е да се насърчава използването на цифрови обществени услуги от гражданите и предприятията. </w:t>
      </w:r>
    </w:p>
    <w:p>
      <w:pPr>
        <w:pStyle w:val="ManualConsidrant"/>
        <w:rPr>
          <w:noProof/>
          <w:szCs w:val="24"/>
        </w:rPr>
      </w:pPr>
      <w:r>
        <w:rPr>
          <w:noProof/>
        </w:rPr>
        <w:t>(22)</w:t>
      </w:r>
      <w:r>
        <w:rPr>
          <w:noProof/>
        </w:rPr>
        <w:tab/>
        <w:t>Преходът на Малта към международно ориентиран сектор на услугите и нейната специализация в областта на дистанционните игри, виртуалните активи и нейните схеми за гражданство и пребиваване, допринасяйки за икономическия растеж, същевременно прави страната по-уязвима на рисковете от изпиране на пари, които все още не са намалени. С цел предотвратяване и борба с тези рискове бяха предприети стъпки за засилване на ролята на надзорния орган за борба с изпирането на пари. Засилено беше и сътрудничеството с други компетентни органи. Въпреки това практиката на малтийския орган за финансови услуги за вътрешно възлагане на частна консултантска дейност във връзка с надзорните задачи буди безпокойство. Недостатъците в разследването и наказателното преследване на изпирането на пари продължават да бъдат предизвикателство. Засилването на националния надзор над международно ориентираните финансови предприятия, лицензирани в Малта, ще укрепи цялостната рамка за управление. В застрахователния сектор сътрудничеството между националните и външните надзорни органи е от съществено значение. Съществува също така марж за подобряване на надзора на банковите клонове на трети държави, както и подобрения в ориентирания към риска подход и оценката на адекватността на управлението на риска за банковите институции.</w:t>
      </w:r>
    </w:p>
    <w:p>
      <w:pPr>
        <w:pStyle w:val="ManualConsidrant"/>
        <w:rPr>
          <w:noProof/>
          <w:szCs w:val="24"/>
        </w:rPr>
      </w:pPr>
      <w:r>
        <w:rPr>
          <w:noProof/>
        </w:rPr>
        <w:t>(23)</w:t>
      </w:r>
      <w:r>
        <w:rPr>
          <w:noProof/>
        </w:rPr>
        <w:tab/>
        <w:t xml:space="preserve">Справянето с агресивното данъчно планиране продължава да бъде от ключово значение за подобряване на ефективността и справедливостта на данъчните системи.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Малта е предприела стъпки за справяне с практиките на агресивно данъчно планиране чрез прилагане на договорени по-рано международни и европейски инициативи, но третирането на местни дружества, които не са установени в ЕС, както и на програмата за гражданство срещу инвестиции и програмата за разрешаване на пребиваване срещу инвестиции, които дори не изискват физическото лице да е местно лице за данъчни цели в Малта, представлява риск от двойно данъчно необлагане както за дружествата, така и за физическите лица. </w:t>
      </w:r>
    </w:p>
    <w:p>
      <w:pPr>
        <w:pStyle w:val="ManualConsidrant"/>
        <w:rPr>
          <w:noProof/>
          <w:szCs w:val="24"/>
        </w:rPr>
      </w:pPr>
      <w:r>
        <w:rPr>
          <w:noProof/>
        </w:rPr>
        <w:t>(24)</w:t>
      </w:r>
      <w:r>
        <w:rPr>
          <w:noProof/>
        </w:rPr>
        <w:tab/>
        <w:t>Малта също така е изправена пред предизвикателства, свързани с укрепването на институционалния си капацитет за борба с корупцията. Малта обяви реформи за засилване на разследването и наказателното преследване на корупцията и се консултира със съответните заинтересовани страни, по-специално с Венецианската комисия, относно реформите на съдебната система. Трябва да се приемат конкретни мерки за завършване на всички тези реформи и за привеждането им в действие.</w:t>
      </w:r>
    </w:p>
    <w:p>
      <w:pPr>
        <w:pStyle w:val="ManualConsidrant"/>
        <w:rPr>
          <w:noProof/>
          <w:szCs w:val="24"/>
        </w:rPr>
      </w:pPr>
      <w:r>
        <w:rPr>
          <w:noProof/>
        </w:rPr>
        <w:t>(25)</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w:t>
      </w:r>
      <w:r>
        <w:rPr>
          <w:noProof/>
        </w:rPr>
        <w:lastRenderedPageBreak/>
        <w:t xml:space="preserve">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 </w:t>
      </w:r>
    </w:p>
    <w:p>
      <w:pPr>
        <w:pStyle w:val="ManualConsidrant"/>
        <w:rPr>
          <w:noProof/>
          <w:szCs w:val="24"/>
        </w:rPr>
      </w:pPr>
      <w:r>
        <w:rPr>
          <w:noProof/>
        </w:rPr>
        <w:t>(26)</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Малта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szCs w:val="24"/>
        </w:rPr>
      </w:pPr>
      <w:r>
        <w:rPr>
          <w:noProof/>
        </w:rPr>
        <w:t>(27)</w:t>
      </w:r>
      <w:r>
        <w:rPr>
          <w:noProof/>
        </w:rPr>
        <w:tab/>
        <w:t>Тясната координация между икономиките в икономическия и паричен съюз е от ключово значение за бързото възстановяване от икономическото въздействие на COVID-19. Като държава членка, чиято парична единица е еврото, и като вземе предвид политическите насоки на Еврогрупата, Малта следва да гарантира, че нейните политики са в съответствие с препоръките за еврозоната и са координирани с тези на останалите държави членки от еврозоната.</w:t>
      </w:r>
    </w:p>
    <w:p>
      <w:pPr>
        <w:pStyle w:val="ManualConsidrant"/>
        <w:rPr>
          <w:noProof/>
        </w:rPr>
      </w:pPr>
      <w:r>
        <w:rPr>
          <w:noProof/>
        </w:rPr>
        <w:t>(28)</w:t>
      </w:r>
      <w:r>
        <w:rPr>
          <w:noProof/>
        </w:rPr>
        <w:tab/>
        <w:t xml:space="preserve">В контекста на европейския семестър за 2020 г. Комисията направи цялостен анализ на икономическата политика на Малта и го публикува в доклада за страната за 2020 г. Тя оцени също така програмата за стабилност за 2020 г. и националната програма за реформи за 2020 г., както и предприетите последващи действия във връзка с препоръките, отправени към Малта през предходните години. Комисията взе предвид не само тяхното значение за провеждането на устойчива фискална и социално-икономическа политика в Малта,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(29)</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8"/>
      </w:r>
      <w:r>
        <w:rPr>
          <w:noProof/>
        </w:rPr>
        <w:t xml:space="preserve"> е изразено по-специално в препоръка 1 по-долу.</w:t>
      </w:r>
    </w:p>
    <w:p>
      <w:pPr>
        <w:rPr>
          <w:noProof/>
        </w:rPr>
      </w:pPr>
    </w:p>
    <w:p>
      <w:pPr>
        <w:pStyle w:val="Formuledadoption"/>
        <w:rPr>
          <w:noProof/>
        </w:rPr>
      </w:pPr>
      <w:r>
        <w:rPr>
          <w:noProof/>
        </w:rPr>
        <w:t>ПРЕПОРЪЧВА на Малта да предприеме следните действия през 2020 г. и 2021 г.:</w:t>
      </w:r>
    </w:p>
    <w:p>
      <w:pPr>
        <w:pStyle w:val="ManualNumPar1"/>
        <w:rPr>
          <w:noProof/>
        </w:rPr>
      </w:pPr>
      <w:bookmarkStart w:id="1" w:name="_CopyToNewDocument_"/>
      <w:bookmarkEnd w:id="1"/>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разумни средносрочни фискални позиции и гарантиране на устойчивостта на дълга, като същевременно засилва инвестициите. Да укрепи устойчивостта на здравната система по отношение на здравните работници, критичните медицински продукти и първичната медицинска помощ. </w:t>
      </w:r>
    </w:p>
    <w:p>
      <w:pPr>
        <w:pStyle w:val="ManualNumPar1"/>
        <w:rPr>
          <w:noProof/>
        </w:rPr>
      </w:pPr>
      <w:r>
        <w:rPr>
          <w:noProof/>
        </w:rPr>
        <w:lastRenderedPageBreak/>
        <w:t>2.</w:t>
      </w:r>
      <w:r>
        <w:rPr>
          <w:noProof/>
        </w:rPr>
        <w:tab/>
        <w:t>Да консолидира режимите на работа при непълно работно време и да гарантира адекватността на защитата при безработица за всички работници. Да укрепи качеството и приобщаващия характер на образованието и развитието на уменията.</w:t>
      </w:r>
    </w:p>
    <w:p>
      <w:pPr>
        <w:pStyle w:val="ManualNumPar1"/>
        <w:rPr>
          <w:noProof/>
        </w:rPr>
      </w:pPr>
      <w:r>
        <w:rPr>
          <w:noProof/>
        </w:rPr>
        <w:t>3.</w:t>
      </w:r>
      <w:r>
        <w:rPr>
          <w:noProof/>
        </w:rPr>
        <w:tab/>
        <w:t>Да осигури ефективно изпълнение на подкрепата на ликвидността на засегнатите предприятия, включително на самостоятелно заетите лица. Да даде приоритет на готови за изпълнение публични инвестиционни проекти и да стимулира частните инвестиции, за да ускори икономическото възстановяване. Да насочи инвестициите към екологичния и цифровия преход, по-специално към чисто и ефективно производство и използване на енергия, устойчив транспорт, управление на отпадъците, научни изследвания и иновации.</w:t>
      </w:r>
    </w:p>
    <w:p>
      <w:pPr>
        <w:pStyle w:val="ManualNumPar1"/>
        <w:rPr>
          <w:noProof/>
        </w:rPr>
      </w:pPr>
      <w:r>
        <w:rPr>
          <w:noProof/>
        </w:rPr>
        <w:t>4.</w:t>
      </w:r>
      <w:r>
        <w:rPr>
          <w:noProof/>
        </w:rPr>
        <w:tab/>
        <w:t>Да приключи всички реформи, насочени към преодоляване на настоящите недостатъци в институционалния капацитет и управлението, за да се повиши независимостта на съдебната система Да продължи усилията за адекватно оценяване и смекчаване на рисковете от изпиране на пари и за гарантиране на ефективното прилагане на рамката за борба с изпирането на пари. Да активизира действията за справяне с характеристиките на данъчната система, които улесняват агресивното данъчно планиране от страна на физически лица и многонационални дружества.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517 final.</w:t>
      </w:r>
    </w:p>
  </w:footnote>
  <w:footnote w:id="3">
    <w:p>
      <w:pPr>
        <w:pStyle w:val="FootnoteText"/>
        <w:rPr>
          <w:rStyle w:val="FootnoteReference"/>
        </w:rPr>
      </w:pPr>
      <w:r>
        <w:rPr>
          <w:rStyle w:val="FootnoteReference"/>
        </w:rPr>
        <w:footnoteRef/>
      </w:r>
      <w:r>
        <w:tab/>
        <w:t>OВ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 xml:space="preserve">Регламент (ЕС) 2020/460 на </w:t>
      </w:r>
      <w:r>
        <w:rPr>
          <w:sz w:val="20"/>
          <w:szCs w:val="20"/>
          <w:shd w:val="clear" w:color="auto" w:fill="FFFFFF"/>
        </w:rPr>
        <w:t>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w:t>
      </w:r>
      <w:r>
        <w:rPr>
          <w:sz w:val="20"/>
          <w:szCs w:val="20"/>
        </w:rPr>
        <w:t xml:space="preserve">) (ОВ L 99, 31.3.2020 г., стр. 5) и Регламент (ЕС) 2020/558 на </w:t>
      </w:r>
      <w:r>
        <w:rPr>
          <w:sz w:val="20"/>
          <w:szCs w:val="20"/>
          <w:shd w:val="clear" w:color="auto" w:fill="FFFFFF"/>
        </w:rPr>
        <w:t>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w:t>
      </w:r>
      <w:r>
        <w:rPr>
          <w:sz w:val="20"/>
          <w:szCs w:val="20"/>
        </w:rPr>
        <w:t xml:space="preserve"> (ОВ L 130, 24.4.2020 г., стр. 1).</w:t>
      </w:r>
    </w:p>
  </w:footnote>
  <w:footnote w:id="7">
    <w:p>
      <w:pPr>
        <w:pStyle w:val="FootnoteText"/>
      </w:pPr>
      <w:r>
        <w:rPr>
          <w:rStyle w:val="FootnoteReference"/>
        </w:rPr>
        <w:footnoteRef/>
      </w:r>
      <w:r>
        <w:tab/>
        <w:t>SWD(2020) 517 final.</w:t>
      </w: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41: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426CBDA-8661-4022-80E6-921E90D3479A"/>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52?\u1072?\u1083?\u1090?\u1072?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2?\u1072?\u1083?\u1090?\u1072? \u1079?\u1072? 2020 \u1075?.&lt;/FMT&gt;_x000d__x000b_"/>
    <w:docVar w:name="LW_TITRE.OBJ.CP" w:val="&lt;FMT:Bold&gt;\u1086?\u1090?\u1085?\u1086?\u1089?\u1085?\u1086? \u1085?\u1072?\u1094?\u1080?\u1086?\u1085?\u1072?\u1083?\u1085?\u1072?\u1090?\u1072? \u1087?\u1088?\u1086?\u1075?\u1088?\u1072?\u1084?\u1072? \u1079?\u1072? \u1088?\u1077?\u1092?\u1086?\u1088?\u1084?\u1080? \u1085?\u1072? \u1052?\u1072?\u1083?\u1090?\u1072?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2?\u1072?\u1083?\u1090?\u1072? \u1079?\u1072? 2020 \u1075?.&lt;/FMT&gt;_x000d_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2357770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1954189">
      <w:bodyDiv w:val="1"/>
      <w:marLeft w:val="0"/>
      <w:marRight w:val="0"/>
      <w:marTop w:val="0"/>
      <w:marBottom w:val="0"/>
      <w:divBdr>
        <w:top w:val="none" w:sz="0" w:space="0" w:color="auto"/>
        <w:left w:val="none" w:sz="0" w:space="0" w:color="auto"/>
        <w:bottom w:val="none" w:sz="0" w:space="0" w:color="auto"/>
        <w:right w:val="none" w:sz="0" w:space="0" w:color="auto"/>
      </w:divBdr>
    </w:div>
    <w:div w:id="1002856820">
      <w:bodyDiv w:val="1"/>
      <w:marLeft w:val="0"/>
      <w:marRight w:val="0"/>
      <w:marTop w:val="0"/>
      <w:marBottom w:val="0"/>
      <w:divBdr>
        <w:top w:val="none" w:sz="0" w:space="0" w:color="auto"/>
        <w:left w:val="none" w:sz="0" w:space="0" w:color="auto"/>
        <w:bottom w:val="none" w:sz="0" w:space="0" w:color="auto"/>
        <w:right w:val="none" w:sz="0" w:space="0" w:color="auto"/>
      </w:divBdr>
    </w:div>
    <w:div w:id="1073623363">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65488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10</Pages>
  <Words>3764</Words>
  <Characters>22209</Characters>
  <Application>Microsoft Office Word</Application>
  <DocSecurity>0</DocSecurity>
  <Lines>382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2020-04-06T12:24:00Z</cp:lastPrinted>
  <dcterms:created xsi:type="dcterms:W3CDTF">2020-05-29T06:59:00Z</dcterms:created>
  <dcterms:modified xsi:type="dcterms:W3CDTF">2020-06-04T09:41:00Z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