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2E0A7D2-AB94-45CB-9710-6063CE6AF57E"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Естония за 2020 г. и съдържаща становище на Съвета относно програмата за стабилност на Естония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също прие Доклада за механизма за предупреждение, в който Естония не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Естония за 2020 г.</w:t>
      </w:r>
      <w:r>
        <w:rPr>
          <w:rStyle w:val="FootnoteReference"/>
          <w:noProof/>
        </w:rPr>
        <w:footnoteReference w:id="2"/>
      </w:r>
      <w:r>
        <w:rPr>
          <w:noProof/>
        </w:rPr>
        <w:t xml:space="preserve"> беше публикуван на 26 февруари 2020 г. В него бе оценен напредъкът на Естония в изпълнението на специфичните за държавата препоръки, приети от Съвета на</w:t>
      </w:r>
      <w:r>
        <w:rPr>
          <w:noProof/>
          <w:color w:val="FF0000"/>
        </w:rPr>
        <w:t xml:space="preserve"> </w:t>
      </w:r>
      <w:r>
        <w:rPr>
          <w:noProof/>
        </w:rPr>
        <w:t>9 юли 2019 г.</w:t>
      </w:r>
      <w:r>
        <w:rPr>
          <w:rStyle w:val="FootnoteReference"/>
          <w:noProof/>
        </w:rPr>
        <w:footnoteReference w:id="3"/>
      </w:r>
      <w:r>
        <w:rPr>
          <w:noProof/>
        </w:rPr>
        <w:t xml:space="preserve">, последващите действия във връзка с препоръките, отправени към Естония през предходните години, както и напредъкът на страната по националните ѝ цели по стратегията „Европа 2020“. </w:t>
      </w:r>
    </w:p>
    <w:p>
      <w:pPr>
        <w:pStyle w:val="ManualConsidrant"/>
        <w:rPr>
          <w:noProof/>
          <w:szCs w:val="24"/>
        </w:rPr>
      </w:pPr>
      <w:r>
        <w:rPr>
          <w:noProof/>
        </w:rPr>
        <w:lastRenderedPageBreak/>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предизвиква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4"/>
      </w:r>
      <w:r>
        <w:rPr>
          <w:noProof/>
        </w:rPr>
        <w:t xml:space="preserve">, в което се призовава за координирани икономически мерки в отговор на кризата, включващи всички участници на национално равнище и на равнището на Съюза. </w:t>
      </w:r>
    </w:p>
    <w:p>
      <w:pPr>
        <w:pStyle w:val="ManualConsidrant"/>
        <w:rPr>
          <w:noProof/>
        </w:rPr>
      </w:pPr>
      <w:r>
        <w:rPr>
          <w:noProof/>
        </w:rPr>
        <w:t>(4)</w:t>
      </w:r>
      <w:r>
        <w:rPr>
          <w:noProof/>
        </w:rPr>
        <w:tab/>
        <w:t>Няколко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от Пакта за стабилност и растеж</w:t>
      </w:r>
      <w:r>
        <w:rPr>
          <w:rStyle w:val="FootnoteReference"/>
          <w:noProof/>
        </w:rPr>
        <w:footnoteReference w:id="5"/>
      </w:r>
      <w:r>
        <w:rPr>
          <w:noProof/>
        </w:rPr>
        <w:t>. Клаузата, както е посочено в член 5, параграф 1, член 6, параграф 3, член 9, параграф 1 и член 10, параграф 1 от Регламент (ЕО) 1466/97 и в член 3, параграф 5 и член 5, параграф 2 от Регламент (ЕО) 1467/97, улеснява координирането на бюджетните политики във времена на сериозен икономически спад. В своето съобщение Комисията споделя становището на Съвета, че предвид очаквания сериозен икономически спад в резултат на избухването на епидемията от COVID-19, действащите условия позволяват да се активира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застрашава фискалната устойчивост в 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процедурите на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pStyle w:val="ManualConsidrant"/>
        <w:rPr>
          <w:i/>
          <w:noProof/>
        </w:rPr>
      </w:pPr>
      <w:r>
        <w:rPr>
          <w:noProof/>
        </w:rPr>
        <w:t>(6)</w:t>
      </w:r>
      <w:r>
        <w:rPr>
          <w:noProof/>
        </w:rPr>
        <w:tab/>
        <w:t xml:space="preserve">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w:t>
      </w:r>
      <w:r>
        <w:rPr>
          <w:noProof/>
        </w:rPr>
        <w:lastRenderedPageBreak/>
        <w:t>и икономики, както и към устойчивия растеж, като наред с другото се интегрират зеленият преход и цифровата трансформация и се извадят всички поуки от кризата.</w:t>
      </w:r>
    </w:p>
    <w:p>
      <w:pPr>
        <w:pStyle w:val="ManualConsidrant"/>
        <w:rPr>
          <w:noProof/>
        </w:rPr>
      </w:pPr>
      <w:r>
        <w:rPr>
          <w:noProof/>
        </w:rPr>
        <w:t>(7)</w:t>
      </w:r>
      <w:r>
        <w:rPr>
          <w:noProof/>
        </w:rPr>
        <w:tab/>
        <w:t>Породената от COVID-19 криза изтъкна гъвкавостта, която предлага единният пазар по отношение на адаптирането към извънредни ситуации. За да се гарантира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за готовност за действие при кризи в здравния сектор, като тази готовност включва по-специално подобрени стратегии за покупки,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6"/>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Естония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Възможно е разпространението на социално-икономическите последици от пандемията да бъде неравномерно в различните сектори и региони поради различните модели на специализация. Това води до риск от задълбочаване на различията в рамките на Естония.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30 април 2020 г. Естония представи националната си програма за реформи за 2020 г., а на 28 април 2020 г.— своята програма за стабилност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 xml:space="preserve">Спрямо Естония понастоящем се прилагат предпазните мерки на Пакта за стабилност и растеж. На 13 юли 2018 г. Съветът препоръча на Естония да гарантира, че номиналният темп на растеж на нетните първични държавни </w:t>
      </w:r>
      <w:r>
        <w:rPr>
          <w:noProof/>
        </w:rPr>
        <w:lastRenderedPageBreak/>
        <w:t>разходи</w:t>
      </w:r>
      <w:r>
        <w:rPr>
          <w:rStyle w:val="FootnoteReference"/>
          <w:noProof/>
        </w:rPr>
        <w:footnoteReference w:id="7"/>
      </w:r>
      <w:r>
        <w:rPr>
          <w:noProof/>
        </w:rPr>
        <w:t xml:space="preserve"> не надвишава 4,1 % през 2019 г., което съответства на годишна корекция на структурното салдо от 0,6 % от БВП. Цялостната оценка на Комисията от пролетта на 2019 г. потвърждава значително отклонение от препоръчания план за корекции за постигане на средносрочната цел през 2019 г. С оглед обаче на активирането на общата клауза за дерогация не е оправдано предприемането на по-нататъшни стъпки в рамките на процедурата при значително отклонение. </w:t>
      </w:r>
    </w:p>
    <w:p>
      <w:pPr>
        <w:pStyle w:val="ManualConsidrant"/>
        <w:rPr>
          <w:noProof/>
        </w:rPr>
      </w:pPr>
      <w:r>
        <w:rPr>
          <w:noProof/>
        </w:rPr>
        <w:t>(12)</w:t>
      </w:r>
      <w:r>
        <w:rPr>
          <w:noProof/>
        </w:rPr>
        <w:tab/>
        <w:t xml:space="preserve">В своята програма за стабилност за 2020 г. правителството планира влошаване на номиналното салдо от дефицит в размер на 0,3 % от БВП през 2019 г. до дефицит от 10,1 % от БВП през 2020 г. Предвижда се дефицитът да намалее до 3,8 % от БВП през 2021 г. След спада до 8,4 % от БВП през 2019 г. съотношението на консолидирания държавен дълг към БВП се очаква да нарасне до 21,9 % през 2020 г. съгласно програмата за стабилност за 2020 г. Макроикономическата и фискалната перспектива са засегнати заради високата степен на несигурност, дължаща се на пандемията от COVID-19. </w:t>
      </w:r>
    </w:p>
    <w:p>
      <w:pPr>
        <w:pStyle w:val="ManualConsidrant"/>
        <w:rPr>
          <w:noProof/>
        </w:rPr>
      </w:pPr>
      <w:r>
        <w:rPr>
          <w:noProof/>
        </w:rPr>
        <w:t>(13)</w:t>
      </w:r>
      <w:r>
        <w:rPr>
          <w:noProof/>
        </w:rPr>
        <w:tab/>
        <w:t xml:space="preserve">В отговор на пандемията от COVID-19 и в рамките на координирания подход на Съюза Естония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хора и сектори. Според програмата за стабилност за 2020 г. тези бюджетни мерки възлизат на 4,3 % от БВП. Мерките включват укрепване на здравните услуги, спешна помощ за предприятия в затруднено положение, временни субсидии за заплати и по-големи публични инвестиции. Освен това Естония оповести мерки, които, макар и да нямат пряко отражение върху бюджета, ще допринесат за подкрепата за ликвидност за предприятията. Тези мерки включват гаранции по заеми и заеми за предприятия в размер на 8,7 % от БВП. Като цяло мерките, предприети от Естония, са в съответствие с насоките, изложени в съобщението на Комисията относно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 </w:t>
      </w:r>
    </w:p>
    <w:p>
      <w:pPr>
        <w:pStyle w:val="ManualConsidrant"/>
        <w:rPr>
          <w:noProof/>
        </w:rPr>
      </w:pPr>
      <w:r>
        <w:rPr>
          <w:noProof/>
        </w:rPr>
        <w:t>(14)</w:t>
      </w:r>
      <w:r>
        <w:rPr>
          <w:noProof/>
        </w:rPr>
        <w:tab/>
        <w:t>Според прогнозата на Комисията от пролетта на 2020 г. при непроменени политики салдото на консолидирания държавен бюджет на Естония се очаква да бъде -8,3 % от БВП през 2020 г. и -3,4 % през 2021 г. Съотношението на консолидирания държавен дълг към БВП се очаква да остане под 60 % от БВП през 2020 г. и 2021 г., достигайки 22,6 % от БВП през 2021 г. Комисията предвижда по-нисък бюджетен дефицит за 2020 г. в сравнение с програмата за стабилност, което отразява разликите в макроикономическите прогнози.</w:t>
      </w:r>
    </w:p>
    <w:p>
      <w:pPr>
        <w:pStyle w:val="ManualConsidrant"/>
        <w:rPr>
          <w:noProof/>
        </w:rPr>
      </w:pPr>
      <w:r>
        <w:rPr>
          <w:noProof/>
        </w:rPr>
        <w:t>(15)</w:t>
      </w:r>
      <w:r>
        <w:rPr>
          <w:noProof/>
        </w:rPr>
        <w:tab/>
        <w:t xml:space="preserve">На 20 май 2020 г. Комисията публикува доклад, изготвен в съответствие с член 126, параграф 3 от Договора поради планираното от Естония нарушение на прага от 3 % от БВП за дефицит през 2020 г. Като цяло анализът показва, че </w:t>
      </w:r>
      <w:r>
        <w:rPr>
          <w:noProof/>
        </w:rPr>
        <w:lastRenderedPageBreak/>
        <w:t>критерият за дефицит, както е определен в Договора и в Регламент (ЕО) № 1467/1997, не е изпълнен.</w:t>
      </w:r>
    </w:p>
    <w:p>
      <w:pPr>
        <w:pStyle w:val="ManualConsidrant"/>
        <w:rPr>
          <w:noProof/>
        </w:rPr>
      </w:pPr>
      <w:r>
        <w:rPr>
          <w:noProof/>
        </w:rPr>
        <w:t>(16)</w:t>
      </w:r>
      <w:r>
        <w:rPr>
          <w:noProof/>
        </w:rPr>
        <w:tab/>
        <w:t>Между 12 март 2020 г. и 17 май 2020 г. естонското правителство обяви извънредна ситуация поради пандемията от COVID-19. Целта на незабавните действия на правителството беше предотвратяването на по-нататъшното разпространение на вируса и гарантирането, че естонската икономика ще продължи да функционира по възможно най-нормален начин. Ограниченията за спиране на разпространението на пандемията оказват сериозно влияние върху икономиката. След обявяването на извънредната ситуация броят на регистрираните безработни се е увеличил с 35 %. Най-голям е броят на новорегистрираните безработни в търговията на дребно и обслужването на клиенти, строителството, кетъринга, настаняването и управлението на прояви. Очаква се процентът на безработица да нарасне до 9,2 % през 2020 г. и да се възстанови до 6,5 % през 2021 г. На 15 април 2020 г. естонският парламент одобри допълнителния бюджет за 2020 г. Бяха въведени мерки с цел запазване на работните места, избягване на масови уволнения и осигуряване на ликвидност на предприятията. Бюджетът съдържа широк набор от мерки, включително подкрепа за здравния сектор, общините, някои инвестиционни програми и нецелева подкрепа за ликвидност за предприятията (като гаранционни схеми и отсрочени данъци). Разработени са някои специфични мерки за микропредприятията и туристическия сектор, включително някои целенасочени мерки за най-силно засегнатите региони. Въведени са допълнителни данъчни мерки, като временно намаляване на акцизите върху дизеловото гориво, природния газ и електроенергията. В пакета от мерки се предвижда временно преустановяване на вноските от държавата към втория стълб на пенсионната схема.</w:t>
      </w:r>
    </w:p>
    <w:p>
      <w:pPr>
        <w:pStyle w:val="ManualConsidrant"/>
        <w:rPr>
          <w:noProof/>
        </w:rPr>
      </w:pPr>
      <w:r>
        <w:rPr>
          <w:noProof/>
        </w:rPr>
        <w:t>(17)</w:t>
      </w:r>
      <w:r>
        <w:rPr>
          <w:noProof/>
        </w:rPr>
        <w:tab/>
        <w:t xml:space="preserve">Естония предприе значителни мерки, за да ограничи разпространението и въздействието върху здравето на COVID-19. Въпреки това избухването на епидемията от COVID-19 разкри някои структурни слабости в здравната система, свързани с ограничените налични финансови и човешки ресурси. Устойчивостта на системата е подкопана от недостига на здравни работници и от неравномерния достъп и наличие на първична медицинска помощ и до критични медицински продукти. Естония също така е изправена пред предизвикателството да преодолее изоставането по отношение на отложени и недостъпни лечения, причинено от извънредната ситуация. Освен това, дори преди появата на пандемията, неудовлетворените по собствена преценка потребности от медицински грижи в Естония са едни от най-високите в Съюза поради дългото чакане за първични и специализирани грижи. Тези фактори и свързаните с начина на живот рискове помагат да се обясни лошото здравословно състояние на населението. Подобряването на достъпността и устойчивостта на здравната система са предварителни условия за осигуряване на ефикасен отговор на разпространението на пандемията, както и за преодоляване на предизвикателствата, свързани със здравословното състояние на населението. </w:t>
      </w:r>
    </w:p>
    <w:p>
      <w:pPr>
        <w:pStyle w:val="ManualConsidrant"/>
        <w:rPr>
          <w:noProof/>
        </w:rPr>
      </w:pPr>
      <w:r>
        <w:rPr>
          <w:noProof/>
        </w:rPr>
        <w:t>(18)</w:t>
      </w:r>
      <w:r>
        <w:rPr>
          <w:noProof/>
        </w:rPr>
        <w:tab/>
        <w:t xml:space="preserve">Подобряването на адекватността на мрежата за социална сигурност е отдавнашно предизвикателство в Естония. Дори преди последната криза социалните обезщетения в Естония бяха оценени като по-малко ефективни от средното за ЕС по отношение на намаляването на броя на случаите на бедност. Освен това има пропуски в обхвата на системата за обезщетения при безработица за хората с нестандартни форми на заетост и за тези с кратки </w:t>
      </w:r>
      <w:r>
        <w:rPr>
          <w:noProof/>
        </w:rPr>
        <w:lastRenderedPageBreak/>
        <w:t>периоди на заетост. Отрицателното въздействие на пандемията от COVID-19 върху заетостта и доходите, в съчетание с липсата на адекватно покритие, би могло да доведе до увеличаване на бедността, и по-специално на безработните домакинства. Естония въведе временен режим при непълно работно време като специална субсидия за засегнатите предприятия с цел запазване на заетостта. Тази мярка е ограничена до период от два месеца, който може да не е достатъчен за смекчаване на въздействието на кризата, тъй като затрудненията могат да продължат по-дълго и да достигнат до някои икономически сектори със закъснение. Пандемията утежни трудностите при предоставянето на достъпни и налични социални услуги, включително услуги за дългосрочни грижи, особено за възрастните хора, хората с увреждания и лицата с ниски доходи. Поддържането на плана за разработване на интегрирано предоставяне на социални и здравни услуги ще спомогне за справяне с тези предизвикателства. Важно е да се гарантира пълноценното и своевременно участие на социалните партньори в разработването на процеса за излизане от кризата и за възстановяване, като същевременно се укрепи техният капацитет за това.</w:t>
      </w:r>
    </w:p>
    <w:p>
      <w:pPr>
        <w:pStyle w:val="ManualConsidrant"/>
        <w:rPr>
          <w:noProof/>
        </w:rPr>
      </w:pPr>
      <w:r>
        <w:rPr>
          <w:noProof/>
        </w:rPr>
        <w:t>(19)</w:t>
      </w:r>
      <w:r>
        <w:rPr>
          <w:noProof/>
        </w:rPr>
        <w:tab/>
        <w:t xml:space="preserve">Породената от COVID-19 криза е засегнала естонските дружества в много сектори, но малките и средните предприятия са били засегнати в най-голяма степен. Отрицателното въздействие върху икономическите дейности се дължи не само на ограниченията, но и на намаляващото търсене на експортните пазари и на прекъсванията на световните вериги за създаване на стойност. Мерките за подкрепа за ликвидност, предприети от правителството, са предназначени да спомогнат за смекчаване на въздействието, но тяхното бързо и ефективно изпълнение ще бъде от ключово значение за подпомагане на жизнеспособните предприятия във всички засегнати сектори, като същевременно се поддържа устойчивостта на банковия сектор. Отсрочването на данъци, както и кредитните отпуски също могат да допринесат за подобряване на паричните потоци на малките и средните предприятия. Освен това процесът на възстановяване ще зависи от това колко добре ще бъдат насочени инвестициите. Настоящата криза изведе на преден план значението на цифровите и новаторските решения за поддържане на функционирането на икономиката. Въпреки че електронното управление функционира добре, по-нататъшната цифровизация на малките и средните предприятия ще увеличи тяхната устойчивост и ще спомогне за ускоряване на възстановяването, което ще доведе до увеличаване на производителността в средносрочен план. През последните години икономиката като цяло все повече се цифровизира. При все това, досега използването на информационни и комуникационни технологии в производството е бавно. Въпреки че цялостните резултати в областта на иновациите на Естония са се подобрили през 2019 г., равнището на капацитета за иновации и дейност, основани на научни изследвания, в стопанския сектор остава ниско. Иновациите, основани на научни изследвания, и въвеждането на новаторски решения в дружествата биха могли да подобрят конкурентната позиция на страната и да стимулират икономическия растеж. За да се помогне на дружествата да се възстановят от кризата, ще бъде важно да се осигури добър достъп до финансиране, включително финансиране със собствен капитал за стартиращи предприятия. </w:t>
      </w:r>
    </w:p>
    <w:p>
      <w:pPr>
        <w:pStyle w:val="ManualConsidrant"/>
        <w:rPr>
          <w:rFonts w:eastAsia="Calibri"/>
          <w:noProof/>
        </w:rPr>
      </w:pPr>
      <w:r>
        <w:rPr>
          <w:noProof/>
        </w:rPr>
        <w:t>(20)</w:t>
      </w:r>
      <w:r>
        <w:rPr>
          <w:noProof/>
        </w:rPr>
        <w:tab/>
        <w:t xml:space="preserve">За да се насърчи икономическото възстановяване, ще бъде важно да се даде приоритет на готови за изпълнение публични инвестиционни проекти и да се насърчават частните инвестиции, включително чрез съответни реформи. Както е отразено по-специално в националния план в областта на енергетиката и </w:t>
      </w:r>
      <w:r>
        <w:rPr>
          <w:noProof/>
        </w:rPr>
        <w:lastRenderedPageBreak/>
        <w:t>климата, устойчивият растеж на Естония разчита на напредък към декарбонизация чрез намаляване на въглеродната интензивност на енергетиката и на транспортния и сградния сектор, преструктуриране на отрасъла за добив на нефт и природен газ и подобряване на производителността на ресурсите, включително прилагане на бизнес модели на кръговата икономика. Производителността на ресурсите на Естония е една от най-ниските в Съюза, а нивата на потребление на енергия са над средните за ЕС. Наличието на всеобхватна стратегия за кръговата икономика, в допълнение към националния план в областта на енергетиката и климата, би могло да спомогне за прехода към декарбонизация, за намаляване на отрицателното въздействие върху околната среда на петролната промишленост и за насърчаване на икономиката. Като периферна страна с ниска гъстота на населението добре функциониращата и взаимосвързана транспортна система е от ключово значение за икономическите дейности и износа на Естония. Транспортната инфраструктура на Естония е изправена пред някои недостатъци по отношение на свързаността и устойчивостта. Недостатъчно развити остават железопътният и интермодалният транспорт. През последните години емисиите на парникови газове от автомобилния транспорт се увеличиха, а енергията от възобновяеми източници в транспорта остава под националните цели. Проектът Rail Baltica и проектите за енергийна взаимосвързаност са сред основните инвестиционни приоритети на Естония, насочени към подобряване на сигурността на страната и на интеграцията ѝ в единния пазар. Насърчаването на инвестиционни проекти, които отчитат съображенията, свързани с околната среда и климата, е от ключово значение за устойчивото икономическо възстановяване и за намаляването на регионалните различия. Програмирането на Фонда за справедлив преход за периода 2021—2027 г. би могло да помогне на Естония да преодолее някои от трудностите, свързани с прехода към неутрална по отношение на климата икономика, по-специално на територията, включена в приложение Г към доклада за страната. Това би позволило на Естония да използва този фонд по най-добрия начин.</w:t>
      </w:r>
    </w:p>
    <w:p>
      <w:pPr>
        <w:pStyle w:val="ManualConsidrant"/>
        <w:rPr>
          <w:noProof/>
        </w:rPr>
      </w:pPr>
      <w:r>
        <w:rPr>
          <w:noProof/>
        </w:rPr>
        <w:t>(21)</w:t>
      </w:r>
      <w:r>
        <w:rPr>
          <w:noProof/>
        </w:rPr>
        <w:tab/>
        <w:t>Като цял банковият сектор в Естония е стабилен, но все още има рискове, свързани с изпирането на пари. Въпреки че са предприети мерки за ограничаване на излагането на риск чрез намаляване на депозитите на чуждестранни лица, националната оценка на риска не обхваща други продукти, които могат да представляват риск, като например попечителски услуги за чуждестранни клиенти. Актуализирането на националната оценка на риска ще гарантира адекватното определяне на рисковете и ще позволи прилагането на необходимите мерки за смекчаване. Въпреки че бяха предприети надзорни действия срещу неотговарящите на изискванията банки и платежни институции, налице е възможност за допълнително повишаване на ефективността на надзора и правоприлагането. По-специално, все още не е приет набор от законодателни актове за укрепване на превантивната рамка, за конфискация и за увеличаване на административните санкции. Разследванията на случаите на изпиране на пари напредват бавно. Капацитетът на финансовия надзорен орган все още не е укрепен в достатъчна степен и основаният на риска подход към надзора все още не се прилага изцяло, по-специално по отношение на тематичните проверки на място. Обменът на информация между звеното за финансово разузнаване и правоприлагащите органи не е достатъчно проактивен.</w:t>
      </w:r>
    </w:p>
    <w:p>
      <w:pPr>
        <w:pStyle w:val="ManualConsidrant"/>
        <w:rPr>
          <w:noProof/>
        </w:rPr>
      </w:pPr>
      <w:r>
        <w:rPr>
          <w:noProof/>
        </w:rPr>
        <w:t>(22)</w:t>
      </w:r>
      <w:r>
        <w:rPr>
          <w:noProof/>
        </w:rPr>
        <w:tab/>
        <w:t xml:space="preserve">Докато настоящите препоръки са насочени към справяне със социално-икономическото въздействие на пандемията и улесняването на икономическото </w:t>
      </w:r>
      <w:r>
        <w:rPr>
          <w:noProof/>
        </w:rPr>
        <w:lastRenderedPageBreak/>
        <w:t>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тяхното изпълнение ще продължи да бъде наблюдавано през целия годишен цикъл на европейския семестър през следващата година. Това се отнася и до препоръките относно икономическите политики, свързани с инвестициите. Въпросните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преустановяване на мерките във връзка с настоящата криза.</w:t>
      </w:r>
    </w:p>
    <w:p>
      <w:pPr>
        <w:pStyle w:val="ManualConsidrant"/>
        <w:rPr>
          <w:noProof/>
        </w:rPr>
      </w:pPr>
      <w:r>
        <w:rPr>
          <w:noProof/>
        </w:rPr>
        <w:t>(23)</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Естония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rPr>
      </w:pPr>
      <w:r>
        <w:rPr>
          <w:noProof/>
        </w:rPr>
        <w:t>(24)</w:t>
      </w:r>
      <w:r>
        <w:rPr>
          <w:noProof/>
        </w:rPr>
        <w:tab/>
        <w:t xml:space="preserve">Тясната координация между икономиките в икономическия и паричен съюз е от ключово значение за бързото възстановяване от икономическите последици от разпространението на COVID-19. Като държава членка, чиято парична единица е еврото, и като вземе предвид политическите насоки на Еврогрупата, Естония следва да гарантира, че политиките ѝ продължават да са в съответствие с препоръките за еврозоната и да са координирани с тези на другите държави членки от еврозоната. </w:t>
      </w:r>
    </w:p>
    <w:p>
      <w:pPr>
        <w:pStyle w:val="ManualConsidrant"/>
        <w:rPr>
          <w:noProof/>
        </w:rPr>
      </w:pPr>
      <w:r>
        <w:rPr>
          <w:noProof/>
        </w:rPr>
        <w:t>(25)</w:t>
      </w:r>
      <w:r>
        <w:rPr>
          <w:noProof/>
        </w:rPr>
        <w:tab/>
        <w:t xml:space="preserve">В контекста на европейския семестър за 2020 г. Комисията изготви подробен анализ на икономическата политика на Естония и го публикува в доклада за страната за 2020 г. Освен това Комисията направи оценка на програмата за стабилност за 2020 г., националната програма за реформи за 2020 г. и последващите действия във връзка с препоръките, отправени към Естония през предходните години. Комисията взе предвид не само тяхното значение за провеждането на устойчива фискална и социално-икономическа политика в Естония,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 Съюз към бъдещите решения на държавите членки. </w:t>
      </w:r>
    </w:p>
    <w:p>
      <w:pPr>
        <w:pStyle w:val="ManualConsidrant"/>
        <w:rPr>
          <w:noProof/>
        </w:rPr>
      </w:pPr>
      <w:r>
        <w:rPr>
          <w:noProof/>
        </w:rPr>
        <w:t>(26)</w:t>
      </w:r>
      <w:r>
        <w:rPr>
          <w:noProof/>
        </w:rPr>
        <w:tab/>
        <w:t>С оглед на тази оценка Съветът разгледа програмата за стабилност за 2020 г., като становището му</w:t>
      </w:r>
      <w:r>
        <w:rPr>
          <w:rStyle w:val="FootnoteReference"/>
          <w:noProof/>
        </w:rPr>
        <w:footnoteReference w:id="8"/>
      </w:r>
      <w:r>
        <w:rPr>
          <w:noProof/>
        </w:rPr>
        <w:t xml:space="preserve"> е отразено по-специално в препоръка 1 по-долу, </w:t>
      </w:r>
    </w:p>
    <w:p>
      <w:pPr>
        <w:rPr>
          <w:noProof/>
        </w:rPr>
      </w:pPr>
    </w:p>
    <w:p>
      <w:pPr>
        <w:pStyle w:val="Formuledadoption"/>
        <w:rPr>
          <w:noProof/>
        </w:rPr>
      </w:pPr>
      <w:r>
        <w:rPr>
          <w:noProof/>
        </w:rPr>
        <w:t>ПРЕПОРЪЧВА на Естония да предприеме следните действия през 2020 г. и 2021 г.:</w:t>
      </w:r>
    </w:p>
    <w:p>
      <w:pPr>
        <w:pStyle w:val="ManualNumPar1"/>
        <w:rPr>
          <w:noProof/>
        </w:rPr>
      </w:pPr>
      <w:r>
        <w:rPr>
          <w:noProof/>
        </w:rPr>
        <w:t>1.</w:t>
      </w:r>
      <w:r>
        <w:rPr>
          <w:noProof/>
        </w:rPr>
        <w:tab/>
        <w:t xml:space="preserve">В съответствие с общата клауза за дерогация да предприеме всички необходими мерки за ефективно справяне с пандемията, да поддържа икономиката и да подпомага последващото възстановяване. Когато икономическите условия позволяват това, да проведе фискални политики, насочени към постигане на разумни средносрочни фискални позиции и да гарантира устойчивостта на дълга, като същевременно засили инвестициите. </w:t>
      </w:r>
      <w:r>
        <w:rPr>
          <w:noProof/>
        </w:rPr>
        <w:lastRenderedPageBreak/>
        <w:t xml:space="preserve">Да подобри достъпността и устойчивостта на здравната система, включително чрез преодоляване на недостига на здравни работници, да подсили първичната медицинска помощ и да гарантира снабдяването с медицински продукти от критично значение. </w:t>
      </w:r>
    </w:p>
    <w:p>
      <w:pPr>
        <w:pStyle w:val="ManualNumPar1"/>
        <w:rPr>
          <w:noProof/>
        </w:rPr>
      </w:pPr>
      <w:r>
        <w:rPr>
          <w:noProof/>
        </w:rPr>
        <w:t>2.</w:t>
      </w:r>
      <w:r>
        <w:rPr>
          <w:noProof/>
        </w:rPr>
        <w:tab/>
        <w:t>Да подобри адекватността на мрежата за социална сигурност, включително чрез разширяване на покритието на обезщетенията за безработица.</w:t>
      </w:r>
    </w:p>
    <w:p>
      <w:pPr>
        <w:pStyle w:val="ManualNumPar1"/>
        <w:rPr>
          <w:noProof/>
        </w:rPr>
      </w:pPr>
      <w:r>
        <w:rPr>
          <w:noProof/>
        </w:rPr>
        <w:t>3.</w:t>
      </w:r>
      <w:r>
        <w:rPr>
          <w:noProof/>
        </w:rPr>
        <w:tab/>
        <w:t>Да даде приоритет на готови за изпълнение публични инвестиционни проекти и да насърчава частните инвестиции с цел стимулиране на икономическото възстановяване. Да се съсредоточи върху инвестициите в областта на екологичния и цифровия преход, по-специално върху цифровизацията на предприятията, научните изследвания и иновациите, чисто и ефективно производство и използване на енергия, ресурсна ефективност и устойчив транспорт, допринасяйки за постепенната декарбонизация на икономиката. Да подкрепя иновационния капацитет на малките и средните предприятия и да осигурява достатъчен достъп до финансиране.</w:t>
      </w:r>
    </w:p>
    <w:p>
      <w:pPr>
        <w:pStyle w:val="ManualNumPar1"/>
        <w:rPr>
          <w:noProof/>
        </w:rPr>
      </w:pPr>
      <w:r>
        <w:rPr>
          <w:noProof/>
        </w:rPr>
        <w:t>4.</w:t>
      </w:r>
      <w:r>
        <w:rPr>
          <w:noProof/>
        </w:rPr>
        <w:tab/>
        <w:t xml:space="preserve">Да ускори усилията за осигуряване на ефективен надзор и прилагане на рамката за борба с изпирането на пари.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SWD(2020) 505 final.</w:t>
      </w:r>
    </w:p>
  </w:footnote>
  <w:footnote w:id="3">
    <w:p>
      <w:pPr>
        <w:pStyle w:val="FootnoteText"/>
        <w:rPr>
          <w:rStyle w:val="FootnoteReference"/>
        </w:rPr>
      </w:pPr>
      <w:r>
        <w:rPr>
          <w:rStyle w:val="FootnoteReference"/>
        </w:rPr>
        <w:footnoteRef/>
      </w:r>
      <w:r>
        <w:rPr>
          <w:vertAlign w:val="superscript"/>
        </w:rPr>
        <w:tab/>
      </w:r>
      <w:r>
        <w:t>OB C 301, 5.9.2019 г., стр. 117.</w:t>
      </w:r>
    </w:p>
  </w:footnote>
  <w:footnote w:id="4">
    <w:p>
      <w:pPr>
        <w:pStyle w:val="FootnoteText"/>
      </w:pPr>
      <w:r>
        <w:rPr>
          <w:rStyle w:val="FootnoteReference"/>
        </w:rPr>
        <w:footnoteRef/>
      </w:r>
      <w:r>
        <w:tab/>
        <w:t>СОМ(2020) 112 final.</w:t>
      </w:r>
    </w:p>
  </w:footnote>
  <w:footnote w:id="5">
    <w:p>
      <w:pPr>
        <w:pStyle w:val="FootnoteText"/>
      </w:pPr>
      <w:r>
        <w:rPr>
          <w:rStyle w:val="FootnoteReference"/>
        </w:rPr>
        <w:footnoteRef/>
      </w:r>
      <w:r>
        <w:tab/>
        <w:t>СОМ(2020) 123 final.</w:t>
      </w:r>
    </w:p>
  </w:footnote>
  <w:footnote w:id="6">
    <w:p>
      <w:r>
        <w:rPr>
          <w:rStyle w:val="FootnoteReference"/>
        </w:rPr>
        <w:footnoteRef/>
      </w:r>
      <w:r>
        <w:tab/>
      </w:r>
      <w:r>
        <w:rPr>
          <w:sz w:val="20"/>
          <w:szCs w:val="20"/>
        </w:rPr>
        <w:t>Регламент (ЕС) 2020/460 на Европейския парламент и на Съвета от 30 март 2020 г. за изменение на регламенти (ЕС) № 1301/2013, (ЕС)</w:t>
      </w:r>
      <w:r>
        <w:t xml:space="preserve"> </w:t>
      </w:r>
      <w:r>
        <w:rPr>
          <w:sz w:val="20"/>
          <w:szCs w:val="20"/>
          <w:shd w:val="clear" w:color="auto" w:fill="FFFFFF"/>
        </w:rPr>
        <w:t>№ 1303/2013 и (ЕС) № 508/2014 във връзка със специални мерки за мобилизиране на инвестиции в системите на здравеопазване на държавите членки и в други</w:t>
      </w:r>
      <w:r>
        <w:rPr>
          <w:sz w:val="20"/>
          <w:szCs w:val="20"/>
        </w:rPr>
        <w:t xml:space="preserve"> </w:t>
      </w:r>
      <w:r>
        <w:rPr>
          <w:sz w:val="20"/>
          <w:szCs w:val="20"/>
          <w:shd w:val="clear" w:color="auto" w:fill="FFFFFF"/>
        </w:rPr>
        <w:t>сектори на техните икономики в отговор на избухването на COVID-19 (Инвестиционна инициатива в отговор на коронавируса) (ОВ L 99, 31.3.2020 г., стр. 5) и Регламент (ЕС) 2020/558 на Европейския парламент и на</w:t>
      </w:r>
      <w:r>
        <w:rPr>
          <w:sz w:val="20"/>
          <w:szCs w:val="20"/>
        </w:rPr>
        <w:t xml:space="preserve">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footnote>
  <w:footnote w:id="7">
    <w:p>
      <w:pPr>
        <w:pStyle w:val="FootnoteText"/>
        <w:ind w:left="0" w:firstLine="0"/>
      </w:pPr>
      <w:r>
        <w:rPr>
          <w:rStyle w:val="FootnoteReference"/>
        </w:rPr>
        <w:footnoteRef/>
      </w:r>
      <w: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8">
    <w:p>
      <w:pPr>
        <w:pStyle w:val="FootnoteText"/>
      </w:pPr>
      <w:r>
        <w:rPr>
          <w:rStyle w:val="FootnoteReference"/>
        </w:rPr>
        <w:footnoteRef/>
      </w:r>
      <w:r>
        <w:tab/>
        <w:t>Съгласно член 5, параграф 2 от Регламент (ЕО) №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3 16:12: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2E0A7D2-AB94-45CB-9710-6063CE6AF57E"/>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lt;FMT:Bold&gt;\u1086?\u1090?\u1085?\u1086?\u1089?\u1085?\u1086? \u1085?\u1072?\u1094?\u1080?\u1086?\u1085?\u1072?\u1083?\u1085?\u1072?\u1090?\u1072? \u1087?\u1088?\u1086?\u1075?\u1088?\u1072?\u1084?\u1072? \u1079?\u1072? \u1088?\u1077?\u1092?\u1086?\u1088?\u1084?\u1080? \u1085?\u1072? \u1045?\u1089?\u1090?\u1086?\u1085?\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5?\u1089?\u1090?\u1086?\u1085?\u1080?\u1103? \u1079?\u1072? 2020 \u1075?.&lt;/FMT&gt;_x000b_"/>
    <w:docVar w:name="LW_TITRE.OBJ.CP" w:val="&lt;FMT:Bold&gt;\u1086?\u1090?\u1085?\u1086?\u1089?\u1085?\u1086? \u1085?\u1072?\u1094?\u1080?\u1086?\u1085?\u1072?\u1083?\u1085?\u1072?\u1090?\u1072? \u1087?\u1088?\u1086?\u1075?\u1088?\u1072?\u1084?\u1072? \u1079?\u1072? \u1088?\u1077?\u1092?\u1086?\u1088?\u1084?\u1080? \u1085?\u1072? \u1045?\u1089?\u1090?\u1086?\u1085?\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5?\u1089?\u1090?\u1086?\u1085?\u1080?\u1103? \u1079?\u1072? 2020 \u1075?.&lt;/FMT&gt;_x000b_"/>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606111902">
      <w:bodyDiv w:val="1"/>
      <w:marLeft w:val="0"/>
      <w:marRight w:val="0"/>
      <w:marTop w:val="0"/>
      <w:marBottom w:val="0"/>
      <w:divBdr>
        <w:top w:val="none" w:sz="0" w:space="0" w:color="auto"/>
        <w:left w:val="none" w:sz="0" w:space="0" w:color="auto"/>
        <w:bottom w:val="none" w:sz="0" w:space="0" w:color="auto"/>
        <w:right w:val="none" w:sz="0" w:space="0" w:color="auto"/>
      </w:divBdr>
    </w:div>
    <w:div w:id="1960531072">
      <w:bodyDiv w:val="1"/>
      <w:marLeft w:val="0"/>
      <w:marRight w:val="0"/>
      <w:marTop w:val="0"/>
      <w:marBottom w:val="0"/>
      <w:divBdr>
        <w:top w:val="none" w:sz="0" w:space="0" w:color="auto"/>
        <w:left w:val="none" w:sz="0" w:space="0" w:color="auto"/>
        <w:bottom w:val="none" w:sz="0" w:space="0" w:color="auto"/>
        <w:right w:val="none" w:sz="0" w:space="0" w:color="auto"/>
      </w:divBdr>
    </w:div>
    <w:div w:id="2010525055">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EAC0D-956C-47DF-839A-AAEBCCF3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10</Pages>
  <Words>3727</Words>
  <Characters>22027</Characters>
  <Application>Microsoft Office Word</Application>
  <DocSecurity>0</DocSecurity>
  <Lines>379</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2020-05-12T07:30:00Z</cp:lastPrinted>
  <dcterms:created xsi:type="dcterms:W3CDTF">2020-05-26T13:40:00Z</dcterms:created>
  <dcterms:modified xsi:type="dcterms:W3CDTF">2020-06-03T14:12:00Z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