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FF6F4CC-12AC-4E44-B480-BB5FA24F0D98" style="width:451.25pt;height:352.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Франция за 2020 година и съдържаща становище на Съвета относно програмата за стабилност на Франция за 2020 година.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също прие Доклада за механизма за предупреждение, в който беше посочено, че Франция е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lastRenderedPageBreak/>
        <w:t>(2)</w:t>
      </w:r>
      <w:r>
        <w:rPr>
          <w:noProof/>
        </w:rPr>
        <w:tab/>
        <w:t>Докладът за Франция за 2020 г.</w:t>
      </w:r>
      <w:r>
        <w:rPr>
          <w:rStyle w:val="FootnoteReference"/>
          <w:noProof/>
        </w:rPr>
        <w:footnoteReference w:id="4"/>
      </w:r>
      <w:r>
        <w:rPr>
          <w:noProof/>
        </w:rPr>
        <w:t xml:space="preserve"> беше публикуван на 26 февруари 2020 г. В него бе оценен напредъкът на Франция в изпълнението на специфичните за държавата препоръки, приети от Съвета на 9 юли 2019 г.</w:t>
      </w:r>
      <w:r>
        <w:rPr>
          <w:rStyle w:val="FootnoteReference"/>
          <w:noProof/>
        </w:rPr>
        <w:footnoteReference w:id="5"/>
      </w:r>
      <w:r>
        <w:rPr>
          <w:noProof/>
        </w:rPr>
        <w:t>, последващите действия във връзка с препоръките, отправени през предходните години, както и напредъкът на страната по националните ѝ цели по стратегията „Европа 2020“. В доклада беше включен и задълбочен преглед по член 5 от Регламент (ЕС) № 1176/2011, чиито резултати също бяха публикувани на 26 февруари 2020 г. Анализът на Комисията ѝ дава основание да заключи, че във Франция са налице макроикономически дисбаланси. По-специално имащите трансгранично значение и свързаните с големия държавен дълг и слабата динамика на конкурентоспособността в условия на слабо повишение на производителността.</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6"/>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задействането на общата клауза за дерогация, предвидена в Пакта за стабилност и растеж</w:t>
      </w:r>
      <w:r>
        <w:rPr>
          <w:rStyle w:val="FootnoteReference"/>
          <w:noProof/>
        </w:rPr>
        <w:footnoteReference w:id="7"/>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във времена на сериозен икономически спад. В своето съобщение Комисията излага пред Съвета становището си, че предвид очаквания сериозен икономически спад вследствие на разпространението на COVID-19 настоящите условия позволяват задействането на клаузата. На 23 март 2020 г. министрите на финансите на държавите членки се съгласиха с оценката на Комисията. Задействането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корективната част на Пакта за стабилност и растеж Съветът може също така да реши, по препоръка на Комисията, да приеме промяна във фискалната траектория. Общата клауза за </w:t>
      </w:r>
      <w:r>
        <w:rPr>
          <w:noProof/>
        </w:rPr>
        <w:lastRenderedPageBreak/>
        <w:t>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noProof/>
        </w:rPr>
      </w:pPr>
      <w:r>
        <w:rPr>
          <w:noProof/>
        </w:rPr>
        <w:t>(6)</w:t>
      </w:r>
      <w:r>
        <w:rPr>
          <w:noProof/>
        </w:rPr>
        <w:tab/>
        <w:t>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готовност за действие при кризи в здравната система, като тази готовност включва по-специално подобрени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8"/>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Франция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lastRenderedPageBreak/>
        <w:t>(9)</w:t>
      </w:r>
      <w:r>
        <w:rPr>
          <w:noProof/>
        </w:rPr>
        <w:tab/>
        <w:t>Възможно е разпространението на социално-икономическите последици от пандемията да бъде неравномерно в различните френски региони поради различните модели на специализация, по-специално в регионите, зависещи в голяма степен от туризма, например най-отдалечените региони, и в по-общ план стопанските дейности, за които е необходим пряк контакт с потребителите. Това води до значителен риск от задълбочаване на регионалните и териториалните различия в страната, което влошава наблюдаваната вече тенденция на бавно задълбочаване на различията между столичния регион, големите градове и останалата част от страната, между градските и селските райони и между континенталната част на страната и най-отдалечените региони.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7 май 2020 г. Франция представи своята национална програма за реформи за 2020 г., а на 30 април 2020 г. — програмата си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Спрямо Франция понастоящем се прилагат предпазните мерки на Пакта за стабилност и растеж и преходното правило за дълга. На 13 юли 2018 г. Съветът препоръча на Франция да гарантира, че номиналният темп на растеж на нетните първични държавни разходи</w:t>
      </w:r>
      <w:r>
        <w:rPr>
          <w:rStyle w:val="FootnoteReference"/>
          <w:noProof/>
        </w:rPr>
        <w:footnoteReference w:id="9"/>
      </w:r>
      <w:r>
        <w:rPr>
          <w:noProof/>
        </w:rPr>
        <w:t xml:space="preserve"> не надвишава 1,4 % през 2019 г., което съответства на годишна структурна корекция от 0,6 % от БВП. В цялостната оценка на Комисията се потвърждава значителното отклонение от препоръчаната корекция за постигане на средносрочната бюджетна цел през 2019 г., както и през 2018 г. и 2019 г., взети заедно. Това е фактор от значение за оценката на спазването от страна на Франция на критерия за дълга през 2019 г., взет предвид в доклада на Комисията, изготвен в съответствие с член 126, параграф 3 от Договора. </w:t>
      </w:r>
    </w:p>
    <w:p>
      <w:pPr>
        <w:pStyle w:val="ManualConsidrant"/>
        <w:rPr>
          <w:noProof/>
        </w:rPr>
      </w:pPr>
      <w:r>
        <w:rPr>
          <w:noProof/>
        </w:rPr>
        <w:t>(12)</w:t>
      </w:r>
      <w:r>
        <w:rPr>
          <w:noProof/>
        </w:rPr>
        <w:tab/>
        <w:t xml:space="preserve">В своята програма за стабилност за 2020 г. правителството планира номиналното салдо да се влоши от дефицит в размер на 3,0 % от БВП през 2019 г. до дефицит от 9,0 % от БВП през 2020 г. След стабилизирането, достигнало 98,1 % от БВП през 2019 г., съгласно програмата за стабилност за 2020 г. се очаква през 2020 г. съотношението на консолидирания държавен дълг към БВП да нарасне до 115,2 %. Макроикономическата и фискалната перспектива се характеризират с високата степен на несигурност, породена от пандемията от COVID-19. </w:t>
      </w:r>
    </w:p>
    <w:p>
      <w:pPr>
        <w:pStyle w:val="ManualConsidrant"/>
        <w:rPr>
          <w:noProof/>
        </w:rPr>
      </w:pPr>
      <w:r>
        <w:rPr>
          <w:noProof/>
        </w:rPr>
        <w:t>(13)</w:t>
      </w:r>
      <w:r>
        <w:rPr>
          <w:noProof/>
        </w:rPr>
        <w:tab/>
        <w:t xml:space="preserve">В отговор на пандемията от COVID-19 и в рамките на координирания подход на Съюза Франция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лица и сектори. Съгласно програмата за стабилност за 2020 г. тези бюджетни мерки възлизат на 1,9 % от БВП. Посочените мерки включват: финансирането на схемата за частична безработица, равняваща се на 1,1 % от БВП; 0,4 % от БВП допълнителни разходи за укрепване на здравните услуги, надбавки за здравно осигуряване и </w:t>
      </w:r>
      <w:r>
        <w:rPr>
          <w:noProof/>
        </w:rPr>
        <w:lastRenderedPageBreak/>
        <w:t>възнаграждението на персонала в здравеопазването; създаване на фонд за солидарност в размер на 0,3 % от БВП за предоставяне на пряка подкрепа на малките и много малките предприятия, както и на самостоятелно заетите лица. Освен това Франция обяви мерки, които, макар и да нямат пряко отражение върху бюджета, ще допринесат за подпомагане на ликвидността на предприятията. Според програмата за стабилност за 2020 г. те се оценяват на 17 % от БВП. Тези мерки включват данъчни и социални отсрочки за предприятията; ускорено възстановяване на данъци и данъчен кредит по ДДС; създаване на специален резерв за пряко подпомагане на стратегически дружества чрез капиталови инвестиции (3,1 % от БВП) и гаранции по заеми (13,9 % от БВП). Като цяло предприетите от Франция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фискални позиции в средносрочен план, когато икономическите условия позволяват това да се случи, ще допринесе за запазването на фискалната устойчивост в средносрочен план.</w:t>
      </w:r>
    </w:p>
    <w:p>
      <w:pPr>
        <w:pStyle w:val="ManualConsidrant"/>
        <w:rPr>
          <w:noProof/>
        </w:rPr>
      </w:pPr>
      <w:r>
        <w:rPr>
          <w:noProof/>
        </w:rPr>
        <w:t>(14)</w:t>
      </w:r>
      <w:r>
        <w:rPr>
          <w:noProof/>
        </w:rPr>
        <w:tab/>
        <w:t xml:space="preserve">Въз основа на прогнозата на Комисията от пролетта на 2020 г. при непроменена политика се предвижда салдото по консолидирания държавен бюджет на Франция да бъде -9,9 % от БВП през 2020 г. и -4,0 % през 2021 г. Съотношението на консолидирания държавен дълг към БВП се очаква да достигне 116,5 % от БВП през 2020 г. и 111,9% през 2021 г. </w:t>
      </w:r>
    </w:p>
    <w:p>
      <w:pPr>
        <w:pStyle w:val="ManualConsidrant"/>
        <w:rPr>
          <w:noProof/>
        </w:rPr>
      </w:pPr>
      <w:r>
        <w:rPr>
          <w:noProof/>
        </w:rPr>
        <w:t>(15)</w:t>
      </w:r>
      <w:r>
        <w:rPr>
          <w:noProof/>
        </w:rPr>
        <w:tab/>
        <w:t>На 20 май 2020 г. Комисията представи доклад, изготвен в съответствие с член 126, параграф 3 от Договора, поради неспазването от страна на Франция на правилото за дълга и планираното от Франция нарушение на прага на дефицита в размер на 3 % от БВП през 2020 г. Като цяло анализът показва, че критериите за дефицита и за дълга, определен в Договора и в Регламент (ЕО) № 1467/1997, не са изпълнени.</w:t>
      </w:r>
    </w:p>
    <w:p>
      <w:pPr>
        <w:pStyle w:val="ManualConsidrant"/>
        <w:rPr>
          <w:noProof/>
        </w:rPr>
      </w:pPr>
      <w:r>
        <w:rPr>
          <w:noProof/>
        </w:rPr>
        <w:t>(16)</w:t>
      </w:r>
      <w:r>
        <w:rPr>
          <w:noProof/>
        </w:rPr>
        <w:tab/>
        <w:t>Френското здравеопазване ефективно постига добри резултати. Въпреки това кризата, предизвикана от COVID-19, разкри недостатъци в готовността на системата да се справи с разпространението на пандемии. Те включват: i) трудности своевременно да се осигурят здравни работници, консумативи и лични предпазни средства от изключителна важност, както и ii) латентни структурни проблеми. Що се отнася до първата, Франция мобилизира своя резерв от медицински и парамедицински персонал и оборудване, включително студенти по медицина и лекари в пенсия и медицински сестри. Координирането на реакцията във всички сегменти на здравеопазването си остава предизвикателство. Що се отнася до втората слабост, тя е резултат от липсата на инвестиции във физически инфраструктури и човешки ресурси, ограничено адаптиране в организацията на услугите и необходимостта от по-добра координация между участниците от частния и публичния сектор. Предизвикателствата се задълбочават поради запазващите се регионални различия. Например, въпреки че делът на практикуващите лекари е около средния за ЕС, около 18 % от населението на Франция живее в области, в които достъпът до общопрактикуващ лекар е ограничен. Необходими са по-нататъшни решителни усилия за цифровизиране на здравните услуги — крайъгълен камък на правителствената стратегия за трансформация на здравеопазването. Кризата, предизвикана от COVID-19, показва, че по-доброто използване на електронното здравеопазване, по-специално на телемедицината, е важно в случай на пандемия.</w:t>
      </w:r>
    </w:p>
    <w:p>
      <w:pPr>
        <w:pStyle w:val="ManualConsidrant"/>
        <w:rPr>
          <w:noProof/>
        </w:rPr>
      </w:pPr>
      <w:r>
        <w:rPr>
          <w:noProof/>
        </w:rPr>
        <w:lastRenderedPageBreak/>
        <w:t>(17)</w:t>
      </w:r>
      <w:r>
        <w:rPr>
          <w:noProof/>
        </w:rPr>
        <w:tab/>
        <w:t>Кризата, предизвикана от COVID-19, оказва отрицателно въздействие върху условията на френския пазар на труда и социалните условия. Въпреки предприетите мерки за смекчаване на последиците, безработицата се очаква да нарасне (до 10,1 % през 2020 г. според прогнозата на Комисията, а след това да се подобри до 9,7 % през 2021 г.). Тези мерки включват изменение и разширяване на режима на работа на намалено работно време, както и мерки, приети в подкрепа на предприятията и работниците, както и за гарантиране на функционирането на обществените услуги и на здравната система. Запазващото се сегментиране на пазара на труда продължава да буди безпокойство. През 2019 г. около две трети от новите назначения са били на договори за намалено работно време с продължителност по-кратка от месец. Процентът на преобразуваните краткосрочни в безсрочни трудови договори е един от най-малките в ЕС. Неотдавнашната реформа на системата за обезщетения при безработица (</w:t>
      </w:r>
      <w:r>
        <w:rPr>
          <w:i/>
          <w:noProof/>
        </w:rPr>
        <w:t>Unédic</w:t>
      </w:r>
      <w:r>
        <w:rPr>
          <w:noProof/>
        </w:rPr>
        <w:t>) имаше за цел да засили финансовата устойчивост на системата и да преодолее сегментирането. Въпреки това някои части от реформата, свързана с правилата за обезщетенията, бяха спрени поради кризата. С оглед на влошения контекст е важно да се гарантира, че обезщетенията за безработица, както и активната подкрепа за заетостта, се предлагат на всички лица, търсещи работа, независимо от техния трудов статус. За да бъдат преодолени несъответствията между търсените и предлаганите умения и за да се подобри устойчивостта на пазара на труда, следва да продължат да се полагат усилия за насърчаване на преразпределението на работната сила във всички сектори.Преди разпространението на пандемията от COVID-19 работодателите все повече съобщаваха за трудности да намерят подходящи кандидати за назначаване, което показва необходимостта от насърчаване на повишаването на квалификацията и преквалификацията. Например, въпреки че секторът на информационните технологии е особено засегнат от недостига на умения, висшистите в него представляват едва 3 % от общия брой висшисти.</w:t>
      </w:r>
    </w:p>
    <w:p>
      <w:pPr>
        <w:pStyle w:val="ManualConsidrant"/>
        <w:rPr>
          <w:noProof/>
        </w:rPr>
      </w:pPr>
      <w:r>
        <w:rPr>
          <w:noProof/>
        </w:rPr>
        <w:t>(18)</w:t>
      </w:r>
      <w:r>
        <w:rPr>
          <w:noProof/>
        </w:rPr>
        <w:tab/>
        <w:t>В контекста на кризата, причинена от COVID-19, е особено важно да се гарантира функционирането на критичната инфраструктура и свободното движение на стоки в целия единен пазар, както и да се наблюдава и гарантира правилното функциониране на веригите на доставки в сътрудничество със съседните държави. За тази цел премахването на мерките, приети през кризата, предизвикана от COVID-19, по-специално ограниченията върху износа на някои медицински вещества и продукти, ще допринесе за удовлетворяване на нуждите на гражданите в целия ЕС по съгласуван начин и в дух на солидарност, за да се избегне рискът от недостиг и прекъсване на доставките, и в крайна сметка да се проправи пътят към успешна, координирана от ЕС стратегия за излизане от кризата, предизвикана от COVID-19.</w:t>
      </w:r>
    </w:p>
    <w:p>
      <w:pPr>
        <w:pStyle w:val="ManualConsidrant"/>
        <w:rPr>
          <w:noProof/>
        </w:rPr>
      </w:pPr>
      <w:r>
        <w:rPr>
          <w:noProof/>
        </w:rPr>
        <w:t>(19)</w:t>
      </w:r>
      <w:r>
        <w:rPr>
          <w:noProof/>
        </w:rPr>
        <w:tab/>
        <w:t>Франция прие много схеми в подкрепа на ликвидността на предприятията, включително съгласно Временната рамка за мерките за държавна помощ в подкрепа на икономиката през настоящата пандемия от COVID-19</w:t>
      </w:r>
      <w:r>
        <w:rPr>
          <w:rStyle w:val="FootnoteReference"/>
          <w:noProof/>
        </w:rPr>
        <w:footnoteReference w:id="10"/>
      </w:r>
      <w:r>
        <w:rPr>
          <w:noProof/>
        </w:rPr>
        <w:t xml:space="preserve"> . Ефективното и ефикасно прилагане на тези схеми е от възлово значение, за да се гарантира, че предприятията, и по-специално малките и средните предприятия (МСП) се възползват от тях. При разработването и прилагането на тези мерки трябва да се вземе предвид устойчивостта на банковия сектор.</w:t>
      </w:r>
    </w:p>
    <w:p>
      <w:pPr>
        <w:pStyle w:val="ManualConsidrant"/>
        <w:rPr>
          <w:noProof/>
        </w:rPr>
      </w:pPr>
      <w:r>
        <w:rPr>
          <w:noProof/>
        </w:rPr>
        <w:lastRenderedPageBreak/>
        <w:t>(20)</w:t>
      </w:r>
      <w:r>
        <w:rPr>
          <w:noProof/>
        </w:rPr>
        <w:tab/>
        <w:t>Цялостната бизнес среда на Франция се подобри, но Франция трябва да продължи да полага усилия да опрости данъчната си система и да намали административната тежест за предприятията, особено ако това подкрепя ефективното икономическо възстановяване в средносрочен план. Например, според оценката на Комисията и потвърдена от показателите на ОИСР от 2018 г. за регулирането на продуктовите пазари, въпреки напредъка и приемането на няколко мерки в сектора на услугите, във Франция регулаторните ограничения остават по-големи в сравнение с други държави членки, особено за услугите за предприятията, много от които са регулирани професии, и в търговията на дребно. В качеството си на един от най-засегнатите сектори, услугите ще играят важна роля за излизането от кризата и възстановяването от нея. Промяна в замисъла на изискванията за достъп до и упражняване на дейности по предоставяне на услуги ще стимулира иновациите, конкуренцията и професионалната мобилност, което ще има положително въздействие върху цялата икономика. Регулаторната гъвкавост също би могла да увеличи възстановяването на търговията на дребно след пандемията от COVID-19.</w:t>
      </w:r>
    </w:p>
    <w:p>
      <w:pPr>
        <w:pStyle w:val="ManualConsidrant"/>
        <w:rPr>
          <w:noProof/>
        </w:rPr>
      </w:pPr>
      <w:r>
        <w:rPr>
          <w:noProof/>
        </w:rPr>
        <w:t>(21)</w:t>
      </w:r>
      <w:r>
        <w:rPr>
          <w:noProof/>
        </w:rPr>
        <w:tab/>
        <w:t>За да се насърчи икономическото възстановяване, ще бъде важно да се даде приоритет на готови за изпълнение публични инвестиционни проекти и да се насърчават частните инвестиции, включително чрез подходящи реформи.</w:t>
      </w:r>
      <w:r>
        <w:rPr>
          <w:noProof/>
          <w:color w:val="000000"/>
          <w:szCs w:val="24"/>
        </w:rPr>
        <w:t xml:space="preserve"> </w:t>
      </w:r>
      <w:r>
        <w:rPr>
          <w:noProof/>
        </w:rPr>
        <w:t>Те биха могли да се впишат в приоритетите на „Зеления пакт“, по-специално инициативите за нисковъглероден транспорт, енергията от възобновяеми източници и санирането на сгради. Заедно с цифровата трансформация на икономиката, това би могло да допринесе за даването на краткосрочен тласък на възстановяването, а също и в средносрочен план след кризата, предизвикана от COVID-19, както и да насочи Франция към устойчив дългосрочен неутрален по отношение на климата модел, който същевременно насърчава технологичното лидерство. Подготвителната работа за мерките за възстановяване може да се основава на националния план на Франция в областта на енергетиката и климата, на проектите от общ интерес и на плановете за развитие на инфраструктура. Допълнителните инвестиции в енергийна инфраструктура, включително в електроенергийни междусистемни връзки, ще допринесат за подобряване на интеграцията на вътрешния енергиен пазар на ЕС, като същевременно ще създадат по-силна конкуренция и ще улеснят разгръщането на енергията от възобновяеми източници. Програмирането на Фонда за справедлив преход за периода 2021—2027 г. би могло да помогне на Франция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w:t>
      </w:r>
      <w:r>
        <w:rPr>
          <w:rStyle w:val="FootnoteReference"/>
          <w:noProof/>
        </w:rPr>
        <w:footnoteReference w:id="11"/>
      </w:r>
      <w:r>
        <w:rPr>
          <w:noProof/>
        </w:rPr>
        <w:t>. Това ще позволи на Франция да използва този фонд възможно най-пълноценно.</w:t>
      </w:r>
    </w:p>
    <w:p>
      <w:pPr>
        <w:pStyle w:val="ManualConsidrant"/>
        <w:rPr>
          <w:noProof/>
        </w:rPr>
      </w:pPr>
      <w:r>
        <w:rPr>
          <w:noProof/>
        </w:rPr>
        <w:t>(22)</w:t>
      </w:r>
      <w:r>
        <w:rPr>
          <w:noProof/>
        </w:rPr>
        <w:tab/>
        <w:t xml:space="preserve">По време на изолацията при домашни условия цифровизацията се оказа жизненоважна за поддържането на достъпа до държавни, образователни и медицински услуги и за запазването на икономическата дейност чрез дистанционна работа и чрез електронна търговия. В средносрочен план цифровизацията предоставя по-големи възможности за предприятията, по-специално за МСП, да се възстановят и да се развиват, като ги свързва с повече потенциални клиенти, подобря ефективността на производствените процеси и предоставя стимули за иновации. Инвестициите в цифровизацията включват </w:t>
      </w:r>
      <w:r>
        <w:rPr>
          <w:noProof/>
        </w:rPr>
        <w:lastRenderedPageBreak/>
        <w:t>предоставяне на подходяща инфраструктура, подобряване на цифровите умения на населението в по-широк смисъл, по-специално на работещото население. Изпълнението на плана на Франция за широколентов достъп с много висока скорост (</w:t>
      </w:r>
      <w:r>
        <w:rPr>
          <w:i/>
          <w:noProof/>
        </w:rPr>
        <w:t>Plan France Très Haut Débit</w:t>
      </w:r>
      <w:r>
        <w:rPr>
          <w:noProof/>
        </w:rPr>
        <w:t>) изглежда върви по график в градските райони. Въпреки това продължават да са налице значителни различия в покритието на мрежите с много висока скорост в други области.</w:t>
      </w:r>
    </w:p>
    <w:p>
      <w:pPr>
        <w:pStyle w:val="ManualConsidrant"/>
        <w:rPr>
          <w:noProof/>
        </w:rPr>
      </w:pPr>
      <w:r>
        <w:rPr>
          <w:noProof/>
        </w:rPr>
        <w:t>(23)</w:t>
      </w:r>
      <w:r>
        <w:rPr>
          <w:noProof/>
        </w:rPr>
        <w:tab/>
        <w:t>Франция разполага със солидна база от научни изследвания и има потенциала да се ангажира със специфични мерки за научни изследвания и иновации в отговор на кризата, предизвикана от COVID-19, включително разработването на ваксини и лекарства. Кризата, предизвикана от COVID-19 и последиците от нея, изискват засилено сътрудничество в областта на научните изследвания и иновациите между публичния и частния сектор. В средносрочен план инвестициите в научни изследвания и иновации биха могли да доведат до повишаване на производителността, както беше посочено от френския национален съвет по производителността. В стимулиращите растежа сектори също така е необходимо да се позволи на предприятията да се възползват от възможностите, предлагани от преобразуването на европейската икономика.</w:t>
      </w:r>
    </w:p>
    <w:p>
      <w:pPr>
        <w:pStyle w:val="ManualConsidrant"/>
        <w:rPr>
          <w:noProof/>
          <w:szCs w:val="24"/>
        </w:rPr>
      </w:pPr>
      <w:r>
        <w:rPr>
          <w:noProof/>
        </w:rPr>
        <w:t>(24)</w:t>
      </w:r>
      <w:r>
        <w:rPr>
          <w:noProof/>
        </w:rPr>
        <w:tab/>
        <w:t>Настоящите препоръки са насочени към справянето със социално-икономическите последици от пандемията и улесняването на икономическото възстановяване, докато специфичните за всяка държава препоръки за 2019 г., които Съветът прие на 9 юли 2019 г., обхващат също така реформите, които са от съществено значение за справянето със средносрочните и дългосрочните структурни предизвикателства. Тези препоръки продължават да бъдат актуални и тяхното изпълнение ще продължи да бъде наблюдавано през целия годишен цикъл на европейския семестър през следващата година. Това се отнася и до препоръките относно икономическите политики, свързани с инвестициите. Въпросните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преустановяване на мерките във връзка с настоящата криза.</w:t>
      </w:r>
    </w:p>
    <w:p>
      <w:pPr>
        <w:pStyle w:val="ManualConsidrant"/>
        <w:rPr>
          <w:noProof/>
          <w:szCs w:val="24"/>
        </w:rPr>
      </w:pPr>
      <w:r>
        <w:rPr>
          <w:noProof/>
        </w:rPr>
        <w:t>(25)</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Франция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szCs w:val="24"/>
        </w:rPr>
      </w:pPr>
      <w:r>
        <w:rPr>
          <w:noProof/>
        </w:rPr>
        <w:t>(26)</w:t>
      </w:r>
      <w:r>
        <w:rPr>
          <w:noProof/>
        </w:rPr>
        <w:tab/>
        <w:t>Тясната координация между икономиките в икономическия и паричен съюз е от възлово значение за бързото възстановяване от въздействието на COVID-19 върху икономиката. Като държава членка, чиято парична единица е еврото и предвид политическите насоки на Еврогрупата, Франция следва да гарантира, че нейните политики са съобразени с препоръките за еврозоната и са координирани с тези на останалите държави членки от еврозоната.</w:t>
      </w:r>
    </w:p>
    <w:p>
      <w:pPr>
        <w:pStyle w:val="ManualConsidrant"/>
        <w:rPr>
          <w:noProof/>
        </w:rPr>
      </w:pPr>
      <w:r>
        <w:rPr>
          <w:noProof/>
        </w:rPr>
        <w:t>(27)</w:t>
      </w:r>
      <w:r>
        <w:rPr>
          <w:noProof/>
        </w:rPr>
        <w:tab/>
        <w:t xml:space="preserve">В рамките на европейския семестър от 2020 г. Комисията направи цялостен анализ на икономическата политика на Франция и го публикува в доклада за страната за 2020 г. Освен това Комисията направи оценка на програмата за стабилност за 2020 г., националната програма за реформи за 2020 г. и </w:t>
      </w:r>
      <w:r>
        <w:rPr>
          <w:noProof/>
        </w:rPr>
        <w:lastRenderedPageBreak/>
        <w:t xml:space="preserve">последващите действия във връзка с препоръките, отправени към Франция през предходните години. Комисията взе предвид не само тяхното значение за провеждането на устойчива бюджетна и социално-икономическа политика във Франция,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rPr>
          <w:noProof/>
        </w:rPr>
        <w:t>(28)</w:t>
      </w:r>
      <w:r>
        <w:rPr>
          <w:noProof/>
        </w:rPr>
        <w:tab/>
        <w:t>С оглед на тази оценка Съветът разгледа програмата за стабилност за 2020 г., като становището</w:t>
      </w:r>
      <w:r>
        <w:rPr>
          <w:rStyle w:val="FootnoteReference"/>
          <w:noProof/>
        </w:rPr>
        <w:footnoteReference w:id="12"/>
      </w:r>
      <w:r>
        <w:rPr>
          <w:noProof/>
        </w:rPr>
        <w:t xml:space="preserve"> му е изразено по-специално в препоръка 1 по-долу, </w:t>
      </w:r>
    </w:p>
    <w:p>
      <w:pPr>
        <w:pStyle w:val="ManualConsidrant"/>
        <w:rPr>
          <w:noProof/>
        </w:rPr>
      </w:pPr>
      <w:r>
        <w:rPr>
          <w:noProof/>
        </w:rPr>
        <w:t>(29)</w:t>
      </w:r>
      <w:r>
        <w:rPr>
          <w:noProof/>
        </w:rPr>
        <w:tab/>
        <w:t>С оглед на задълбочения преглед, направен от Комисията, и на тази оценка Съветът разгледа националната програма за реформи за 2020 г. и програмата за стабилност за 2020 г. В настоящите препоръки се взема предвид нуждата от справяне с пандемията и улесняване на възстановяването на икономиката като първа необходима стъпка за коригиране на дисбалансите. Препоръките, отнасящи се пряко за макроикономическите дисбаланси, установени от Комисията съгласно член 6 от Регламент (ЕС) № 1176/2011, са отразени в препоръки 1, 3 и 4,</w:t>
      </w:r>
    </w:p>
    <w:p>
      <w:pPr>
        <w:rPr>
          <w:noProof/>
        </w:rPr>
      </w:pPr>
    </w:p>
    <w:p>
      <w:pPr>
        <w:pStyle w:val="Formuledadoption"/>
        <w:rPr>
          <w:noProof/>
        </w:rPr>
      </w:pPr>
      <w:r>
        <w:rPr>
          <w:noProof/>
        </w:rPr>
        <w:t>ПРЕПОРЪЧВА на Франция да предприеме следните действия през 2020 и 2021 г.:</w:t>
      </w:r>
    </w:p>
    <w:p>
      <w:pPr>
        <w:pStyle w:val="ManualNumPar1"/>
        <w:rPr>
          <w:noProof/>
        </w:rPr>
      </w:pPr>
      <w:bookmarkStart w:id="1" w:name="_CopyToNewDocument_"/>
      <w:bookmarkEnd w:id="1"/>
      <w:r>
        <w:rPr>
          <w:noProof/>
        </w:rPr>
        <w:t>1.</w:t>
      </w:r>
      <w:r>
        <w:rPr>
          <w:noProof/>
        </w:rPr>
        <w:tab/>
        <w:t xml:space="preserve">Да вземе всички необходими мерки, за да се справи ефективно с пандемията, да поддържа икономиката и подкрепя настъпващото възстановяване в съответствие с общата клауза за дерогация. Когато икономическите условия позволяват това, да провежда бюджетни политики, насочени към постигане на разумни средносрочни фискални позиции и гарантиращи устойчивостта на дълга, като същевременно насърчават инвестициите. Да укрепи устойчивостта на здравната система, като осигури адекватни доставки на медицински продукти от изключителна важност и балансирано разпределение на здравните работници, както и чрез инвестиране в електронното здравеопазване. </w:t>
      </w:r>
    </w:p>
    <w:p>
      <w:pPr>
        <w:pStyle w:val="ManualNumPar1"/>
        <w:rPr>
          <w:noProof/>
        </w:rPr>
      </w:pPr>
      <w:r>
        <w:rPr>
          <w:noProof/>
        </w:rPr>
        <w:t>2.</w:t>
      </w:r>
      <w:r>
        <w:rPr>
          <w:noProof/>
        </w:rPr>
        <w:tab/>
        <w:t xml:space="preserve">Да смекчи въздействието на кризата върху заетостта и социалната сфера, включително като насърчава уменията и активната подкрепа за всички лица, търсещи работа. </w:t>
      </w:r>
    </w:p>
    <w:p>
      <w:pPr>
        <w:pStyle w:val="ManualNumPar1"/>
        <w:rPr>
          <w:noProof/>
        </w:rPr>
      </w:pPr>
      <w:r>
        <w:rPr>
          <w:noProof/>
        </w:rPr>
        <w:t>3.</w:t>
      </w:r>
      <w:r>
        <w:rPr>
          <w:noProof/>
        </w:rPr>
        <w:tab/>
        <w:t>Да гарантира ефективното прилагане на мерките за подпомагане на ликвидността на предприятията, по-специално за малките и средните предприятия. Да даде приоритет на готови за изпълнение проекти за публични инвестиции и да окуражава частните инвестиции, които да спомогнат за икономическото възстановяване. Да съсредоточи инвестициите върху екологичния и цифровия преход, по-специално върху устойчивия транспорт, чистото и ефективно производство на енергия и нейното използване, енергийните и дигиталните инфраструктури, както и върху научните изследвания и иновациите.</w:t>
      </w:r>
    </w:p>
    <w:p>
      <w:pPr>
        <w:pStyle w:val="ManualNumPar1"/>
        <w:keepNext/>
        <w:keepLines/>
        <w:rPr>
          <w:noProof/>
        </w:rPr>
      </w:pPr>
      <w:r>
        <w:rPr>
          <w:noProof/>
        </w:rPr>
        <w:lastRenderedPageBreak/>
        <w:t>4.</w:t>
      </w:r>
      <w:r>
        <w:rPr>
          <w:noProof/>
        </w:rPr>
        <w:tab/>
        <w:t>Да продължи да подобрява регулаторната среда, да намали административната тежест за предприятията и да опрости данъчната система.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209, 2.8.1997 г., стр. 1.</w:t>
      </w:r>
    </w:p>
  </w:footnote>
  <w:footnote w:id="3">
    <w:p>
      <w:pPr>
        <w:pStyle w:val="FootnoteText"/>
      </w:pPr>
      <w:r>
        <w:rPr>
          <w:rStyle w:val="FootnoteReference"/>
        </w:rPr>
        <w:footnoteRef/>
      </w:r>
      <w:r>
        <w:tab/>
        <w:t>ОВ L 306, 23.11.2011 г., стр. 25.</w:t>
      </w:r>
    </w:p>
  </w:footnote>
  <w:footnote w:id="4">
    <w:p>
      <w:pPr>
        <w:pStyle w:val="FootnoteText"/>
      </w:pPr>
      <w:r>
        <w:rPr>
          <w:rStyle w:val="FootnoteReference"/>
        </w:rPr>
        <w:footnoteRef/>
      </w:r>
      <w:r>
        <w:tab/>
        <w:t>SWD(2020) 509 final.</w:t>
      </w:r>
    </w:p>
  </w:footnote>
  <w:footnote w:id="5">
    <w:p>
      <w:pPr>
        <w:pStyle w:val="FootnoteText"/>
        <w:rPr>
          <w:rStyle w:val="FootnoteReference"/>
        </w:rPr>
      </w:pPr>
      <w:r>
        <w:rPr>
          <w:rStyle w:val="FootnoteReference"/>
        </w:rPr>
        <w:footnoteRef/>
      </w:r>
      <w:r>
        <w:tab/>
        <w:t>OВ C 301, 5.9.2019 г., стр. 117.</w:t>
      </w:r>
    </w:p>
  </w:footnote>
  <w:footnote w:id="6">
    <w:p>
      <w:pPr>
        <w:pStyle w:val="FootnoteText"/>
      </w:pPr>
      <w:r>
        <w:rPr>
          <w:rStyle w:val="FootnoteReference"/>
        </w:rPr>
        <w:footnoteRef/>
      </w:r>
      <w:r>
        <w:tab/>
        <w:t>СОМ(2020) 112 final.</w:t>
      </w:r>
    </w:p>
  </w:footnote>
  <w:footnote w:id="7">
    <w:p>
      <w:pPr>
        <w:pStyle w:val="FootnoteText"/>
      </w:pPr>
      <w:r>
        <w:rPr>
          <w:rStyle w:val="FootnoteReference"/>
        </w:rPr>
        <w:footnoteRef/>
      </w:r>
      <w:r>
        <w:tab/>
        <w:t>СОМ(2020) 123 final.</w:t>
      </w:r>
    </w:p>
  </w:footnote>
  <w:footnote w:id="8">
    <w:p>
      <w:r>
        <w:rPr>
          <w:rStyle w:val="FootnoteReference"/>
        </w:rPr>
        <w:footnoteRef/>
      </w:r>
      <w:r>
        <w:tab/>
      </w:r>
      <w:r>
        <w:rPr>
          <w:sz w:val="20"/>
          <w:szCs w:val="20"/>
        </w:rPr>
        <w:t xml:space="preserve">Регламент (ЕС) 2020/460 </w:t>
      </w:r>
      <w:r>
        <w:rPr>
          <w:sz w:val="20"/>
          <w:szCs w:val="20"/>
          <w:shd w:val="clear" w:color="auto" w:fill="FFFFFF"/>
        </w:rPr>
        <w:t>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w:t>
      </w:r>
      <w:r>
        <w:rPr>
          <w:sz w:val="20"/>
          <w:szCs w:val="20"/>
        </w:rPr>
        <w:t xml:space="preserve">ОВ L 99, 31.3.2020 г., стр. 5) и Регламент (ЕС) 2020/558 </w:t>
      </w:r>
      <w:r>
        <w:rPr>
          <w:sz w:val="20"/>
          <w:szCs w:val="20"/>
          <w:shd w:val="clear" w:color="auto" w:fill="FFFFFF"/>
        </w:rPr>
        <w:t>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w:t>
      </w:r>
      <w:r>
        <w:rPr>
          <w:sz w:val="20"/>
          <w:szCs w:val="20"/>
        </w:rPr>
        <w:t>(ОВ L 130, 24.4.2020 г., стр. 1).</w:t>
      </w:r>
    </w:p>
  </w:footnote>
  <w:footnote w:id="9">
    <w:p>
      <w:pPr>
        <w:pStyle w:val="FootnoteText"/>
        <w:ind w:left="0" w:firstLine="0"/>
      </w:pPr>
      <w:r>
        <w:rPr>
          <w:rStyle w:val="FootnoteReference"/>
        </w:rPr>
        <w:footnoteRef/>
      </w:r>
      <w: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Бруто образуването на основен капитал, финансирано от държавата, се изглажда за 4-годишен период.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10">
    <w:p>
      <w:pPr>
        <w:pStyle w:val="FootnoteText"/>
      </w:pPr>
      <w:r>
        <w:rPr>
          <w:rStyle w:val="FootnoteReference"/>
        </w:rPr>
        <w:footnoteRef/>
      </w:r>
      <w:r>
        <w:tab/>
        <w:t>ОВ C 91I , 20.3.2020 г., стр. 1—9.</w:t>
      </w:r>
    </w:p>
  </w:footnote>
  <w:footnote w:id="11">
    <w:p>
      <w:pPr>
        <w:pStyle w:val="FootnoteText"/>
      </w:pPr>
      <w:r>
        <w:rPr>
          <w:rStyle w:val="FootnoteReference"/>
        </w:rPr>
        <w:footnoteRef/>
      </w:r>
      <w:r>
        <w:tab/>
        <w:t>SWD(2020) 509 final.</w:t>
      </w:r>
    </w:p>
  </w:footnote>
  <w:footnote w:id="12">
    <w:p>
      <w:pPr>
        <w:pStyle w:val="FootnoteText"/>
      </w:pPr>
      <w:r>
        <w:rPr>
          <w:rStyle w:val="FootnoteReference"/>
        </w:rPr>
        <w:footnoteRef/>
      </w:r>
      <w:r>
        <w:tab/>
        <w:t>Съгласно член 5, параграф 2 от Регламент (ЕО) №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16:36: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8FF6F4CC-12AC-4E44-B480-BB5FA24F0D98"/>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60?\u1088?\u1072?\u1085?\u1094?\u1080?\u1103? \u1079?\u1072? 2020 \u1075?\u1086?\u1076?\u1080?\u1085?\u1072?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60?\u1088?\u1072?\u1085?\u1094?\u1080?\u1103? \u1079?\u1072? 2020 \u1075?\u1086?\u1076?\u1080?\u1085?\u1072?."/>
    <w:docVar w:name="LW_TITRE.OBJ.CP" w:val="\u1086?\u1090?\u1085?\u1086?\u1089?\u1085?\u1086? \u1085?\u1072?\u1094?\u1080?\u1086?\u1085?\u1072?\u1083?\u1085?\u1072?\u1090?\u1072? \u1087?\u1088?\u1086?\u1075?\u1088?\u1072?\u1084?\u1072? \u1079?\u1072? \u1088?\u1077?\u1092?\u1086?\u1088?\u1084?\u1080? \u1085?\u1072? \u1060?\u1088?\u1072?\u1085?\u1094?\u1080?\u1103? \u1079?\u1072? 2020 \u1075?\u1086?\u1076?\u1080?\u1085?\u1072?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60?\u1088?\u1072?\u1085?\u1094?\u1080?\u1103? \u1079?\u1072? 2020 \u1075?\u1086?\u1076?\u1080?\u1085?\u1072?."/>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customStyle="1" w:styleId="ListTable3-Accent11">
    <w:name w:val="List Table 3 - Accent 11"/>
    <w:basedOn w:val="TableNormal"/>
    <w:uiPriority w:val="48"/>
    <w:pPr>
      <w:spacing w:after="0" w:line="240" w:lineRule="auto"/>
    </w:pPr>
    <w:rPr>
      <w:sz w:val="20"/>
      <w:szCs w:val="20"/>
      <w:lang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table" w:customStyle="1" w:styleId="ListTable3-Accent11">
    <w:name w:val="List Table 3 - Accent 11"/>
    <w:basedOn w:val="TableNormal"/>
    <w:uiPriority w:val="48"/>
    <w:pPr>
      <w:spacing w:after="0" w:line="240" w:lineRule="auto"/>
    </w:pPr>
    <w:rPr>
      <w:sz w:val="20"/>
      <w:szCs w:val="20"/>
      <w:lang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9021">
      <w:bodyDiv w:val="1"/>
      <w:marLeft w:val="0"/>
      <w:marRight w:val="0"/>
      <w:marTop w:val="0"/>
      <w:marBottom w:val="0"/>
      <w:divBdr>
        <w:top w:val="none" w:sz="0" w:space="0" w:color="auto"/>
        <w:left w:val="none" w:sz="0" w:space="0" w:color="auto"/>
        <w:bottom w:val="none" w:sz="0" w:space="0" w:color="auto"/>
        <w:right w:val="none" w:sz="0" w:space="0" w:color="auto"/>
      </w:divBdr>
    </w:div>
    <w:div w:id="357125184">
      <w:bodyDiv w:val="1"/>
      <w:marLeft w:val="0"/>
      <w:marRight w:val="0"/>
      <w:marTop w:val="0"/>
      <w:marBottom w:val="0"/>
      <w:divBdr>
        <w:top w:val="none" w:sz="0" w:space="0" w:color="auto"/>
        <w:left w:val="none" w:sz="0" w:space="0" w:color="auto"/>
        <w:bottom w:val="none" w:sz="0" w:space="0" w:color="auto"/>
        <w:right w:val="none" w:sz="0" w:space="0" w:color="auto"/>
      </w:divBdr>
    </w:div>
    <w:div w:id="510221697">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633408769">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11346939">
      <w:bodyDiv w:val="1"/>
      <w:marLeft w:val="0"/>
      <w:marRight w:val="0"/>
      <w:marTop w:val="0"/>
      <w:marBottom w:val="0"/>
      <w:divBdr>
        <w:top w:val="none" w:sz="0" w:space="0" w:color="auto"/>
        <w:left w:val="none" w:sz="0" w:space="0" w:color="auto"/>
        <w:bottom w:val="none" w:sz="0" w:space="0" w:color="auto"/>
        <w:right w:val="none" w:sz="0" w:space="0" w:color="auto"/>
      </w:divBdr>
    </w:div>
    <w:div w:id="901713576">
      <w:bodyDiv w:val="1"/>
      <w:marLeft w:val="0"/>
      <w:marRight w:val="0"/>
      <w:marTop w:val="0"/>
      <w:marBottom w:val="0"/>
      <w:divBdr>
        <w:top w:val="none" w:sz="0" w:space="0" w:color="auto"/>
        <w:left w:val="none" w:sz="0" w:space="0" w:color="auto"/>
        <w:bottom w:val="none" w:sz="0" w:space="0" w:color="auto"/>
        <w:right w:val="none" w:sz="0" w:space="0" w:color="auto"/>
      </w:divBdr>
    </w:div>
    <w:div w:id="1189029257">
      <w:bodyDiv w:val="1"/>
      <w:marLeft w:val="0"/>
      <w:marRight w:val="0"/>
      <w:marTop w:val="0"/>
      <w:marBottom w:val="0"/>
      <w:divBdr>
        <w:top w:val="none" w:sz="0" w:space="0" w:color="auto"/>
        <w:left w:val="none" w:sz="0" w:space="0" w:color="auto"/>
        <w:bottom w:val="none" w:sz="0" w:space="0" w:color="auto"/>
        <w:right w:val="none" w:sz="0" w:space="0" w:color="auto"/>
      </w:divBdr>
    </w:div>
    <w:div w:id="1265576748">
      <w:bodyDiv w:val="1"/>
      <w:marLeft w:val="0"/>
      <w:marRight w:val="0"/>
      <w:marTop w:val="0"/>
      <w:marBottom w:val="0"/>
      <w:divBdr>
        <w:top w:val="none" w:sz="0" w:space="0" w:color="auto"/>
        <w:left w:val="none" w:sz="0" w:space="0" w:color="auto"/>
        <w:bottom w:val="none" w:sz="0" w:space="0" w:color="auto"/>
        <w:right w:val="none" w:sz="0" w:space="0" w:color="auto"/>
      </w:divBdr>
    </w:div>
    <w:div w:id="1530606291">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83525756">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F9C1-DABB-4A60-B14C-C90CD711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3928</Words>
  <Characters>23064</Characters>
  <Application>Microsoft Office Word</Application>
  <DocSecurity>0</DocSecurity>
  <Lines>397</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2020-05-26T15:13:00Z</dcterms:created>
  <dcterms:modified xsi:type="dcterms:W3CDTF">2020-06-03T14:36:00Z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